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7A39" w14:textId="761E8BD4" w:rsidR="00A660A0" w:rsidRPr="006D2720" w:rsidRDefault="00A660A0" w:rsidP="00A660A0">
      <w:pPr>
        <w:jc w:val="center"/>
        <w:rPr>
          <w:rFonts w:ascii="Times New Roman" w:hAnsi="Times New Roman" w:cs="Times New Roman"/>
          <w:sz w:val="24"/>
          <w:szCs w:val="24"/>
        </w:rPr>
      </w:pPr>
      <w:r w:rsidRPr="006D2720">
        <w:rPr>
          <w:rFonts w:ascii="Times New Roman" w:hAnsi="Times New Roman" w:cs="Times New Roman"/>
          <w:noProof/>
        </w:rPr>
        <w:drawing>
          <wp:inline distT="0" distB="0" distL="0" distR="0" wp14:anchorId="0CE74558" wp14:editId="1F5C083A">
            <wp:extent cx="4882516" cy="816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4882516" cy="816610"/>
                    </a:xfrm>
                    <a:prstGeom prst="rect">
                      <a:avLst/>
                    </a:prstGeom>
                  </pic:spPr>
                </pic:pic>
              </a:graphicData>
            </a:graphic>
          </wp:inline>
        </w:drawing>
      </w:r>
    </w:p>
    <w:p w14:paraId="2E7667E4" w14:textId="0B344F43" w:rsidR="00A660A0" w:rsidRPr="006D2720" w:rsidRDefault="00A660A0">
      <w:pPr>
        <w:rPr>
          <w:rFonts w:ascii="Times New Roman" w:hAnsi="Times New Roman" w:cs="Times New Roman"/>
          <w:sz w:val="24"/>
          <w:szCs w:val="24"/>
        </w:rPr>
      </w:pPr>
    </w:p>
    <w:p w14:paraId="70D17922" w14:textId="2F20FC3D" w:rsidR="00A660A0" w:rsidRPr="006D2720" w:rsidRDefault="00A660A0">
      <w:pPr>
        <w:rPr>
          <w:rFonts w:ascii="Times New Roman" w:hAnsi="Times New Roman" w:cs="Times New Roman"/>
          <w:sz w:val="24"/>
          <w:szCs w:val="24"/>
        </w:rPr>
      </w:pPr>
    </w:p>
    <w:p w14:paraId="1F797446" w14:textId="6C3E096B" w:rsidR="00A660A0" w:rsidRPr="006D2720" w:rsidRDefault="00A660A0" w:rsidP="00A660A0">
      <w:pPr>
        <w:spacing w:before="1440" w:after="220" w:line="288" w:lineRule="auto"/>
        <w:jc w:val="center"/>
        <w:rPr>
          <w:rFonts w:ascii="Times New Roman" w:hAnsi="Times New Roman" w:cs="Times New Roman"/>
          <w:sz w:val="68"/>
          <w:szCs w:val="68"/>
        </w:rPr>
      </w:pPr>
      <w:r w:rsidRPr="006D2720">
        <w:rPr>
          <w:rFonts w:ascii="Times New Roman" w:hAnsi="Times New Roman" w:cs="Times New Roman"/>
          <w:sz w:val="68"/>
          <w:szCs w:val="68"/>
        </w:rPr>
        <w:t>Review of Privacy Laws in Tasmania</w:t>
      </w:r>
    </w:p>
    <w:p w14:paraId="6C3146F5" w14:textId="77777777" w:rsidR="00A660A0" w:rsidRPr="006D2720" w:rsidRDefault="00A660A0" w:rsidP="00A660A0">
      <w:pPr>
        <w:spacing w:after="360"/>
        <w:jc w:val="center"/>
        <w:rPr>
          <w:rFonts w:ascii="Times New Roman" w:hAnsi="Times New Roman" w:cs="Times New Roman"/>
          <w:smallCaps/>
          <w:sz w:val="24"/>
          <w:szCs w:val="24"/>
        </w:rPr>
      </w:pPr>
    </w:p>
    <w:p w14:paraId="24EF6CF8" w14:textId="7DAEC8BD" w:rsidR="00A660A0" w:rsidRPr="006D2720" w:rsidRDefault="00A660A0" w:rsidP="00A660A0">
      <w:pPr>
        <w:spacing w:after="360"/>
        <w:jc w:val="center"/>
        <w:rPr>
          <w:rFonts w:ascii="Times New Roman" w:hAnsi="Times New Roman" w:cs="Times New Roman"/>
          <w:smallCaps/>
          <w:sz w:val="24"/>
          <w:szCs w:val="24"/>
        </w:rPr>
      </w:pPr>
    </w:p>
    <w:p w14:paraId="3558074D" w14:textId="0E82B193" w:rsidR="00A660A0" w:rsidRPr="006D2720" w:rsidRDefault="00A660A0" w:rsidP="00A660A0">
      <w:pPr>
        <w:spacing w:after="360"/>
        <w:jc w:val="center"/>
        <w:rPr>
          <w:rFonts w:ascii="Times New Roman" w:hAnsi="Times New Roman" w:cs="Times New Roman"/>
          <w:smallCaps/>
          <w:sz w:val="24"/>
          <w:szCs w:val="24"/>
        </w:rPr>
      </w:pPr>
    </w:p>
    <w:p w14:paraId="46E31A03" w14:textId="77777777" w:rsidR="00A660A0" w:rsidRPr="006D2720" w:rsidRDefault="00A660A0" w:rsidP="00A660A0">
      <w:pPr>
        <w:spacing w:after="360"/>
        <w:jc w:val="center"/>
        <w:rPr>
          <w:rFonts w:ascii="Times New Roman" w:hAnsi="Times New Roman" w:cs="Times New Roman"/>
          <w:smallCaps/>
          <w:sz w:val="24"/>
          <w:szCs w:val="24"/>
        </w:rPr>
      </w:pPr>
    </w:p>
    <w:p w14:paraId="500254C6" w14:textId="3804C20D" w:rsidR="00A660A0" w:rsidRPr="006D2720" w:rsidRDefault="00A660A0" w:rsidP="00A660A0">
      <w:pPr>
        <w:spacing w:after="360"/>
        <w:jc w:val="center"/>
        <w:rPr>
          <w:rFonts w:ascii="Times New Roman" w:hAnsi="Times New Roman" w:cs="Times New Roman"/>
          <w:smallCaps/>
          <w:sz w:val="36"/>
          <w:szCs w:val="36"/>
        </w:rPr>
      </w:pPr>
      <w:r w:rsidRPr="006D2720">
        <w:rPr>
          <w:rFonts w:ascii="Times New Roman" w:hAnsi="Times New Roman" w:cs="Times New Roman"/>
          <w:smallCaps/>
          <w:sz w:val="36"/>
          <w:szCs w:val="36"/>
        </w:rPr>
        <w:t>Issues Paper No 32</w:t>
      </w:r>
    </w:p>
    <w:p w14:paraId="047B1397" w14:textId="79B9A4A3" w:rsidR="00A660A0" w:rsidRPr="006D2720" w:rsidRDefault="00A660A0" w:rsidP="00A660A0">
      <w:pPr>
        <w:jc w:val="center"/>
        <w:rPr>
          <w:rFonts w:ascii="Times New Roman" w:hAnsi="Times New Roman" w:cs="Times New Roman"/>
          <w:smallCaps/>
          <w:sz w:val="36"/>
          <w:szCs w:val="36"/>
        </w:rPr>
      </w:pPr>
      <w:r w:rsidRPr="006D2720">
        <w:rPr>
          <w:rFonts w:ascii="Times New Roman" w:hAnsi="Times New Roman" w:cs="Times New Roman"/>
          <w:smallCaps/>
          <w:sz w:val="36"/>
          <w:szCs w:val="36"/>
        </w:rPr>
        <w:t>MARCH 2023</w:t>
      </w:r>
    </w:p>
    <w:p w14:paraId="77C13508" w14:textId="77777777" w:rsidR="00A660A0" w:rsidRPr="006D2720" w:rsidRDefault="00A660A0" w:rsidP="00A660A0">
      <w:pPr>
        <w:spacing w:before="1440" w:after="220" w:line="288" w:lineRule="auto"/>
        <w:jc w:val="center"/>
        <w:rPr>
          <w:rFonts w:ascii="Times New Roman" w:hAnsi="Times New Roman" w:cs="Times New Roman"/>
          <w:sz w:val="24"/>
          <w:szCs w:val="24"/>
        </w:rPr>
      </w:pPr>
    </w:p>
    <w:p w14:paraId="2CB8698C" w14:textId="77777777" w:rsidR="00A660A0" w:rsidRPr="006D2720" w:rsidRDefault="00A660A0">
      <w:pPr>
        <w:rPr>
          <w:rFonts w:ascii="Times New Roman" w:eastAsiaTheme="majorEastAsia" w:hAnsi="Times New Roman" w:cs="Times New Roman"/>
          <w:spacing w:val="-10"/>
          <w:sz w:val="24"/>
          <w:szCs w:val="24"/>
        </w:rPr>
        <w:sectPr w:rsidR="00A660A0" w:rsidRPr="006D2720" w:rsidSect="00FE7094">
          <w:footerReference w:type="even" r:id="rId12"/>
          <w:footerReference w:type="default" r:id="rId13"/>
          <w:footerReference w:type="first" r:id="rId14"/>
          <w:pgSz w:w="11906" w:h="16838"/>
          <w:pgMar w:top="1440" w:right="1440" w:bottom="1440" w:left="1440" w:header="708" w:footer="708" w:gutter="0"/>
          <w:pgNumType w:fmt="lowerRoman" w:start="1"/>
          <w:cols w:space="708"/>
          <w:titlePg/>
          <w:docGrid w:linePitch="360"/>
        </w:sectPr>
      </w:pPr>
    </w:p>
    <w:p w14:paraId="01759BA4" w14:textId="709C72B0" w:rsidR="00A660A0" w:rsidRPr="006D2720" w:rsidRDefault="00A660A0">
      <w:pPr>
        <w:rPr>
          <w:rFonts w:ascii="Times New Roman" w:eastAsiaTheme="majorEastAsia" w:hAnsi="Times New Roman" w:cs="Times New Roman"/>
          <w:spacing w:val="-10"/>
          <w:sz w:val="24"/>
          <w:szCs w:val="24"/>
        </w:rPr>
      </w:pPr>
    </w:p>
    <w:p w14:paraId="7FCCDED6" w14:textId="77777777" w:rsidR="00036077" w:rsidRPr="006D2720" w:rsidRDefault="00A660A0">
      <w:pPr>
        <w:rPr>
          <w:rFonts w:ascii="Times New Roman" w:hAnsi="Times New Roman" w:cs="Times New Roman"/>
          <w:sz w:val="40"/>
          <w:szCs w:val="40"/>
        </w:rPr>
        <w:sectPr w:rsidR="00036077" w:rsidRPr="006D2720" w:rsidSect="00FE7094">
          <w:pgSz w:w="11906" w:h="16838"/>
          <w:pgMar w:top="1440" w:right="1440" w:bottom="1440" w:left="1440" w:header="708" w:footer="708" w:gutter="0"/>
          <w:pgNumType w:fmt="lowerRoman" w:start="2"/>
          <w:cols w:space="708"/>
          <w:titlePg/>
          <w:docGrid w:linePitch="360"/>
        </w:sectPr>
      </w:pPr>
      <w:r w:rsidRPr="006D2720">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66CFDBB1" wp14:editId="7D4E8EB1">
                <wp:simplePos x="0" y="0"/>
                <wp:positionH relativeFrom="margin">
                  <wp:posOffset>1859280</wp:posOffset>
                </wp:positionH>
                <wp:positionV relativeFrom="paragraph">
                  <wp:posOffset>7167245</wp:posOffset>
                </wp:positionV>
                <wp:extent cx="4327525" cy="1029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029970"/>
                        </a:xfrm>
                        <a:prstGeom prst="rect">
                          <a:avLst/>
                        </a:prstGeom>
                        <a:solidFill>
                          <a:srgbClr val="FFFFFF"/>
                        </a:solidFill>
                        <a:ln w="9525">
                          <a:noFill/>
                          <a:miter lim="800000"/>
                          <a:headEnd/>
                          <a:tailEnd/>
                        </a:ln>
                      </wps:spPr>
                      <wps:txbx>
                        <w:txbxContent>
                          <w:p w14:paraId="7F0774B6" w14:textId="017C6EB2" w:rsidR="00A660A0" w:rsidRPr="00A660A0" w:rsidRDefault="00A660A0" w:rsidP="00A660A0">
                            <w:pPr>
                              <w:jc w:val="right"/>
                              <w:rPr>
                                <w:rFonts w:ascii="Times New Roman" w:hAnsi="Times New Roman" w:cs="Times New Roman"/>
                                <w:sz w:val="20"/>
                                <w:szCs w:val="20"/>
                              </w:rPr>
                            </w:pPr>
                            <w:r w:rsidRPr="00A660A0">
                              <w:rPr>
                                <w:rFonts w:ascii="Times New Roman" w:hAnsi="Times New Roman" w:cs="Times New Roman"/>
                                <w:sz w:val="20"/>
                                <w:szCs w:val="20"/>
                              </w:rPr>
                              <w:t>© Tasmania Law Reform Institute 202</w:t>
                            </w:r>
                            <w:r>
                              <w:rPr>
                                <w:rFonts w:ascii="Times New Roman" w:hAnsi="Times New Roman" w:cs="Times New Roman"/>
                                <w:sz w:val="20"/>
                                <w:szCs w:val="20"/>
                              </w:rPr>
                              <w:t>3</w:t>
                            </w:r>
                          </w:p>
                          <w:p w14:paraId="761A76C0" w14:textId="77777777" w:rsidR="00146F54" w:rsidRPr="00A660A0" w:rsidRDefault="00146F54" w:rsidP="00146F54">
                            <w:pPr>
                              <w:jc w:val="right"/>
                              <w:rPr>
                                <w:rFonts w:ascii="Times New Roman" w:hAnsi="Times New Roman" w:cs="Times New Roman"/>
                                <w:sz w:val="20"/>
                                <w:szCs w:val="20"/>
                              </w:rPr>
                            </w:pPr>
                            <w:r w:rsidRPr="00A660A0">
                              <w:rPr>
                                <w:rFonts w:ascii="Times New Roman" w:hAnsi="Times New Roman" w:cs="Times New Roman"/>
                                <w:sz w:val="20"/>
                                <w:szCs w:val="20"/>
                              </w:rPr>
                              <w:t>www.utas.edu.au/law-reform/</w:t>
                            </w:r>
                            <w:r w:rsidRPr="005C2F14">
                              <w:rPr>
                                <w:rFonts w:ascii="Times New Roman" w:hAnsi="Times New Roman" w:cs="Times New Roman"/>
                                <w:sz w:val="20"/>
                                <w:szCs w:val="20"/>
                              </w:rPr>
                              <w:t>publications/ongoing-law-reform-projects</w:t>
                            </w:r>
                          </w:p>
                          <w:p w14:paraId="39976066" w14:textId="4F2BF2A6" w:rsidR="00A660A0" w:rsidRPr="00A660A0" w:rsidRDefault="00A660A0" w:rsidP="00A660A0">
                            <w:pPr>
                              <w:jc w:val="right"/>
                              <w:rPr>
                                <w:rFonts w:ascii="Times New Roman" w:hAnsi="Times New Roman" w:cs="Times New Roman"/>
                                <w:sz w:val="20"/>
                                <w:szCs w:val="20"/>
                              </w:rPr>
                            </w:pPr>
                            <w:r w:rsidRPr="00A660A0">
                              <w:rPr>
                                <w:rFonts w:ascii="Times New Roman" w:hAnsi="Times New Roman" w:cs="Times New Roman"/>
                                <w:sz w:val="20"/>
                                <w:szCs w:val="20"/>
                              </w:rPr>
                              <w:t xml:space="preserve">Cite as: Tasmania Law Reform Institute, </w:t>
                            </w:r>
                            <w:r w:rsidR="000C03BA">
                              <w:rPr>
                                <w:rFonts w:ascii="Times New Roman" w:hAnsi="Times New Roman" w:cs="Times New Roman"/>
                                <w:i/>
                                <w:iCs/>
                                <w:sz w:val="20"/>
                                <w:szCs w:val="20"/>
                              </w:rPr>
                              <w:t>Review of P</w:t>
                            </w:r>
                            <w:r>
                              <w:rPr>
                                <w:rFonts w:ascii="Times New Roman" w:hAnsi="Times New Roman" w:cs="Times New Roman"/>
                                <w:i/>
                                <w:iCs/>
                                <w:sz w:val="20"/>
                                <w:szCs w:val="20"/>
                              </w:rPr>
                              <w:t xml:space="preserve">rivacy Laws in Tasmania </w:t>
                            </w:r>
                            <w:r w:rsidRPr="00A660A0">
                              <w:rPr>
                                <w:rFonts w:ascii="Times New Roman" w:hAnsi="Times New Roman" w:cs="Times New Roman"/>
                                <w:sz w:val="20"/>
                                <w:szCs w:val="20"/>
                              </w:rPr>
                              <w:t>(Issues Paper No 3</w:t>
                            </w:r>
                            <w:r>
                              <w:rPr>
                                <w:rFonts w:ascii="Times New Roman" w:hAnsi="Times New Roman" w:cs="Times New Roman"/>
                                <w:sz w:val="20"/>
                                <w:szCs w:val="20"/>
                              </w:rPr>
                              <w:t>2</w:t>
                            </w:r>
                            <w:r w:rsidRPr="00A660A0">
                              <w:rPr>
                                <w:rFonts w:ascii="Times New Roman" w:hAnsi="Times New Roman" w:cs="Times New Roman"/>
                                <w:sz w:val="20"/>
                                <w:szCs w:val="20"/>
                              </w:rPr>
                              <w:t xml:space="preserve">, </w:t>
                            </w:r>
                            <w:r>
                              <w:rPr>
                                <w:rFonts w:ascii="Times New Roman" w:hAnsi="Times New Roman" w:cs="Times New Roman"/>
                                <w:sz w:val="20"/>
                                <w:szCs w:val="20"/>
                              </w:rPr>
                              <w:t>March</w:t>
                            </w:r>
                            <w:r w:rsidRPr="00A660A0">
                              <w:rPr>
                                <w:rFonts w:ascii="Times New Roman" w:hAnsi="Times New Roman" w:cs="Times New Roman"/>
                                <w:sz w:val="20"/>
                                <w:szCs w:val="20"/>
                              </w:rPr>
                              <w:t xml:space="preserve"> 202</w:t>
                            </w:r>
                            <w:r>
                              <w:rPr>
                                <w:rFonts w:ascii="Times New Roman" w:hAnsi="Times New Roman" w:cs="Times New Roman"/>
                                <w:sz w:val="20"/>
                                <w:szCs w:val="20"/>
                              </w:rPr>
                              <w:t>3</w:t>
                            </w:r>
                            <w:r w:rsidRPr="00A660A0">
                              <w:rPr>
                                <w:rFonts w:ascii="Times New Roman" w:hAnsi="Times New Roman" w:cs="Times New Roman"/>
                                <w:sz w:val="20"/>
                                <w:szCs w:val="20"/>
                              </w:rPr>
                              <w:t>)</w:t>
                            </w:r>
                          </w:p>
                          <w:p w14:paraId="7F5A0C68" w14:textId="77777777" w:rsidR="00A660A0" w:rsidRDefault="00A660A0" w:rsidP="00A6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DBB1" id="_x0000_t202" coordsize="21600,21600" o:spt="202" path="m,l,21600r21600,l21600,xe">
                <v:stroke joinstyle="miter"/>
                <v:path gradientshapeok="t" o:connecttype="rect"/>
              </v:shapetype>
              <v:shape id="Text Box 2" o:spid="_x0000_s1026" type="#_x0000_t202" style="position:absolute;margin-left:146.4pt;margin-top:564.35pt;width:340.75pt;height: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" stroked="f">
                <v:textbox>
                  <w:txbxContent>
                    <w:p w14:paraId="7F0774B6" w14:textId="017C6EB2" w:rsidR="00A660A0" w:rsidRPr="00A660A0" w:rsidRDefault="00A660A0" w:rsidP="00A660A0">
                      <w:pPr>
                        <w:jc w:val="right"/>
                        <w:rPr>
                          <w:rFonts w:ascii="Times New Roman" w:hAnsi="Times New Roman" w:cs="Times New Roman"/>
                          <w:sz w:val="20"/>
                          <w:szCs w:val="20"/>
                        </w:rPr>
                      </w:pPr>
                      <w:r w:rsidRPr="00A660A0">
                        <w:rPr>
                          <w:rFonts w:ascii="Times New Roman" w:hAnsi="Times New Roman" w:cs="Times New Roman"/>
                          <w:sz w:val="20"/>
                          <w:szCs w:val="20"/>
                        </w:rPr>
                        <w:t>© Tasmania Law Reform Institute 202</w:t>
                      </w:r>
                      <w:r>
                        <w:rPr>
                          <w:rFonts w:ascii="Times New Roman" w:hAnsi="Times New Roman" w:cs="Times New Roman"/>
                          <w:sz w:val="20"/>
                          <w:szCs w:val="20"/>
                        </w:rPr>
                        <w:t>3</w:t>
                      </w:r>
                    </w:p>
                    <w:p w14:paraId="761A76C0" w14:textId="77777777" w:rsidR="00146F54" w:rsidRPr="00A660A0" w:rsidRDefault="00146F54" w:rsidP="00146F54">
                      <w:pPr>
                        <w:jc w:val="right"/>
                        <w:rPr>
                          <w:rFonts w:ascii="Times New Roman" w:hAnsi="Times New Roman" w:cs="Times New Roman"/>
                          <w:sz w:val="20"/>
                          <w:szCs w:val="20"/>
                        </w:rPr>
                      </w:pPr>
                      <w:r w:rsidRPr="00A660A0">
                        <w:rPr>
                          <w:rFonts w:ascii="Times New Roman" w:hAnsi="Times New Roman" w:cs="Times New Roman"/>
                          <w:sz w:val="20"/>
                          <w:szCs w:val="20"/>
                        </w:rPr>
                        <w:t>www.utas.edu.au/law-reform/</w:t>
                      </w:r>
                      <w:r w:rsidRPr="005C2F14">
                        <w:rPr>
                          <w:rFonts w:ascii="Times New Roman" w:hAnsi="Times New Roman" w:cs="Times New Roman"/>
                          <w:sz w:val="20"/>
                          <w:szCs w:val="20"/>
                        </w:rPr>
                        <w:t>publications/ongoing-law-reform-projects</w:t>
                      </w:r>
                    </w:p>
                    <w:p w14:paraId="39976066" w14:textId="4F2BF2A6" w:rsidR="00A660A0" w:rsidRPr="00A660A0" w:rsidRDefault="00A660A0" w:rsidP="00A660A0">
                      <w:pPr>
                        <w:jc w:val="right"/>
                        <w:rPr>
                          <w:rFonts w:ascii="Times New Roman" w:hAnsi="Times New Roman" w:cs="Times New Roman"/>
                          <w:sz w:val="20"/>
                          <w:szCs w:val="20"/>
                        </w:rPr>
                      </w:pPr>
                      <w:r w:rsidRPr="00A660A0">
                        <w:rPr>
                          <w:rFonts w:ascii="Times New Roman" w:hAnsi="Times New Roman" w:cs="Times New Roman"/>
                          <w:sz w:val="20"/>
                          <w:szCs w:val="20"/>
                        </w:rPr>
                        <w:t xml:space="preserve">Cite as: Tasmania Law Reform Institute, </w:t>
                      </w:r>
                      <w:r w:rsidR="000C03BA">
                        <w:rPr>
                          <w:rFonts w:ascii="Times New Roman" w:hAnsi="Times New Roman" w:cs="Times New Roman"/>
                          <w:i/>
                          <w:iCs/>
                          <w:sz w:val="20"/>
                          <w:szCs w:val="20"/>
                        </w:rPr>
                        <w:t>Review of P</w:t>
                      </w:r>
                      <w:r>
                        <w:rPr>
                          <w:rFonts w:ascii="Times New Roman" w:hAnsi="Times New Roman" w:cs="Times New Roman"/>
                          <w:i/>
                          <w:iCs/>
                          <w:sz w:val="20"/>
                          <w:szCs w:val="20"/>
                        </w:rPr>
                        <w:t xml:space="preserve">rivacy Laws in Tasmania </w:t>
                      </w:r>
                      <w:r w:rsidRPr="00A660A0">
                        <w:rPr>
                          <w:rFonts w:ascii="Times New Roman" w:hAnsi="Times New Roman" w:cs="Times New Roman"/>
                          <w:sz w:val="20"/>
                          <w:szCs w:val="20"/>
                        </w:rPr>
                        <w:t>(Issues Paper No 3</w:t>
                      </w:r>
                      <w:r>
                        <w:rPr>
                          <w:rFonts w:ascii="Times New Roman" w:hAnsi="Times New Roman" w:cs="Times New Roman"/>
                          <w:sz w:val="20"/>
                          <w:szCs w:val="20"/>
                        </w:rPr>
                        <w:t>2</w:t>
                      </w:r>
                      <w:r w:rsidRPr="00A660A0">
                        <w:rPr>
                          <w:rFonts w:ascii="Times New Roman" w:hAnsi="Times New Roman" w:cs="Times New Roman"/>
                          <w:sz w:val="20"/>
                          <w:szCs w:val="20"/>
                        </w:rPr>
                        <w:t xml:space="preserve">, </w:t>
                      </w:r>
                      <w:r>
                        <w:rPr>
                          <w:rFonts w:ascii="Times New Roman" w:hAnsi="Times New Roman" w:cs="Times New Roman"/>
                          <w:sz w:val="20"/>
                          <w:szCs w:val="20"/>
                        </w:rPr>
                        <w:t>March</w:t>
                      </w:r>
                      <w:r w:rsidRPr="00A660A0">
                        <w:rPr>
                          <w:rFonts w:ascii="Times New Roman" w:hAnsi="Times New Roman" w:cs="Times New Roman"/>
                          <w:sz w:val="20"/>
                          <w:szCs w:val="20"/>
                        </w:rPr>
                        <w:t xml:space="preserve"> 202</w:t>
                      </w:r>
                      <w:r>
                        <w:rPr>
                          <w:rFonts w:ascii="Times New Roman" w:hAnsi="Times New Roman" w:cs="Times New Roman"/>
                          <w:sz w:val="20"/>
                          <w:szCs w:val="20"/>
                        </w:rPr>
                        <w:t>3</w:t>
                      </w:r>
                      <w:r w:rsidRPr="00A660A0">
                        <w:rPr>
                          <w:rFonts w:ascii="Times New Roman" w:hAnsi="Times New Roman" w:cs="Times New Roman"/>
                          <w:sz w:val="20"/>
                          <w:szCs w:val="20"/>
                        </w:rPr>
                        <w:t>)</w:t>
                      </w:r>
                    </w:p>
                    <w:p w14:paraId="7F5A0C68" w14:textId="77777777" w:rsidR="00A660A0" w:rsidRDefault="00A660A0" w:rsidP="00A660A0"/>
                  </w:txbxContent>
                </v:textbox>
                <w10:wrap type="square" anchorx="margin"/>
              </v:shape>
            </w:pict>
          </mc:Fallback>
        </mc:AlternateContent>
      </w:r>
      <w:r w:rsidRPr="006D2720">
        <w:rPr>
          <w:rFonts w:ascii="Times New Roman" w:hAnsi="Times New Roman" w:cs="Times New Roman"/>
          <w:sz w:val="40"/>
          <w:szCs w:val="40"/>
        </w:rPr>
        <w:br w:type="page"/>
      </w:r>
    </w:p>
    <w:p w14:paraId="262890DD" w14:textId="162C752C" w:rsidR="00F40E95" w:rsidRPr="006D2720" w:rsidRDefault="004A2DA1" w:rsidP="00F40E95">
      <w:pPr>
        <w:rPr>
          <w:rFonts w:ascii="Times New Roman" w:eastAsiaTheme="majorEastAsia" w:hAnsi="Times New Roman" w:cs="Times New Roman"/>
          <w:b/>
          <w:color w:val="262626" w:themeColor="text1" w:themeTint="D9"/>
          <w:sz w:val="32"/>
          <w:szCs w:val="32"/>
        </w:rPr>
      </w:pPr>
      <w:r w:rsidRPr="006D2720">
        <w:rPr>
          <w:rFonts w:ascii="Times New Roman" w:eastAsiaTheme="majorEastAsia" w:hAnsi="Times New Roman" w:cs="Times New Roman"/>
          <w:b/>
          <w:color w:val="262626" w:themeColor="text1" w:themeTint="D9"/>
          <w:sz w:val="32"/>
          <w:szCs w:val="32"/>
        </w:rPr>
        <w:lastRenderedPageBreak/>
        <w:t>Contents</w:t>
      </w:r>
    </w:p>
    <w:sdt>
      <w:sdtPr>
        <w:rPr>
          <w:rFonts w:ascii="Times New Roman" w:hAnsi="Times New Roman" w:cs="Times New Roman"/>
        </w:rPr>
        <w:id w:val="-436983528"/>
        <w:docPartObj>
          <w:docPartGallery w:val="Table of Contents"/>
          <w:docPartUnique/>
        </w:docPartObj>
      </w:sdtPr>
      <w:sdtEndPr>
        <w:rPr>
          <w:b/>
          <w:bCs/>
          <w:noProof/>
        </w:rPr>
      </w:sdtEndPr>
      <w:sdtContent>
        <w:p w14:paraId="5EEB0CF9" w14:textId="4CC17FB0" w:rsidR="00CA2C8B" w:rsidRDefault="003E4AC3">
          <w:pPr>
            <w:pStyle w:val="TOC1"/>
            <w:rPr>
              <w:noProof/>
              <w:sz w:val="24"/>
              <w:szCs w:val="24"/>
              <w:lang w:eastAsia="en-GB"/>
            </w:rPr>
          </w:pPr>
          <w:r w:rsidRPr="006D2720">
            <w:rPr>
              <w:rFonts w:ascii="Times New Roman" w:hAnsi="Times New Roman" w:cs="Times New Roman"/>
            </w:rPr>
            <w:fldChar w:fldCharType="begin"/>
          </w:r>
          <w:r w:rsidRPr="006D2720">
            <w:rPr>
              <w:rFonts w:ascii="Times New Roman" w:hAnsi="Times New Roman" w:cs="Times New Roman"/>
            </w:rPr>
            <w:instrText xml:space="preserve"> TOC \o "1-2" \h \z \u </w:instrText>
          </w:r>
          <w:r w:rsidRPr="006D2720">
            <w:rPr>
              <w:rFonts w:ascii="Times New Roman" w:hAnsi="Times New Roman" w:cs="Times New Roman"/>
            </w:rPr>
            <w:fldChar w:fldCharType="separate"/>
          </w:r>
          <w:hyperlink w:anchor="_Toc130540410" w:history="1">
            <w:r w:rsidR="00CA2C8B" w:rsidRPr="006E0779">
              <w:rPr>
                <w:rStyle w:val="Hyperlink"/>
                <w:rFonts w:ascii="Times New Roman" w:hAnsi="Times New Roman" w:cs="Times New Roman"/>
                <w:noProof/>
              </w:rPr>
              <w:t>About the Tasmania Law Reform Institute</w:t>
            </w:r>
            <w:r w:rsidR="00CA2C8B">
              <w:rPr>
                <w:noProof/>
                <w:webHidden/>
              </w:rPr>
              <w:tab/>
            </w:r>
            <w:r w:rsidR="00CA2C8B">
              <w:rPr>
                <w:noProof/>
                <w:webHidden/>
              </w:rPr>
              <w:fldChar w:fldCharType="begin"/>
            </w:r>
            <w:r w:rsidR="00CA2C8B">
              <w:rPr>
                <w:noProof/>
                <w:webHidden/>
              </w:rPr>
              <w:instrText xml:space="preserve"> PAGEREF _Toc130540410 \h </w:instrText>
            </w:r>
            <w:r w:rsidR="00CA2C8B">
              <w:rPr>
                <w:noProof/>
                <w:webHidden/>
              </w:rPr>
            </w:r>
            <w:r w:rsidR="00CA2C8B">
              <w:rPr>
                <w:noProof/>
                <w:webHidden/>
              </w:rPr>
              <w:fldChar w:fldCharType="separate"/>
            </w:r>
            <w:r w:rsidR="00E66B60">
              <w:rPr>
                <w:noProof/>
                <w:webHidden/>
              </w:rPr>
              <w:t>v</w:t>
            </w:r>
            <w:r w:rsidR="00CA2C8B">
              <w:rPr>
                <w:noProof/>
                <w:webHidden/>
              </w:rPr>
              <w:fldChar w:fldCharType="end"/>
            </w:r>
          </w:hyperlink>
        </w:p>
        <w:p w14:paraId="7A5D938E" w14:textId="1F5865D4" w:rsidR="00CA2C8B" w:rsidRDefault="00000000">
          <w:pPr>
            <w:pStyle w:val="TOC1"/>
            <w:rPr>
              <w:noProof/>
              <w:sz w:val="24"/>
              <w:szCs w:val="24"/>
              <w:lang w:eastAsia="en-GB"/>
            </w:rPr>
          </w:pPr>
          <w:hyperlink w:anchor="_Toc130540411" w:history="1">
            <w:r w:rsidR="00CA2C8B" w:rsidRPr="006E0779">
              <w:rPr>
                <w:rStyle w:val="Hyperlink"/>
                <w:rFonts w:ascii="Times New Roman" w:hAnsi="Times New Roman" w:cs="Times New Roman"/>
                <w:noProof/>
              </w:rPr>
              <w:t>How to respond</w:t>
            </w:r>
            <w:r w:rsidR="00CA2C8B">
              <w:rPr>
                <w:noProof/>
                <w:webHidden/>
              </w:rPr>
              <w:tab/>
            </w:r>
            <w:r w:rsidR="00CA2C8B">
              <w:rPr>
                <w:noProof/>
                <w:webHidden/>
              </w:rPr>
              <w:fldChar w:fldCharType="begin"/>
            </w:r>
            <w:r w:rsidR="00CA2C8B">
              <w:rPr>
                <w:noProof/>
                <w:webHidden/>
              </w:rPr>
              <w:instrText xml:space="preserve"> PAGEREF _Toc130540411 \h </w:instrText>
            </w:r>
            <w:r w:rsidR="00CA2C8B">
              <w:rPr>
                <w:noProof/>
                <w:webHidden/>
              </w:rPr>
            </w:r>
            <w:r w:rsidR="00CA2C8B">
              <w:rPr>
                <w:noProof/>
                <w:webHidden/>
              </w:rPr>
              <w:fldChar w:fldCharType="separate"/>
            </w:r>
            <w:r w:rsidR="00E66B60">
              <w:rPr>
                <w:noProof/>
                <w:webHidden/>
              </w:rPr>
              <w:t>vi</w:t>
            </w:r>
            <w:r w:rsidR="00CA2C8B">
              <w:rPr>
                <w:noProof/>
                <w:webHidden/>
              </w:rPr>
              <w:fldChar w:fldCharType="end"/>
            </w:r>
          </w:hyperlink>
        </w:p>
        <w:p w14:paraId="72F2AC63" w14:textId="5070FD07" w:rsidR="00CA2C8B" w:rsidRDefault="00000000">
          <w:pPr>
            <w:pStyle w:val="TOC1"/>
            <w:rPr>
              <w:noProof/>
              <w:sz w:val="24"/>
              <w:szCs w:val="24"/>
              <w:lang w:eastAsia="en-GB"/>
            </w:rPr>
          </w:pPr>
          <w:hyperlink w:anchor="_Toc130540412" w:history="1">
            <w:r w:rsidR="00CA2C8B" w:rsidRPr="006E0779">
              <w:rPr>
                <w:rStyle w:val="Hyperlink"/>
                <w:rFonts w:ascii="Times New Roman" w:hAnsi="Times New Roman" w:cs="Times New Roman"/>
                <w:noProof/>
              </w:rPr>
              <w:t>Acknowledgments</w:t>
            </w:r>
            <w:r w:rsidR="00CA2C8B">
              <w:rPr>
                <w:noProof/>
                <w:webHidden/>
              </w:rPr>
              <w:tab/>
            </w:r>
            <w:r w:rsidR="00CA2C8B">
              <w:rPr>
                <w:noProof/>
                <w:webHidden/>
              </w:rPr>
              <w:fldChar w:fldCharType="begin"/>
            </w:r>
            <w:r w:rsidR="00CA2C8B">
              <w:rPr>
                <w:noProof/>
                <w:webHidden/>
              </w:rPr>
              <w:instrText xml:space="preserve"> PAGEREF _Toc130540412 \h </w:instrText>
            </w:r>
            <w:r w:rsidR="00CA2C8B">
              <w:rPr>
                <w:noProof/>
                <w:webHidden/>
              </w:rPr>
            </w:r>
            <w:r w:rsidR="00CA2C8B">
              <w:rPr>
                <w:noProof/>
                <w:webHidden/>
              </w:rPr>
              <w:fldChar w:fldCharType="separate"/>
            </w:r>
            <w:r w:rsidR="00E66B60">
              <w:rPr>
                <w:noProof/>
                <w:webHidden/>
              </w:rPr>
              <w:t>vii</w:t>
            </w:r>
            <w:r w:rsidR="00CA2C8B">
              <w:rPr>
                <w:noProof/>
                <w:webHidden/>
              </w:rPr>
              <w:fldChar w:fldCharType="end"/>
            </w:r>
          </w:hyperlink>
        </w:p>
        <w:p w14:paraId="62CC5144" w14:textId="5707E60C" w:rsidR="00CA2C8B" w:rsidRDefault="00000000">
          <w:pPr>
            <w:pStyle w:val="TOC1"/>
            <w:rPr>
              <w:noProof/>
              <w:sz w:val="24"/>
              <w:szCs w:val="24"/>
              <w:lang w:eastAsia="en-GB"/>
            </w:rPr>
          </w:pPr>
          <w:hyperlink w:anchor="_Toc130540413" w:history="1">
            <w:r w:rsidR="00CA2C8B" w:rsidRPr="006E0779">
              <w:rPr>
                <w:rStyle w:val="Hyperlink"/>
                <w:rFonts w:ascii="Times New Roman" w:hAnsi="Times New Roman" w:cs="Times New Roman"/>
                <w:noProof/>
              </w:rPr>
              <w:t>Background and Terms of Reference</w:t>
            </w:r>
            <w:r w:rsidR="00CA2C8B">
              <w:rPr>
                <w:noProof/>
                <w:webHidden/>
              </w:rPr>
              <w:tab/>
            </w:r>
            <w:r w:rsidR="00CA2C8B">
              <w:rPr>
                <w:noProof/>
                <w:webHidden/>
              </w:rPr>
              <w:fldChar w:fldCharType="begin"/>
            </w:r>
            <w:r w:rsidR="00CA2C8B">
              <w:rPr>
                <w:noProof/>
                <w:webHidden/>
              </w:rPr>
              <w:instrText xml:space="preserve"> PAGEREF _Toc130540413 \h </w:instrText>
            </w:r>
            <w:r w:rsidR="00CA2C8B">
              <w:rPr>
                <w:noProof/>
                <w:webHidden/>
              </w:rPr>
            </w:r>
            <w:r w:rsidR="00CA2C8B">
              <w:rPr>
                <w:noProof/>
                <w:webHidden/>
              </w:rPr>
              <w:fldChar w:fldCharType="separate"/>
            </w:r>
            <w:r w:rsidR="00E66B60">
              <w:rPr>
                <w:noProof/>
                <w:webHidden/>
              </w:rPr>
              <w:t>viii</w:t>
            </w:r>
            <w:r w:rsidR="00CA2C8B">
              <w:rPr>
                <w:noProof/>
                <w:webHidden/>
              </w:rPr>
              <w:fldChar w:fldCharType="end"/>
            </w:r>
          </w:hyperlink>
        </w:p>
        <w:p w14:paraId="53568EEB" w14:textId="61094ED1" w:rsidR="00CA2C8B" w:rsidRDefault="00000000">
          <w:pPr>
            <w:pStyle w:val="TOC1"/>
            <w:rPr>
              <w:noProof/>
              <w:sz w:val="24"/>
              <w:szCs w:val="24"/>
              <w:lang w:eastAsia="en-GB"/>
            </w:rPr>
          </w:pPr>
          <w:hyperlink w:anchor="_Toc130540414" w:history="1">
            <w:r w:rsidR="00CA2C8B" w:rsidRPr="006E0779">
              <w:rPr>
                <w:rStyle w:val="Hyperlink"/>
                <w:rFonts w:ascii="Times New Roman" w:hAnsi="Times New Roman" w:cs="Times New Roman"/>
                <w:noProof/>
              </w:rPr>
              <w:t>Nature and scope of the Issues Paper</w:t>
            </w:r>
            <w:r w:rsidR="00CA2C8B">
              <w:rPr>
                <w:noProof/>
                <w:webHidden/>
              </w:rPr>
              <w:tab/>
            </w:r>
            <w:r w:rsidR="00CA2C8B">
              <w:rPr>
                <w:noProof/>
                <w:webHidden/>
              </w:rPr>
              <w:fldChar w:fldCharType="begin"/>
            </w:r>
            <w:r w:rsidR="00CA2C8B">
              <w:rPr>
                <w:noProof/>
                <w:webHidden/>
              </w:rPr>
              <w:instrText xml:space="preserve"> PAGEREF _Toc130540414 \h </w:instrText>
            </w:r>
            <w:r w:rsidR="00CA2C8B">
              <w:rPr>
                <w:noProof/>
                <w:webHidden/>
              </w:rPr>
            </w:r>
            <w:r w:rsidR="00CA2C8B">
              <w:rPr>
                <w:noProof/>
                <w:webHidden/>
              </w:rPr>
              <w:fldChar w:fldCharType="separate"/>
            </w:r>
            <w:r w:rsidR="00E66B60">
              <w:rPr>
                <w:noProof/>
                <w:webHidden/>
              </w:rPr>
              <w:t>ix</w:t>
            </w:r>
            <w:r w:rsidR="00CA2C8B">
              <w:rPr>
                <w:noProof/>
                <w:webHidden/>
              </w:rPr>
              <w:fldChar w:fldCharType="end"/>
            </w:r>
          </w:hyperlink>
        </w:p>
        <w:p w14:paraId="3AB5B8D2" w14:textId="4C8FAA70" w:rsidR="00CA2C8B" w:rsidRDefault="00000000">
          <w:pPr>
            <w:pStyle w:val="TOC2"/>
            <w:rPr>
              <w:noProof/>
              <w:sz w:val="24"/>
              <w:szCs w:val="24"/>
              <w:lang w:eastAsia="en-GB"/>
            </w:rPr>
          </w:pPr>
          <w:hyperlink w:anchor="_Toc130540415" w:history="1">
            <w:r w:rsidR="00CA2C8B" w:rsidRPr="006E0779">
              <w:rPr>
                <w:rStyle w:val="Hyperlink"/>
                <w:rFonts w:ascii="Times New Roman" w:hAnsi="Times New Roman" w:cs="Times New Roman"/>
                <w:noProof/>
              </w:rPr>
              <w:t>Scope and structure</w:t>
            </w:r>
            <w:r w:rsidR="00CA2C8B">
              <w:rPr>
                <w:noProof/>
                <w:webHidden/>
              </w:rPr>
              <w:tab/>
            </w:r>
            <w:r w:rsidR="00CA2C8B">
              <w:rPr>
                <w:noProof/>
                <w:webHidden/>
              </w:rPr>
              <w:fldChar w:fldCharType="begin"/>
            </w:r>
            <w:r w:rsidR="00CA2C8B">
              <w:rPr>
                <w:noProof/>
                <w:webHidden/>
              </w:rPr>
              <w:instrText xml:space="preserve"> PAGEREF _Toc130540415 \h </w:instrText>
            </w:r>
            <w:r w:rsidR="00CA2C8B">
              <w:rPr>
                <w:noProof/>
                <w:webHidden/>
              </w:rPr>
            </w:r>
            <w:r w:rsidR="00CA2C8B">
              <w:rPr>
                <w:noProof/>
                <w:webHidden/>
              </w:rPr>
              <w:fldChar w:fldCharType="separate"/>
            </w:r>
            <w:r w:rsidR="00E66B60">
              <w:rPr>
                <w:noProof/>
                <w:webHidden/>
              </w:rPr>
              <w:t>ix</w:t>
            </w:r>
            <w:r w:rsidR="00CA2C8B">
              <w:rPr>
                <w:noProof/>
                <w:webHidden/>
              </w:rPr>
              <w:fldChar w:fldCharType="end"/>
            </w:r>
          </w:hyperlink>
        </w:p>
        <w:p w14:paraId="688015E5" w14:textId="616FBBFC" w:rsidR="00CA2C8B" w:rsidRDefault="00000000">
          <w:pPr>
            <w:pStyle w:val="TOC2"/>
            <w:rPr>
              <w:noProof/>
              <w:sz w:val="24"/>
              <w:szCs w:val="24"/>
              <w:lang w:eastAsia="en-GB"/>
            </w:rPr>
          </w:pPr>
          <w:hyperlink w:anchor="_Toc130540416" w:history="1">
            <w:r w:rsidR="00CA2C8B" w:rsidRPr="006E0779">
              <w:rPr>
                <w:rStyle w:val="Hyperlink"/>
                <w:rFonts w:ascii="Times New Roman" w:hAnsi="Times New Roman" w:cs="Times New Roman"/>
                <w:noProof/>
              </w:rPr>
              <w:t>Summary</w:t>
            </w:r>
            <w:r w:rsidR="00CA2C8B">
              <w:rPr>
                <w:noProof/>
                <w:webHidden/>
              </w:rPr>
              <w:tab/>
            </w:r>
            <w:r w:rsidR="00CA2C8B">
              <w:rPr>
                <w:noProof/>
                <w:webHidden/>
              </w:rPr>
              <w:fldChar w:fldCharType="begin"/>
            </w:r>
            <w:r w:rsidR="00CA2C8B">
              <w:rPr>
                <w:noProof/>
                <w:webHidden/>
              </w:rPr>
              <w:instrText xml:space="preserve"> PAGEREF _Toc130540416 \h </w:instrText>
            </w:r>
            <w:r w:rsidR="00CA2C8B">
              <w:rPr>
                <w:noProof/>
                <w:webHidden/>
              </w:rPr>
            </w:r>
            <w:r w:rsidR="00CA2C8B">
              <w:rPr>
                <w:noProof/>
                <w:webHidden/>
              </w:rPr>
              <w:fldChar w:fldCharType="separate"/>
            </w:r>
            <w:r w:rsidR="00E66B60">
              <w:rPr>
                <w:noProof/>
                <w:webHidden/>
              </w:rPr>
              <w:t>ix</w:t>
            </w:r>
            <w:r w:rsidR="00CA2C8B">
              <w:rPr>
                <w:noProof/>
                <w:webHidden/>
              </w:rPr>
              <w:fldChar w:fldCharType="end"/>
            </w:r>
          </w:hyperlink>
        </w:p>
        <w:p w14:paraId="14D4E895" w14:textId="0558A3D4" w:rsidR="00CA2C8B" w:rsidRDefault="00000000">
          <w:pPr>
            <w:pStyle w:val="TOC1"/>
            <w:rPr>
              <w:noProof/>
              <w:sz w:val="24"/>
              <w:szCs w:val="24"/>
              <w:lang w:eastAsia="en-GB"/>
            </w:rPr>
          </w:pPr>
          <w:hyperlink w:anchor="_Toc130540417" w:history="1">
            <w:r w:rsidR="00CA2C8B" w:rsidRPr="006E0779">
              <w:rPr>
                <w:rStyle w:val="Hyperlink"/>
                <w:rFonts w:ascii="Times New Roman" w:hAnsi="Times New Roman" w:cs="Times New Roman"/>
                <w:noProof/>
              </w:rPr>
              <w:t>List of acronyms and abbreviations</w:t>
            </w:r>
            <w:r w:rsidR="00CA2C8B">
              <w:rPr>
                <w:noProof/>
                <w:webHidden/>
              </w:rPr>
              <w:tab/>
            </w:r>
            <w:r w:rsidR="00CA2C8B">
              <w:rPr>
                <w:noProof/>
                <w:webHidden/>
              </w:rPr>
              <w:fldChar w:fldCharType="begin"/>
            </w:r>
            <w:r w:rsidR="00CA2C8B">
              <w:rPr>
                <w:noProof/>
                <w:webHidden/>
              </w:rPr>
              <w:instrText xml:space="preserve"> PAGEREF _Toc130540417 \h </w:instrText>
            </w:r>
            <w:r w:rsidR="00CA2C8B">
              <w:rPr>
                <w:noProof/>
                <w:webHidden/>
              </w:rPr>
            </w:r>
            <w:r w:rsidR="00CA2C8B">
              <w:rPr>
                <w:noProof/>
                <w:webHidden/>
              </w:rPr>
              <w:fldChar w:fldCharType="separate"/>
            </w:r>
            <w:r w:rsidR="00E66B60">
              <w:rPr>
                <w:noProof/>
                <w:webHidden/>
              </w:rPr>
              <w:t>xi</w:t>
            </w:r>
            <w:r w:rsidR="00CA2C8B">
              <w:rPr>
                <w:noProof/>
                <w:webHidden/>
              </w:rPr>
              <w:fldChar w:fldCharType="end"/>
            </w:r>
          </w:hyperlink>
        </w:p>
        <w:p w14:paraId="46EB4F4E" w14:textId="5182636A" w:rsidR="00CA2C8B" w:rsidRDefault="00000000">
          <w:pPr>
            <w:pStyle w:val="TOC1"/>
            <w:rPr>
              <w:noProof/>
              <w:sz w:val="24"/>
              <w:szCs w:val="24"/>
              <w:lang w:eastAsia="en-GB"/>
            </w:rPr>
          </w:pPr>
          <w:hyperlink w:anchor="_Toc130540418" w:history="1">
            <w:r w:rsidR="00CA2C8B" w:rsidRPr="006E0779">
              <w:rPr>
                <w:rStyle w:val="Hyperlink"/>
                <w:rFonts w:ascii="Times New Roman" w:hAnsi="Times New Roman" w:cs="Times New Roman"/>
                <w:noProof/>
              </w:rPr>
              <w:t>List of questions</w:t>
            </w:r>
            <w:r w:rsidR="00CA2C8B">
              <w:rPr>
                <w:noProof/>
                <w:webHidden/>
              </w:rPr>
              <w:tab/>
            </w:r>
            <w:r w:rsidR="00CA2C8B">
              <w:rPr>
                <w:noProof/>
                <w:webHidden/>
              </w:rPr>
              <w:fldChar w:fldCharType="begin"/>
            </w:r>
            <w:r w:rsidR="00CA2C8B">
              <w:rPr>
                <w:noProof/>
                <w:webHidden/>
              </w:rPr>
              <w:instrText xml:space="preserve"> PAGEREF _Toc130540418 \h </w:instrText>
            </w:r>
            <w:r w:rsidR="00CA2C8B">
              <w:rPr>
                <w:noProof/>
                <w:webHidden/>
              </w:rPr>
            </w:r>
            <w:r w:rsidR="00CA2C8B">
              <w:rPr>
                <w:noProof/>
                <w:webHidden/>
              </w:rPr>
              <w:fldChar w:fldCharType="separate"/>
            </w:r>
            <w:r w:rsidR="00E66B60">
              <w:rPr>
                <w:noProof/>
                <w:webHidden/>
              </w:rPr>
              <w:t>xii</w:t>
            </w:r>
            <w:r w:rsidR="00CA2C8B">
              <w:rPr>
                <w:noProof/>
                <w:webHidden/>
              </w:rPr>
              <w:fldChar w:fldCharType="end"/>
            </w:r>
          </w:hyperlink>
        </w:p>
        <w:p w14:paraId="4C4E3F7F" w14:textId="5833EBA4" w:rsidR="00CA2C8B" w:rsidRDefault="00000000">
          <w:pPr>
            <w:pStyle w:val="TOC1"/>
            <w:rPr>
              <w:noProof/>
              <w:sz w:val="24"/>
              <w:szCs w:val="24"/>
              <w:lang w:eastAsia="en-GB"/>
            </w:rPr>
          </w:pPr>
          <w:hyperlink w:anchor="_Toc130540419" w:history="1">
            <w:r w:rsidR="00CA2C8B" w:rsidRPr="006E0779">
              <w:rPr>
                <w:rStyle w:val="Hyperlink"/>
                <w:rFonts w:ascii="Times New Roman" w:hAnsi="Times New Roman" w:cs="Times New Roman"/>
                <w:noProof/>
              </w:rPr>
              <w:t>1</w:t>
            </w:r>
            <w:r w:rsidR="00CA2C8B">
              <w:rPr>
                <w:noProof/>
                <w:sz w:val="24"/>
                <w:szCs w:val="24"/>
                <w:lang w:eastAsia="en-GB"/>
              </w:rPr>
              <w:tab/>
            </w:r>
            <w:r w:rsidR="00CA2C8B" w:rsidRPr="006E0779">
              <w:rPr>
                <w:rStyle w:val="Hyperlink"/>
                <w:rFonts w:ascii="Times New Roman" w:hAnsi="Times New Roman" w:cs="Times New Roman"/>
                <w:noProof/>
              </w:rPr>
              <w:t>Privacy protection</w:t>
            </w:r>
            <w:r w:rsidR="00CA2C8B">
              <w:rPr>
                <w:noProof/>
                <w:webHidden/>
              </w:rPr>
              <w:tab/>
            </w:r>
            <w:r w:rsidR="00CA2C8B">
              <w:rPr>
                <w:noProof/>
                <w:webHidden/>
              </w:rPr>
              <w:fldChar w:fldCharType="begin"/>
            </w:r>
            <w:r w:rsidR="00CA2C8B">
              <w:rPr>
                <w:noProof/>
                <w:webHidden/>
              </w:rPr>
              <w:instrText xml:space="preserve"> PAGEREF _Toc130540419 \h </w:instrText>
            </w:r>
            <w:r w:rsidR="00CA2C8B">
              <w:rPr>
                <w:noProof/>
                <w:webHidden/>
              </w:rPr>
            </w:r>
            <w:r w:rsidR="00CA2C8B">
              <w:rPr>
                <w:noProof/>
                <w:webHidden/>
              </w:rPr>
              <w:fldChar w:fldCharType="separate"/>
            </w:r>
            <w:r w:rsidR="00E66B60">
              <w:rPr>
                <w:noProof/>
                <w:webHidden/>
              </w:rPr>
              <w:t>1</w:t>
            </w:r>
            <w:r w:rsidR="00CA2C8B">
              <w:rPr>
                <w:noProof/>
                <w:webHidden/>
              </w:rPr>
              <w:fldChar w:fldCharType="end"/>
            </w:r>
          </w:hyperlink>
        </w:p>
        <w:p w14:paraId="70E6D502" w14:textId="7145699C" w:rsidR="00CA2C8B" w:rsidRDefault="00000000">
          <w:pPr>
            <w:pStyle w:val="TOC2"/>
            <w:rPr>
              <w:noProof/>
              <w:sz w:val="24"/>
              <w:szCs w:val="24"/>
              <w:lang w:eastAsia="en-GB"/>
            </w:rPr>
          </w:pPr>
          <w:hyperlink w:anchor="_Toc130540420" w:history="1">
            <w:r w:rsidR="00CA2C8B" w:rsidRPr="006E0779">
              <w:rPr>
                <w:rStyle w:val="Hyperlink"/>
                <w:rFonts w:ascii="Times New Roman" w:hAnsi="Times New Roman" w:cs="Times New Roman"/>
                <w:noProof/>
              </w:rPr>
              <w:t>1.1</w:t>
            </w:r>
            <w:r w:rsidR="00CA2C8B">
              <w:rPr>
                <w:noProof/>
                <w:sz w:val="24"/>
                <w:szCs w:val="24"/>
                <w:lang w:eastAsia="en-GB"/>
              </w:rPr>
              <w:tab/>
            </w:r>
            <w:r w:rsidR="00CA2C8B" w:rsidRPr="006E0779">
              <w:rPr>
                <w:rStyle w:val="Hyperlink"/>
                <w:rFonts w:ascii="Times New Roman" w:hAnsi="Times New Roman" w:cs="Times New Roman"/>
                <w:noProof/>
              </w:rPr>
              <w:t>What is ‘privacy’?</w:t>
            </w:r>
            <w:r w:rsidR="00CA2C8B">
              <w:rPr>
                <w:noProof/>
                <w:webHidden/>
              </w:rPr>
              <w:tab/>
            </w:r>
            <w:r w:rsidR="00CA2C8B">
              <w:rPr>
                <w:noProof/>
                <w:webHidden/>
              </w:rPr>
              <w:fldChar w:fldCharType="begin"/>
            </w:r>
            <w:r w:rsidR="00CA2C8B">
              <w:rPr>
                <w:noProof/>
                <w:webHidden/>
              </w:rPr>
              <w:instrText xml:space="preserve"> PAGEREF _Toc130540420 \h </w:instrText>
            </w:r>
            <w:r w:rsidR="00CA2C8B">
              <w:rPr>
                <w:noProof/>
                <w:webHidden/>
              </w:rPr>
            </w:r>
            <w:r w:rsidR="00CA2C8B">
              <w:rPr>
                <w:noProof/>
                <w:webHidden/>
              </w:rPr>
              <w:fldChar w:fldCharType="separate"/>
            </w:r>
            <w:r w:rsidR="00E66B60">
              <w:rPr>
                <w:noProof/>
                <w:webHidden/>
              </w:rPr>
              <w:t>1</w:t>
            </w:r>
            <w:r w:rsidR="00CA2C8B">
              <w:rPr>
                <w:noProof/>
                <w:webHidden/>
              </w:rPr>
              <w:fldChar w:fldCharType="end"/>
            </w:r>
          </w:hyperlink>
        </w:p>
        <w:p w14:paraId="6286A0D1" w14:textId="5E54260A" w:rsidR="00CA2C8B" w:rsidRDefault="00000000">
          <w:pPr>
            <w:pStyle w:val="TOC2"/>
            <w:rPr>
              <w:noProof/>
              <w:sz w:val="24"/>
              <w:szCs w:val="24"/>
              <w:lang w:eastAsia="en-GB"/>
            </w:rPr>
          </w:pPr>
          <w:hyperlink w:anchor="_Toc130540421" w:history="1">
            <w:r w:rsidR="00CA2C8B" w:rsidRPr="006E0779">
              <w:rPr>
                <w:rStyle w:val="Hyperlink"/>
                <w:rFonts w:ascii="Times New Roman" w:hAnsi="Times New Roman" w:cs="Times New Roman"/>
                <w:noProof/>
              </w:rPr>
              <w:t>1.2</w:t>
            </w:r>
            <w:r w:rsidR="00CA2C8B">
              <w:rPr>
                <w:noProof/>
                <w:sz w:val="24"/>
                <w:szCs w:val="24"/>
                <w:lang w:eastAsia="en-GB"/>
              </w:rPr>
              <w:tab/>
            </w:r>
            <w:r w:rsidR="00CA2C8B" w:rsidRPr="006E0779">
              <w:rPr>
                <w:rStyle w:val="Hyperlink"/>
                <w:rFonts w:ascii="Times New Roman" w:hAnsi="Times New Roman" w:cs="Times New Roman"/>
                <w:noProof/>
              </w:rPr>
              <w:t>Scope and benefits of privacy protection</w:t>
            </w:r>
            <w:r w:rsidR="00CA2C8B">
              <w:rPr>
                <w:noProof/>
                <w:webHidden/>
              </w:rPr>
              <w:tab/>
            </w:r>
            <w:r w:rsidR="00CA2C8B">
              <w:rPr>
                <w:noProof/>
                <w:webHidden/>
              </w:rPr>
              <w:fldChar w:fldCharType="begin"/>
            </w:r>
            <w:r w:rsidR="00CA2C8B">
              <w:rPr>
                <w:noProof/>
                <w:webHidden/>
              </w:rPr>
              <w:instrText xml:space="preserve"> PAGEREF _Toc130540421 \h </w:instrText>
            </w:r>
            <w:r w:rsidR="00CA2C8B">
              <w:rPr>
                <w:noProof/>
                <w:webHidden/>
              </w:rPr>
            </w:r>
            <w:r w:rsidR="00CA2C8B">
              <w:rPr>
                <w:noProof/>
                <w:webHidden/>
              </w:rPr>
              <w:fldChar w:fldCharType="separate"/>
            </w:r>
            <w:r w:rsidR="00E66B60">
              <w:rPr>
                <w:noProof/>
                <w:webHidden/>
              </w:rPr>
              <w:t>1</w:t>
            </w:r>
            <w:r w:rsidR="00CA2C8B">
              <w:rPr>
                <w:noProof/>
                <w:webHidden/>
              </w:rPr>
              <w:fldChar w:fldCharType="end"/>
            </w:r>
          </w:hyperlink>
        </w:p>
        <w:p w14:paraId="61D44BC3" w14:textId="1E51549A" w:rsidR="00CA2C8B" w:rsidRDefault="00000000">
          <w:pPr>
            <w:pStyle w:val="TOC2"/>
            <w:rPr>
              <w:noProof/>
              <w:sz w:val="24"/>
              <w:szCs w:val="24"/>
              <w:lang w:eastAsia="en-GB"/>
            </w:rPr>
          </w:pPr>
          <w:hyperlink w:anchor="_Toc130540422" w:history="1">
            <w:r w:rsidR="00CA2C8B" w:rsidRPr="006E0779">
              <w:rPr>
                <w:rStyle w:val="Hyperlink"/>
                <w:rFonts w:ascii="Times New Roman" w:hAnsi="Times New Roman" w:cs="Times New Roman"/>
                <w:noProof/>
              </w:rPr>
              <w:t>1.3</w:t>
            </w:r>
            <w:r w:rsidR="00CA2C8B">
              <w:rPr>
                <w:noProof/>
                <w:sz w:val="24"/>
                <w:szCs w:val="24"/>
                <w:lang w:eastAsia="en-GB"/>
              </w:rPr>
              <w:tab/>
            </w:r>
            <w:r w:rsidR="00CA2C8B" w:rsidRPr="006E0779">
              <w:rPr>
                <w:rStyle w:val="Hyperlink"/>
                <w:rFonts w:ascii="Times New Roman" w:hAnsi="Times New Roman" w:cs="Times New Roman"/>
                <w:noProof/>
              </w:rPr>
              <w:t>Privacy protection in Tasmania</w:t>
            </w:r>
            <w:r w:rsidR="00CA2C8B">
              <w:rPr>
                <w:noProof/>
                <w:webHidden/>
              </w:rPr>
              <w:tab/>
            </w:r>
            <w:r w:rsidR="00CA2C8B">
              <w:rPr>
                <w:noProof/>
                <w:webHidden/>
              </w:rPr>
              <w:fldChar w:fldCharType="begin"/>
            </w:r>
            <w:r w:rsidR="00CA2C8B">
              <w:rPr>
                <w:noProof/>
                <w:webHidden/>
              </w:rPr>
              <w:instrText xml:space="preserve"> PAGEREF _Toc130540422 \h </w:instrText>
            </w:r>
            <w:r w:rsidR="00CA2C8B">
              <w:rPr>
                <w:noProof/>
                <w:webHidden/>
              </w:rPr>
            </w:r>
            <w:r w:rsidR="00CA2C8B">
              <w:rPr>
                <w:noProof/>
                <w:webHidden/>
              </w:rPr>
              <w:fldChar w:fldCharType="separate"/>
            </w:r>
            <w:r w:rsidR="00E66B60">
              <w:rPr>
                <w:noProof/>
                <w:webHidden/>
              </w:rPr>
              <w:t>3</w:t>
            </w:r>
            <w:r w:rsidR="00CA2C8B">
              <w:rPr>
                <w:noProof/>
                <w:webHidden/>
              </w:rPr>
              <w:fldChar w:fldCharType="end"/>
            </w:r>
          </w:hyperlink>
        </w:p>
        <w:p w14:paraId="286B6FE0" w14:textId="4BF55ADD" w:rsidR="00CA2C8B" w:rsidRDefault="00000000">
          <w:pPr>
            <w:pStyle w:val="TOC2"/>
            <w:rPr>
              <w:noProof/>
              <w:sz w:val="24"/>
              <w:szCs w:val="24"/>
              <w:lang w:eastAsia="en-GB"/>
            </w:rPr>
          </w:pPr>
          <w:hyperlink w:anchor="_Toc130540423" w:history="1">
            <w:r w:rsidR="00CA2C8B" w:rsidRPr="006E0779">
              <w:rPr>
                <w:rStyle w:val="Hyperlink"/>
                <w:rFonts w:ascii="Times New Roman" w:hAnsi="Times New Roman" w:cs="Times New Roman"/>
                <w:noProof/>
              </w:rPr>
              <w:t>1.4</w:t>
            </w:r>
            <w:r w:rsidR="00CA2C8B">
              <w:rPr>
                <w:noProof/>
                <w:sz w:val="24"/>
                <w:szCs w:val="24"/>
                <w:lang w:eastAsia="en-GB"/>
              </w:rPr>
              <w:tab/>
            </w:r>
            <w:r w:rsidR="00CA2C8B" w:rsidRPr="006E0779">
              <w:rPr>
                <w:rStyle w:val="Hyperlink"/>
                <w:rFonts w:ascii="Times New Roman" w:hAnsi="Times New Roman" w:cs="Times New Roman"/>
                <w:noProof/>
              </w:rPr>
              <w:t>Privacy protection in other Australian jurisdictions</w:t>
            </w:r>
            <w:r w:rsidR="00CA2C8B">
              <w:rPr>
                <w:noProof/>
                <w:webHidden/>
              </w:rPr>
              <w:tab/>
            </w:r>
            <w:r w:rsidR="00CA2C8B">
              <w:rPr>
                <w:noProof/>
                <w:webHidden/>
              </w:rPr>
              <w:fldChar w:fldCharType="begin"/>
            </w:r>
            <w:r w:rsidR="00CA2C8B">
              <w:rPr>
                <w:noProof/>
                <w:webHidden/>
              </w:rPr>
              <w:instrText xml:space="preserve"> PAGEREF _Toc130540423 \h </w:instrText>
            </w:r>
            <w:r w:rsidR="00CA2C8B">
              <w:rPr>
                <w:noProof/>
                <w:webHidden/>
              </w:rPr>
            </w:r>
            <w:r w:rsidR="00CA2C8B">
              <w:rPr>
                <w:noProof/>
                <w:webHidden/>
              </w:rPr>
              <w:fldChar w:fldCharType="separate"/>
            </w:r>
            <w:r w:rsidR="00E66B60">
              <w:rPr>
                <w:noProof/>
                <w:webHidden/>
              </w:rPr>
              <w:t>3</w:t>
            </w:r>
            <w:r w:rsidR="00CA2C8B">
              <w:rPr>
                <w:noProof/>
                <w:webHidden/>
              </w:rPr>
              <w:fldChar w:fldCharType="end"/>
            </w:r>
          </w:hyperlink>
        </w:p>
        <w:p w14:paraId="3CAFBDC4" w14:textId="39824C9E" w:rsidR="00CA2C8B" w:rsidRDefault="00000000">
          <w:pPr>
            <w:pStyle w:val="TOC2"/>
            <w:rPr>
              <w:noProof/>
              <w:sz w:val="24"/>
              <w:szCs w:val="24"/>
              <w:lang w:eastAsia="en-GB"/>
            </w:rPr>
          </w:pPr>
          <w:hyperlink w:anchor="_Toc130540424" w:history="1">
            <w:r w:rsidR="00CA2C8B" w:rsidRPr="006E0779">
              <w:rPr>
                <w:rStyle w:val="Hyperlink"/>
                <w:rFonts w:ascii="Times New Roman" w:hAnsi="Times New Roman" w:cs="Times New Roman"/>
                <w:noProof/>
              </w:rPr>
              <w:t>1.5</w:t>
            </w:r>
            <w:r w:rsidR="00CA2C8B">
              <w:rPr>
                <w:noProof/>
                <w:sz w:val="24"/>
                <w:szCs w:val="24"/>
                <w:lang w:eastAsia="en-GB"/>
              </w:rPr>
              <w:tab/>
            </w:r>
            <w:r w:rsidR="00CA2C8B" w:rsidRPr="006E0779">
              <w:rPr>
                <w:rStyle w:val="Hyperlink"/>
                <w:rFonts w:ascii="Times New Roman" w:hAnsi="Times New Roman" w:cs="Times New Roman"/>
                <w:noProof/>
              </w:rPr>
              <w:t>Reviews of Australian privacy regulation</w:t>
            </w:r>
            <w:r w:rsidR="00CA2C8B">
              <w:rPr>
                <w:noProof/>
                <w:webHidden/>
              </w:rPr>
              <w:tab/>
            </w:r>
            <w:r w:rsidR="00CA2C8B">
              <w:rPr>
                <w:noProof/>
                <w:webHidden/>
              </w:rPr>
              <w:fldChar w:fldCharType="begin"/>
            </w:r>
            <w:r w:rsidR="00CA2C8B">
              <w:rPr>
                <w:noProof/>
                <w:webHidden/>
              </w:rPr>
              <w:instrText xml:space="preserve"> PAGEREF _Toc130540424 \h </w:instrText>
            </w:r>
            <w:r w:rsidR="00CA2C8B">
              <w:rPr>
                <w:noProof/>
                <w:webHidden/>
              </w:rPr>
            </w:r>
            <w:r w:rsidR="00CA2C8B">
              <w:rPr>
                <w:noProof/>
                <w:webHidden/>
              </w:rPr>
              <w:fldChar w:fldCharType="separate"/>
            </w:r>
            <w:r w:rsidR="00E66B60">
              <w:rPr>
                <w:noProof/>
                <w:webHidden/>
              </w:rPr>
              <w:t>5</w:t>
            </w:r>
            <w:r w:rsidR="00CA2C8B">
              <w:rPr>
                <w:noProof/>
                <w:webHidden/>
              </w:rPr>
              <w:fldChar w:fldCharType="end"/>
            </w:r>
          </w:hyperlink>
        </w:p>
        <w:p w14:paraId="3D0FD66E" w14:textId="711C4956" w:rsidR="00CA2C8B" w:rsidRDefault="00000000">
          <w:pPr>
            <w:pStyle w:val="TOC2"/>
            <w:rPr>
              <w:noProof/>
              <w:sz w:val="24"/>
              <w:szCs w:val="24"/>
              <w:lang w:eastAsia="en-GB"/>
            </w:rPr>
          </w:pPr>
          <w:hyperlink w:anchor="_Toc130540425" w:history="1">
            <w:r w:rsidR="00CA2C8B" w:rsidRPr="006E0779">
              <w:rPr>
                <w:rStyle w:val="Hyperlink"/>
                <w:rFonts w:ascii="Times New Roman" w:hAnsi="Times New Roman" w:cs="Times New Roman"/>
                <w:noProof/>
              </w:rPr>
              <w:t>1.6</w:t>
            </w:r>
            <w:r w:rsidR="00CA2C8B">
              <w:rPr>
                <w:noProof/>
                <w:sz w:val="24"/>
                <w:szCs w:val="24"/>
                <w:lang w:eastAsia="en-GB"/>
              </w:rPr>
              <w:tab/>
            </w:r>
            <w:r w:rsidR="00CA2C8B" w:rsidRPr="006E0779">
              <w:rPr>
                <w:rStyle w:val="Hyperlink"/>
                <w:rFonts w:ascii="Times New Roman" w:hAnsi="Times New Roman" w:cs="Times New Roman"/>
                <w:noProof/>
              </w:rPr>
              <w:t>International comparisons</w:t>
            </w:r>
            <w:r w:rsidR="00CA2C8B">
              <w:rPr>
                <w:noProof/>
                <w:webHidden/>
              </w:rPr>
              <w:tab/>
            </w:r>
            <w:r w:rsidR="00CA2C8B">
              <w:rPr>
                <w:noProof/>
                <w:webHidden/>
              </w:rPr>
              <w:fldChar w:fldCharType="begin"/>
            </w:r>
            <w:r w:rsidR="00CA2C8B">
              <w:rPr>
                <w:noProof/>
                <w:webHidden/>
              </w:rPr>
              <w:instrText xml:space="preserve"> PAGEREF _Toc130540425 \h </w:instrText>
            </w:r>
            <w:r w:rsidR="00CA2C8B">
              <w:rPr>
                <w:noProof/>
                <w:webHidden/>
              </w:rPr>
            </w:r>
            <w:r w:rsidR="00CA2C8B">
              <w:rPr>
                <w:noProof/>
                <w:webHidden/>
              </w:rPr>
              <w:fldChar w:fldCharType="separate"/>
            </w:r>
            <w:r w:rsidR="00E66B60">
              <w:rPr>
                <w:noProof/>
                <w:webHidden/>
              </w:rPr>
              <w:t>5</w:t>
            </w:r>
            <w:r w:rsidR="00CA2C8B">
              <w:rPr>
                <w:noProof/>
                <w:webHidden/>
              </w:rPr>
              <w:fldChar w:fldCharType="end"/>
            </w:r>
          </w:hyperlink>
        </w:p>
        <w:p w14:paraId="23A205B7" w14:textId="73D30943" w:rsidR="00CA2C8B" w:rsidRDefault="00000000">
          <w:pPr>
            <w:pStyle w:val="TOC1"/>
            <w:rPr>
              <w:noProof/>
              <w:sz w:val="24"/>
              <w:szCs w:val="24"/>
              <w:lang w:eastAsia="en-GB"/>
            </w:rPr>
          </w:pPr>
          <w:hyperlink w:anchor="_Toc130540426" w:history="1">
            <w:r w:rsidR="00CA2C8B" w:rsidRPr="006E0779">
              <w:rPr>
                <w:rStyle w:val="Hyperlink"/>
                <w:rFonts w:ascii="Times New Roman" w:hAnsi="Times New Roman" w:cs="Times New Roman"/>
                <w:noProof/>
              </w:rPr>
              <w:t>2</w:t>
            </w:r>
            <w:r w:rsidR="00CA2C8B">
              <w:rPr>
                <w:noProof/>
                <w:sz w:val="24"/>
                <w:szCs w:val="24"/>
                <w:lang w:eastAsia="en-GB"/>
              </w:rPr>
              <w:tab/>
            </w:r>
            <w:r w:rsidR="00CA2C8B" w:rsidRPr="006E0779">
              <w:rPr>
                <w:rStyle w:val="Hyperlink"/>
                <w:rFonts w:ascii="Times New Roman" w:hAnsi="Times New Roman" w:cs="Times New Roman"/>
                <w:noProof/>
              </w:rPr>
              <w:t>Personal Information Protection Act 2004 (Tas) (‘PIPA’)</w:t>
            </w:r>
            <w:r w:rsidR="00CA2C8B">
              <w:rPr>
                <w:noProof/>
                <w:webHidden/>
              </w:rPr>
              <w:tab/>
            </w:r>
            <w:r w:rsidR="00CA2C8B">
              <w:rPr>
                <w:noProof/>
                <w:webHidden/>
              </w:rPr>
              <w:fldChar w:fldCharType="begin"/>
            </w:r>
            <w:r w:rsidR="00CA2C8B">
              <w:rPr>
                <w:noProof/>
                <w:webHidden/>
              </w:rPr>
              <w:instrText xml:space="preserve"> PAGEREF _Toc130540426 \h </w:instrText>
            </w:r>
            <w:r w:rsidR="00CA2C8B">
              <w:rPr>
                <w:noProof/>
                <w:webHidden/>
              </w:rPr>
            </w:r>
            <w:r w:rsidR="00CA2C8B">
              <w:rPr>
                <w:noProof/>
                <w:webHidden/>
              </w:rPr>
              <w:fldChar w:fldCharType="separate"/>
            </w:r>
            <w:r w:rsidR="00E66B60">
              <w:rPr>
                <w:noProof/>
                <w:webHidden/>
              </w:rPr>
              <w:t>7</w:t>
            </w:r>
            <w:r w:rsidR="00CA2C8B">
              <w:rPr>
                <w:noProof/>
                <w:webHidden/>
              </w:rPr>
              <w:fldChar w:fldCharType="end"/>
            </w:r>
          </w:hyperlink>
        </w:p>
        <w:p w14:paraId="19C20976" w14:textId="54366F1A" w:rsidR="00CA2C8B" w:rsidRDefault="00000000">
          <w:pPr>
            <w:pStyle w:val="TOC2"/>
            <w:rPr>
              <w:noProof/>
              <w:sz w:val="24"/>
              <w:szCs w:val="24"/>
              <w:lang w:eastAsia="en-GB"/>
            </w:rPr>
          </w:pPr>
          <w:hyperlink w:anchor="_Toc130540427" w:history="1">
            <w:r w:rsidR="00CA2C8B" w:rsidRPr="006E0779">
              <w:rPr>
                <w:rStyle w:val="Hyperlink"/>
                <w:rFonts w:ascii="Times New Roman" w:hAnsi="Times New Roman" w:cs="Times New Roman"/>
                <w:noProof/>
              </w:rPr>
              <w:t>2.1</w:t>
            </w:r>
            <w:r w:rsidR="00CA2C8B">
              <w:rPr>
                <w:noProof/>
                <w:sz w:val="24"/>
                <w:szCs w:val="24"/>
                <w:lang w:eastAsia="en-GB"/>
              </w:rPr>
              <w:tab/>
            </w:r>
            <w:r w:rsidR="00CA2C8B" w:rsidRPr="006E0779">
              <w:rPr>
                <w:rStyle w:val="Hyperlink"/>
                <w:rFonts w:ascii="Times New Roman" w:hAnsi="Times New Roman" w:cs="Times New Roman"/>
                <w:noProof/>
              </w:rPr>
              <w:t>Introduction</w:t>
            </w:r>
            <w:r w:rsidR="00CA2C8B">
              <w:rPr>
                <w:noProof/>
                <w:webHidden/>
              </w:rPr>
              <w:tab/>
            </w:r>
            <w:r w:rsidR="00CA2C8B">
              <w:rPr>
                <w:noProof/>
                <w:webHidden/>
              </w:rPr>
              <w:fldChar w:fldCharType="begin"/>
            </w:r>
            <w:r w:rsidR="00CA2C8B">
              <w:rPr>
                <w:noProof/>
                <w:webHidden/>
              </w:rPr>
              <w:instrText xml:space="preserve"> PAGEREF _Toc130540427 \h </w:instrText>
            </w:r>
            <w:r w:rsidR="00CA2C8B">
              <w:rPr>
                <w:noProof/>
                <w:webHidden/>
              </w:rPr>
            </w:r>
            <w:r w:rsidR="00CA2C8B">
              <w:rPr>
                <w:noProof/>
                <w:webHidden/>
              </w:rPr>
              <w:fldChar w:fldCharType="separate"/>
            </w:r>
            <w:r w:rsidR="00E66B60">
              <w:rPr>
                <w:noProof/>
                <w:webHidden/>
              </w:rPr>
              <w:t>7</w:t>
            </w:r>
            <w:r w:rsidR="00CA2C8B">
              <w:rPr>
                <w:noProof/>
                <w:webHidden/>
              </w:rPr>
              <w:fldChar w:fldCharType="end"/>
            </w:r>
          </w:hyperlink>
        </w:p>
        <w:p w14:paraId="43F1AE63" w14:textId="0B710C1F" w:rsidR="00CA2C8B" w:rsidRDefault="00000000">
          <w:pPr>
            <w:pStyle w:val="TOC2"/>
            <w:rPr>
              <w:noProof/>
              <w:sz w:val="24"/>
              <w:szCs w:val="24"/>
              <w:lang w:eastAsia="en-GB"/>
            </w:rPr>
          </w:pPr>
          <w:hyperlink w:anchor="_Toc130540428" w:history="1">
            <w:r w:rsidR="00CA2C8B" w:rsidRPr="006E0779">
              <w:rPr>
                <w:rStyle w:val="Hyperlink"/>
                <w:rFonts w:ascii="Times New Roman" w:hAnsi="Times New Roman" w:cs="Times New Roman"/>
                <w:noProof/>
              </w:rPr>
              <w:t>2.2</w:t>
            </w:r>
            <w:r w:rsidR="00CA2C8B">
              <w:rPr>
                <w:noProof/>
                <w:sz w:val="24"/>
                <w:szCs w:val="24"/>
                <w:lang w:eastAsia="en-GB"/>
              </w:rPr>
              <w:tab/>
            </w:r>
            <w:r w:rsidR="00CA2C8B" w:rsidRPr="006E0779">
              <w:rPr>
                <w:rStyle w:val="Hyperlink"/>
                <w:rFonts w:ascii="Times New Roman" w:hAnsi="Times New Roman" w:cs="Times New Roman"/>
                <w:noProof/>
              </w:rPr>
              <w:t>Scope and application of the PIPA</w:t>
            </w:r>
            <w:r w:rsidR="00CA2C8B">
              <w:rPr>
                <w:noProof/>
                <w:webHidden/>
              </w:rPr>
              <w:tab/>
            </w:r>
            <w:r w:rsidR="00CA2C8B">
              <w:rPr>
                <w:noProof/>
                <w:webHidden/>
              </w:rPr>
              <w:fldChar w:fldCharType="begin"/>
            </w:r>
            <w:r w:rsidR="00CA2C8B">
              <w:rPr>
                <w:noProof/>
                <w:webHidden/>
              </w:rPr>
              <w:instrText xml:space="preserve"> PAGEREF _Toc130540428 \h </w:instrText>
            </w:r>
            <w:r w:rsidR="00CA2C8B">
              <w:rPr>
                <w:noProof/>
                <w:webHidden/>
              </w:rPr>
            </w:r>
            <w:r w:rsidR="00CA2C8B">
              <w:rPr>
                <w:noProof/>
                <w:webHidden/>
              </w:rPr>
              <w:fldChar w:fldCharType="separate"/>
            </w:r>
            <w:r w:rsidR="00E66B60">
              <w:rPr>
                <w:noProof/>
                <w:webHidden/>
              </w:rPr>
              <w:t>8</w:t>
            </w:r>
            <w:r w:rsidR="00CA2C8B">
              <w:rPr>
                <w:noProof/>
                <w:webHidden/>
              </w:rPr>
              <w:fldChar w:fldCharType="end"/>
            </w:r>
          </w:hyperlink>
        </w:p>
        <w:p w14:paraId="29BBE07C" w14:textId="6A15FD77" w:rsidR="00CA2C8B" w:rsidRDefault="00000000">
          <w:pPr>
            <w:pStyle w:val="TOC2"/>
            <w:rPr>
              <w:noProof/>
              <w:sz w:val="24"/>
              <w:szCs w:val="24"/>
              <w:lang w:eastAsia="en-GB"/>
            </w:rPr>
          </w:pPr>
          <w:hyperlink w:anchor="_Toc130540429" w:history="1">
            <w:r w:rsidR="00CA2C8B" w:rsidRPr="006E0779">
              <w:rPr>
                <w:rStyle w:val="Hyperlink"/>
                <w:rFonts w:ascii="Times New Roman" w:hAnsi="Times New Roman" w:cs="Times New Roman"/>
                <w:i/>
                <w:iCs/>
                <w:noProof/>
              </w:rPr>
              <w:t>Bodies subject to the PIPA</w:t>
            </w:r>
            <w:r w:rsidR="00CA2C8B">
              <w:rPr>
                <w:noProof/>
                <w:webHidden/>
              </w:rPr>
              <w:tab/>
            </w:r>
            <w:r w:rsidR="00CA2C8B">
              <w:rPr>
                <w:noProof/>
                <w:webHidden/>
              </w:rPr>
              <w:fldChar w:fldCharType="begin"/>
            </w:r>
            <w:r w:rsidR="00CA2C8B">
              <w:rPr>
                <w:noProof/>
                <w:webHidden/>
              </w:rPr>
              <w:instrText xml:space="preserve"> PAGEREF _Toc130540429 \h </w:instrText>
            </w:r>
            <w:r w:rsidR="00CA2C8B">
              <w:rPr>
                <w:noProof/>
                <w:webHidden/>
              </w:rPr>
            </w:r>
            <w:r w:rsidR="00CA2C8B">
              <w:rPr>
                <w:noProof/>
                <w:webHidden/>
              </w:rPr>
              <w:fldChar w:fldCharType="separate"/>
            </w:r>
            <w:r w:rsidR="00E66B60">
              <w:rPr>
                <w:noProof/>
                <w:webHidden/>
              </w:rPr>
              <w:t>8</w:t>
            </w:r>
            <w:r w:rsidR="00CA2C8B">
              <w:rPr>
                <w:noProof/>
                <w:webHidden/>
              </w:rPr>
              <w:fldChar w:fldCharType="end"/>
            </w:r>
          </w:hyperlink>
        </w:p>
        <w:p w14:paraId="279FCAB1" w14:textId="52C7BC53" w:rsidR="00CA2C8B" w:rsidRDefault="00000000">
          <w:pPr>
            <w:pStyle w:val="TOC2"/>
            <w:rPr>
              <w:noProof/>
              <w:sz w:val="24"/>
              <w:szCs w:val="24"/>
              <w:lang w:eastAsia="en-GB"/>
            </w:rPr>
          </w:pPr>
          <w:hyperlink w:anchor="_Toc130540430" w:history="1">
            <w:r w:rsidR="00CA2C8B" w:rsidRPr="006E0779">
              <w:rPr>
                <w:rStyle w:val="Hyperlink"/>
                <w:rFonts w:ascii="Times New Roman" w:hAnsi="Times New Roman" w:cs="Times New Roman"/>
                <w:i/>
                <w:iCs/>
                <w:noProof/>
              </w:rPr>
              <w:t>Obligations under Commonwealth privacy law for Tasmanian bodies</w:t>
            </w:r>
            <w:r w:rsidR="00CA2C8B">
              <w:rPr>
                <w:noProof/>
                <w:webHidden/>
              </w:rPr>
              <w:tab/>
            </w:r>
            <w:r w:rsidR="00CA2C8B">
              <w:rPr>
                <w:noProof/>
                <w:webHidden/>
              </w:rPr>
              <w:fldChar w:fldCharType="begin"/>
            </w:r>
            <w:r w:rsidR="00CA2C8B">
              <w:rPr>
                <w:noProof/>
                <w:webHidden/>
              </w:rPr>
              <w:instrText xml:space="preserve"> PAGEREF _Toc130540430 \h </w:instrText>
            </w:r>
            <w:r w:rsidR="00CA2C8B">
              <w:rPr>
                <w:noProof/>
                <w:webHidden/>
              </w:rPr>
            </w:r>
            <w:r w:rsidR="00CA2C8B">
              <w:rPr>
                <w:noProof/>
                <w:webHidden/>
              </w:rPr>
              <w:fldChar w:fldCharType="separate"/>
            </w:r>
            <w:r w:rsidR="00E66B60">
              <w:rPr>
                <w:noProof/>
                <w:webHidden/>
              </w:rPr>
              <w:t>10</w:t>
            </w:r>
            <w:r w:rsidR="00CA2C8B">
              <w:rPr>
                <w:noProof/>
                <w:webHidden/>
              </w:rPr>
              <w:fldChar w:fldCharType="end"/>
            </w:r>
          </w:hyperlink>
        </w:p>
        <w:p w14:paraId="382FB361" w14:textId="6C64081E" w:rsidR="00CA2C8B" w:rsidRDefault="00000000">
          <w:pPr>
            <w:pStyle w:val="TOC2"/>
            <w:rPr>
              <w:noProof/>
              <w:sz w:val="24"/>
              <w:szCs w:val="24"/>
              <w:lang w:eastAsia="en-GB"/>
            </w:rPr>
          </w:pPr>
          <w:hyperlink w:anchor="_Toc130540431" w:history="1">
            <w:r w:rsidR="00CA2C8B" w:rsidRPr="006E0779">
              <w:rPr>
                <w:rStyle w:val="Hyperlink"/>
                <w:rFonts w:ascii="Times New Roman" w:hAnsi="Times New Roman" w:cs="Times New Roman"/>
                <w:i/>
                <w:iCs/>
                <w:noProof/>
              </w:rPr>
              <w:t>Protection of ‘personal information’</w:t>
            </w:r>
            <w:r w:rsidR="00CA2C8B">
              <w:rPr>
                <w:noProof/>
                <w:webHidden/>
              </w:rPr>
              <w:tab/>
            </w:r>
            <w:r w:rsidR="00CA2C8B">
              <w:rPr>
                <w:noProof/>
                <w:webHidden/>
              </w:rPr>
              <w:fldChar w:fldCharType="begin"/>
            </w:r>
            <w:r w:rsidR="00CA2C8B">
              <w:rPr>
                <w:noProof/>
                <w:webHidden/>
              </w:rPr>
              <w:instrText xml:space="preserve"> PAGEREF _Toc130540431 \h </w:instrText>
            </w:r>
            <w:r w:rsidR="00CA2C8B">
              <w:rPr>
                <w:noProof/>
                <w:webHidden/>
              </w:rPr>
            </w:r>
            <w:r w:rsidR="00CA2C8B">
              <w:rPr>
                <w:noProof/>
                <w:webHidden/>
              </w:rPr>
              <w:fldChar w:fldCharType="separate"/>
            </w:r>
            <w:r w:rsidR="00E66B60">
              <w:rPr>
                <w:noProof/>
                <w:webHidden/>
              </w:rPr>
              <w:t>11</w:t>
            </w:r>
            <w:r w:rsidR="00CA2C8B">
              <w:rPr>
                <w:noProof/>
                <w:webHidden/>
              </w:rPr>
              <w:fldChar w:fldCharType="end"/>
            </w:r>
          </w:hyperlink>
        </w:p>
        <w:p w14:paraId="19016A3B" w14:textId="719C1186" w:rsidR="00CA2C8B" w:rsidRDefault="00000000">
          <w:pPr>
            <w:pStyle w:val="TOC2"/>
            <w:rPr>
              <w:noProof/>
              <w:sz w:val="24"/>
              <w:szCs w:val="24"/>
              <w:lang w:eastAsia="en-GB"/>
            </w:rPr>
          </w:pPr>
          <w:hyperlink w:anchor="_Toc130540432" w:history="1">
            <w:r w:rsidR="00CA2C8B" w:rsidRPr="006E0779">
              <w:rPr>
                <w:rStyle w:val="Hyperlink"/>
                <w:rFonts w:ascii="Times New Roman" w:hAnsi="Times New Roman" w:cs="Times New Roman"/>
                <w:i/>
                <w:iCs/>
                <w:noProof/>
              </w:rPr>
              <w:t>Types of information given additional protection</w:t>
            </w:r>
            <w:r w:rsidR="00CA2C8B">
              <w:rPr>
                <w:noProof/>
                <w:webHidden/>
              </w:rPr>
              <w:tab/>
            </w:r>
            <w:r w:rsidR="00CA2C8B">
              <w:rPr>
                <w:noProof/>
                <w:webHidden/>
              </w:rPr>
              <w:fldChar w:fldCharType="begin"/>
            </w:r>
            <w:r w:rsidR="00CA2C8B">
              <w:rPr>
                <w:noProof/>
                <w:webHidden/>
              </w:rPr>
              <w:instrText xml:space="preserve"> PAGEREF _Toc130540432 \h </w:instrText>
            </w:r>
            <w:r w:rsidR="00CA2C8B">
              <w:rPr>
                <w:noProof/>
                <w:webHidden/>
              </w:rPr>
            </w:r>
            <w:r w:rsidR="00CA2C8B">
              <w:rPr>
                <w:noProof/>
                <w:webHidden/>
              </w:rPr>
              <w:fldChar w:fldCharType="separate"/>
            </w:r>
            <w:r w:rsidR="00E66B60">
              <w:rPr>
                <w:noProof/>
                <w:webHidden/>
              </w:rPr>
              <w:t>14</w:t>
            </w:r>
            <w:r w:rsidR="00CA2C8B">
              <w:rPr>
                <w:noProof/>
                <w:webHidden/>
              </w:rPr>
              <w:fldChar w:fldCharType="end"/>
            </w:r>
          </w:hyperlink>
        </w:p>
        <w:p w14:paraId="665512AD" w14:textId="774D4EC8" w:rsidR="00CA2C8B" w:rsidRDefault="00000000">
          <w:pPr>
            <w:pStyle w:val="TOC2"/>
            <w:rPr>
              <w:noProof/>
              <w:sz w:val="24"/>
              <w:szCs w:val="24"/>
              <w:lang w:eastAsia="en-GB"/>
            </w:rPr>
          </w:pPr>
          <w:hyperlink w:anchor="_Toc130540433" w:history="1">
            <w:r w:rsidR="00CA2C8B" w:rsidRPr="006E0779">
              <w:rPr>
                <w:rStyle w:val="Hyperlink"/>
                <w:rFonts w:ascii="Times New Roman" w:hAnsi="Times New Roman" w:cs="Times New Roman"/>
                <w:i/>
                <w:iCs/>
                <w:noProof/>
              </w:rPr>
              <w:t>Information which is less protected by the PIPA</w:t>
            </w:r>
            <w:r w:rsidR="00CA2C8B">
              <w:rPr>
                <w:noProof/>
                <w:webHidden/>
              </w:rPr>
              <w:tab/>
            </w:r>
            <w:r w:rsidR="00CA2C8B">
              <w:rPr>
                <w:noProof/>
                <w:webHidden/>
              </w:rPr>
              <w:fldChar w:fldCharType="begin"/>
            </w:r>
            <w:r w:rsidR="00CA2C8B">
              <w:rPr>
                <w:noProof/>
                <w:webHidden/>
              </w:rPr>
              <w:instrText xml:space="preserve"> PAGEREF _Toc130540433 \h </w:instrText>
            </w:r>
            <w:r w:rsidR="00CA2C8B">
              <w:rPr>
                <w:noProof/>
                <w:webHidden/>
              </w:rPr>
            </w:r>
            <w:r w:rsidR="00CA2C8B">
              <w:rPr>
                <w:noProof/>
                <w:webHidden/>
              </w:rPr>
              <w:fldChar w:fldCharType="separate"/>
            </w:r>
            <w:r w:rsidR="00E66B60">
              <w:rPr>
                <w:noProof/>
                <w:webHidden/>
              </w:rPr>
              <w:t>17</w:t>
            </w:r>
            <w:r w:rsidR="00CA2C8B">
              <w:rPr>
                <w:noProof/>
                <w:webHidden/>
              </w:rPr>
              <w:fldChar w:fldCharType="end"/>
            </w:r>
          </w:hyperlink>
        </w:p>
        <w:p w14:paraId="68BA6E5B" w14:textId="4C43AFD6" w:rsidR="00CA2C8B" w:rsidRDefault="00000000">
          <w:pPr>
            <w:pStyle w:val="TOC2"/>
            <w:rPr>
              <w:noProof/>
              <w:sz w:val="24"/>
              <w:szCs w:val="24"/>
              <w:lang w:eastAsia="en-GB"/>
            </w:rPr>
          </w:pPr>
          <w:hyperlink w:anchor="_Toc130540434" w:history="1">
            <w:r w:rsidR="00CA2C8B" w:rsidRPr="006E0779">
              <w:rPr>
                <w:rStyle w:val="Hyperlink"/>
                <w:rFonts w:ascii="Times New Roman" w:hAnsi="Times New Roman" w:cs="Times New Roman"/>
                <w:noProof/>
              </w:rPr>
              <w:t>2.3</w:t>
            </w:r>
            <w:r w:rsidR="00CA2C8B">
              <w:rPr>
                <w:noProof/>
                <w:sz w:val="24"/>
                <w:szCs w:val="24"/>
                <w:lang w:eastAsia="en-GB"/>
              </w:rPr>
              <w:tab/>
            </w:r>
            <w:r w:rsidR="00CA2C8B" w:rsidRPr="006E0779">
              <w:rPr>
                <w:rStyle w:val="Hyperlink"/>
                <w:rFonts w:ascii="Times New Roman" w:hAnsi="Times New Roman" w:cs="Times New Roman"/>
                <w:noProof/>
              </w:rPr>
              <w:t>Personal Information Protection Principles</w:t>
            </w:r>
            <w:r w:rsidR="00CA2C8B">
              <w:rPr>
                <w:noProof/>
                <w:webHidden/>
              </w:rPr>
              <w:tab/>
            </w:r>
            <w:r w:rsidR="00CA2C8B">
              <w:rPr>
                <w:noProof/>
                <w:webHidden/>
              </w:rPr>
              <w:fldChar w:fldCharType="begin"/>
            </w:r>
            <w:r w:rsidR="00CA2C8B">
              <w:rPr>
                <w:noProof/>
                <w:webHidden/>
              </w:rPr>
              <w:instrText xml:space="preserve"> PAGEREF _Toc130540434 \h </w:instrText>
            </w:r>
            <w:r w:rsidR="00CA2C8B">
              <w:rPr>
                <w:noProof/>
                <w:webHidden/>
              </w:rPr>
            </w:r>
            <w:r w:rsidR="00CA2C8B">
              <w:rPr>
                <w:noProof/>
                <w:webHidden/>
              </w:rPr>
              <w:fldChar w:fldCharType="separate"/>
            </w:r>
            <w:r w:rsidR="00E66B60">
              <w:rPr>
                <w:noProof/>
                <w:webHidden/>
              </w:rPr>
              <w:t>23</w:t>
            </w:r>
            <w:r w:rsidR="00CA2C8B">
              <w:rPr>
                <w:noProof/>
                <w:webHidden/>
              </w:rPr>
              <w:fldChar w:fldCharType="end"/>
            </w:r>
          </w:hyperlink>
        </w:p>
        <w:p w14:paraId="53288E65" w14:textId="107CE27E" w:rsidR="00CA2C8B" w:rsidRDefault="00000000">
          <w:pPr>
            <w:pStyle w:val="TOC2"/>
            <w:rPr>
              <w:noProof/>
              <w:sz w:val="24"/>
              <w:szCs w:val="24"/>
              <w:lang w:eastAsia="en-GB"/>
            </w:rPr>
          </w:pPr>
          <w:hyperlink w:anchor="_Toc130540435" w:history="1">
            <w:r w:rsidR="00CA2C8B" w:rsidRPr="006E0779">
              <w:rPr>
                <w:rStyle w:val="Hyperlink"/>
                <w:rFonts w:ascii="Times New Roman" w:hAnsi="Times New Roman" w:cs="Times New Roman"/>
                <w:i/>
                <w:iCs/>
                <w:noProof/>
              </w:rPr>
              <w:t>The PIPPs in comparison with other jurisdictions</w:t>
            </w:r>
            <w:r w:rsidR="00CA2C8B">
              <w:rPr>
                <w:noProof/>
                <w:webHidden/>
              </w:rPr>
              <w:tab/>
            </w:r>
            <w:r w:rsidR="00CA2C8B">
              <w:rPr>
                <w:noProof/>
                <w:webHidden/>
              </w:rPr>
              <w:fldChar w:fldCharType="begin"/>
            </w:r>
            <w:r w:rsidR="00CA2C8B">
              <w:rPr>
                <w:noProof/>
                <w:webHidden/>
              </w:rPr>
              <w:instrText xml:space="preserve"> PAGEREF _Toc130540435 \h </w:instrText>
            </w:r>
            <w:r w:rsidR="00CA2C8B">
              <w:rPr>
                <w:noProof/>
                <w:webHidden/>
              </w:rPr>
            </w:r>
            <w:r w:rsidR="00CA2C8B">
              <w:rPr>
                <w:noProof/>
                <w:webHidden/>
              </w:rPr>
              <w:fldChar w:fldCharType="separate"/>
            </w:r>
            <w:r w:rsidR="00E66B60">
              <w:rPr>
                <w:noProof/>
                <w:webHidden/>
              </w:rPr>
              <w:t>23</w:t>
            </w:r>
            <w:r w:rsidR="00CA2C8B">
              <w:rPr>
                <w:noProof/>
                <w:webHidden/>
              </w:rPr>
              <w:fldChar w:fldCharType="end"/>
            </w:r>
          </w:hyperlink>
        </w:p>
        <w:p w14:paraId="55EBA3C3" w14:textId="6A0AAB1B" w:rsidR="00CA2C8B" w:rsidRDefault="00000000">
          <w:pPr>
            <w:pStyle w:val="TOC2"/>
            <w:rPr>
              <w:noProof/>
              <w:sz w:val="24"/>
              <w:szCs w:val="24"/>
              <w:lang w:eastAsia="en-GB"/>
            </w:rPr>
          </w:pPr>
          <w:hyperlink w:anchor="_Toc130540436" w:history="1">
            <w:r w:rsidR="00CA2C8B" w:rsidRPr="006E0779">
              <w:rPr>
                <w:rStyle w:val="Hyperlink"/>
                <w:rFonts w:ascii="Times New Roman" w:hAnsi="Times New Roman" w:cs="Times New Roman"/>
                <w:i/>
                <w:iCs/>
                <w:noProof/>
              </w:rPr>
              <w:t>Other differences between the PIPPs and APPs</w:t>
            </w:r>
            <w:r w:rsidR="00CA2C8B">
              <w:rPr>
                <w:noProof/>
                <w:webHidden/>
              </w:rPr>
              <w:tab/>
            </w:r>
            <w:r w:rsidR="00CA2C8B">
              <w:rPr>
                <w:noProof/>
                <w:webHidden/>
              </w:rPr>
              <w:fldChar w:fldCharType="begin"/>
            </w:r>
            <w:r w:rsidR="00CA2C8B">
              <w:rPr>
                <w:noProof/>
                <w:webHidden/>
              </w:rPr>
              <w:instrText xml:space="preserve"> PAGEREF _Toc130540436 \h </w:instrText>
            </w:r>
            <w:r w:rsidR="00CA2C8B">
              <w:rPr>
                <w:noProof/>
                <w:webHidden/>
              </w:rPr>
            </w:r>
            <w:r w:rsidR="00CA2C8B">
              <w:rPr>
                <w:noProof/>
                <w:webHidden/>
              </w:rPr>
              <w:fldChar w:fldCharType="separate"/>
            </w:r>
            <w:r w:rsidR="00E66B60">
              <w:rPr>
                <w:noProof/>
                <w:webHidden/>
              </w:rPr>
              <w:t>31</w:t>
            </w:r>
            <w:r w:rsidR="00CA2C8B">
              <w:rPr>
                <w:noProof/>
                <w:webHidden/>
              </w:rPr>
              <w:fldChar w:fldCharType="end"/>
            </w:r>
          </w:hyperlink>
        </w:p>
        <w:p w14:paraId="4BF65F55" w14:textId="2FC86236" w:rsidR="00CA2C8B" w:rsidRDefault="00000000">
          <w:pPr>
            <w:pStyle w:val="TOC2"/>
            <w:rPr>
              <w:noProof/>
              <w:sz w:val="24"/>
              <w:szCs w:val="24"/>
              <w:lang w:eastAsia="en-GB"/>
            </w:rPr>
          </w:pPr>
          <w:hyperlink w:anchor="_Toc130540437" w:history="1">
            <w:r w:rsidR="00CA2C8B" w:rsidRPr="006E0779">
              <w:rPr>
                <w:rStyle w:val="Hyperlink"/>
                <w:rFonts w:ascii="Times New Roman" w:hAnsi="Times New Roman" w:cs="Times New Roman"/>
                <w:i/>
                <w:iCs/>
                <w:noProof/>
              </w:rPr>
              <w:t>Potential reforms</w:t>
            </w:r>
            <w:r w:rsidR="00CA2C8B">
              <w:rPr>
                <w:noProof/>
                <w:webHidden/>
              </w:rPr>
              <w:tab/>
            </w:r>
            <w:r w:rsidR="00CA2C8B">
              <w:rPr>
                <w:noProof/>
                <w:webHidden/>
              </w:rPr>
              <w:fldChar w:fldCharType="begin"/>
            </w:r>
            <w:r w:rsidR="00CA2C8B">
              <w:rPr>
                <w:noProof/>
                <w:webHidden/>
              </w:rPr>
              <w:instrText xml:space="preserve"> PAGEREF _Toc130540437 \h </w:instrText>
            </w:r>
            <w:r w:rsidR="00CA2C8B">
              <w:rPr>
                <w:noProof/>
                <w:webHidden/>
              </w:rPr>
            </w:r>
            <w:r w:rsidR="00CA2C8B">
              <w:rPr>
                <w:noProof/>
                <w:webHidden/>
              </w:rPr>
              <w:fldChar w:fldCharType="separate"/>
            </w:r>
            <w:r w:rsidR="00E66B60">
              <w:rPr>
                <w:noProof/>
                <w:webHidden/>
              </w:rPr>
              <w:t>33</w:t>
            </w:r>
            <w:r w:rsidR="00CA2C8B">
              <w:rPr>
                <w:noProof/>
                <w:webHidden/>
              </w:rPr>
              <w:fldChar w:fldCharType="end"/>
            </w:r>
          </w:hyperlink>
        </w:p>
        <w:p w14:paraId="45B42482" w14:textId="1E742D18" w:rsidR="00CA2C8B" w:rsidRDefault="00000000">
          <w:pPr>
            <w:pStyle w:val="TOC2"/>
            <w:rPr>
              <w:noProof/>
              <w:sz w:val="24"/>
              <w:szCs w:val="24"/>
              <w:lang w:eastAsia="en-GB"/>
            </w:rPr>
          </w:pPr>
          <w:hyperlink w:anchor="_Toc130540438" w:history="1">
            <w:r w:rsidR="00CA2C8B" w:rsidRPr="006E0779">
              <w:rPr>
                <w:rStyle w:val="Hyperlink"/>
                <w:rFonts w:ascii="Times New Roman" w:hAnsi="Times New Roman" w:cs="Times New Roman"/>
                <w:noProof/>
              </w:rPr>
              <w:t>2.4</w:t>
            </w:r>
            <w:r w:rsidR="00CA2C8B">
              <w:rPr>
                <w:noProof/>
                <w:sz w:val="24"/>
                <w:szCs w:val="24"/>
                <w:lang w:eastAsia="en-GB"/>
              </w:rPr>
              <w:tab/>
            </w:r>
            <w:r w:rsidR="00CA2C8B" w:rsidRPr="006E0779">
              <w:rPr>
                <w:rStyle w:val="Hyperlink"/>
                <w:rFonts w:ascii="Times New Roman" w:hAnsi="Times New Roman" w:cs="Times New Roman"/>
                <w:noProof/>
              </w:rPr>
              <w:t>Complaints, monitoring, and enforcement</w:t>
            </w:r>
            <w:r w:rsidR="00CA2C8B">
              <w:rPr>
                <w:noProof/>
                <w:webHidden/>
              </w:rPr>
              <w:tab/>
            </w:r>
            <w:r w:rsidR="00CA2C8B">
              <w:rPr>
                <w:noProof/>
                <w:webHidden/>
              </w:rPr>
              <w:fldChar w:fldCharType="begin"/>
            </w:r>
            <w:r w:rsidR="00CA2C8B">
              <w:rPr>
                <w:noProof/>
                <w:webHidden/>
              </w:rPr>
              <w:instrText xml:space="preserve"> PAGEREF _Toc130540438 \h </w:instrText>
            </w:r>
            <w:r w:rsidR="00CA2C8B">
              <w:rPr>
                <w:noProof/>
                <w:webHidden/>
              </w:rPr>
            </w:r>
            <w:r w:rsidR="00CA2C8B">
              <w:rPr>
                <w:noProof/>
                <w:webHidden/>
              </w:rPr>
              <w:fldChar w:fldCharType="separate"/>
            </w:r>
            <w:r w:rsidR="00E66B60">
              <w:rPr>
                <w:noProof/>
                <w:webHidden/>
              </w:rPr>
              <w:t>39</w:t>
            </w:r>
            <w:r w:rsidR="00CA2C8B">
              <w:rPr>
                <w:noProof/>
                <w:webHidden/>
              </w:rPr>
              <w:fldChar w:fldCharType="end"/>
            </w:r>
          </w:hyperlink>
        </w:p>
        <w:p w14:paraId="2AE966E5" w14:textId="1FC61DA9" w:rsidR="00CA2C8B" w:rsidRDefault="00000000">
          <w:pPr>
            <w:pStyle w:val="TOC2"/>
            <w:rPr>
              <w:noProof/>
              <w:sz w:val="24"/>
              <w:szCs w:val="24"/>
              <w:lang w:eastAsia="en-GB"/>
            </w:rPr>
          </w:pPr>
          <w:hyperlink w:anchor="_Toc130540439" w:history="1">
            <w:r w:rsidR="00CA2C8B" w:rsidRPr="006E0779">
              <w:rPr>
                <w:rStyle w:val="Hyperlink"/>
                <w:rFonts w:ascii="Times New Roman" w:hAnsi="Times New Roman" w:cs="Times New Roman"/>
                <w:i/>
                <w:iCs/>
                <w:noProof/>
              </w:rPr>
              <w:t>Complaints process</w:t>
            </w:r>
            <w:r w:rsidR="00CA2C8B">
              <w:rPr>
                <w:noProof/>
                <w:webHidden/>
              </w:rPr>
              <w:tab/>
            </w:r>
            <w:r w:rsidR="00CA2C8B">
              <w:rPr>
                <w:noProof/>
                <w:webHidden/>
              </w:rPr>
              <w:fldChar w:fldCharType="begin"/>
            </w:r>
            <w:r w:rsidR="00CA2C8B">
              <w:rPr>
                <w:noProof/>
                <w:webHidden/>
              </w:rPr>
              <w:instrText xml:space="preserve"> PAGEREF _Toc130540439 \h </w:instrText>
            </w:r>
            <w:r w:rsidR="00CA2C8B">
              <w:rPr>
                <w:noProof/>
                <w:webHidden/>
              </w:rPr>
            </w:r>
            <w:r w:rsidR="00CA2C8B">
              <w:rPr>
                <w:noProof/>
                <w:webHidden/>
              </w:rPr>
              <w:fldChar w:fldCharType="separate"/>
            </w:r>
            <w:r w:rsidR="00E66B60">
              <w:rPr>
                <w:noProof/>
                <w:webHidden/>
              </w:rPr>
              <w:t>39</w:t>
            </w:r>
            <w:r w:rsidR="00CA2C8B">
              <w:rPr>
                <w:noProof/>
                <w:webHidden/>
              </w:rPr>
              <w:fldChar w:fldCharType="end"/>
            </w:r>
          </w:hyperlink>
        </w:p>
        <w:p w14:paraId="571D2699" w14:textId="7A44BCBA" w:rsidR="00CA2C8B" w:rsidRDefault="00000000">
          <w:pPr>
            <w:pStyle w:val="TOC2"/>
            <w:rPr>
              <w:noProof/>
              <w:sz w:val="24"/>
              <w:szCs w:val="24"/>
              <w:lang w:eastAsia="en-GB"/>
            </w:rPr>
          </w:pPr>
          <w:hyperlink w:anchor="_Toc130540440" w:history="1">
            <w:r w:rsidR="00CA2C8B" w:rsidRPr="006E0779">
              <w:rPr>
                <w:rStyle w:val="Hyperlink"/>
                <w:rFonts w:ascii="Times New Roman" w:hAnsi="Times New Roman" w:cs="Times New Roman"/>
                <w:i/>
                <w:iCs/>
                <w:noProof/>
              </w:rPr>
              <w:t>Remedies for breach of privacy</w:t>
            </w:r>
            <w:r w:rsidR="00CA2C8B">
              <w:rPr>
                <w:noProof/>
                <w:webHidden/>
              </w:rPr>
              <w:tab/>
            </w:r>
            <w:r w:rsidR="00CA2C8B">
              <w:rPr>
                <w:noProof/>
                <w:webHidden/>
              </w:rPr>
              <w:fldChar w:fldCharType="begin"/>
            </w:r>
            <w:r w:rsidR="00CA2C8B">
              <w:rPr>
                <w:noProof/>
                <w:webHidden/>
              </w:rPr>
              <w:instrText xml:space="preserve"> PAGEREF _Toc130540440 \h </w:instrText>
            </w:r>
            <w:r w:rsidR="00CA2C8B">
              <w:rPr>
                <w:noProof/>
                <w:webHidden/>
              </w:rPr>
            </w:r>
            <w:r w:rsidR="00CA2C8B">
              <w:rPr>
                <w:noProof/>
                <w:webHidden/>
              </w:rPr>
              <w:fldChar w:fldCharType="separate"/>
            </w:r>
            <w:r w:rsidR="00E66B60">
              <w:rPr>
                <w:noProof/>
                <w:webHidden/>
              </w:rPr>
              <w:t>41</w:t>
            </w:r>
            <w:r w:rsidR="00CA2C8B">
              <w:rPr>
                <w:noProof/>
                <w:webHidden/>
              </w:rPr>
              <w:fldChar w:fldCharType="end"/>
            </w:r>
          </w:hyperlink>
        </w:p>
        <w:p w14:paraId="145E9965" w14:textId="0AF2B2ED" w:rsidR="00CA2C8B" w:rsidRDefault="00000000">
          <w:pPr>
            <w:pStyle w:val="TOC2"/>
            <w:rPr>
              <w:noProof/>
              <w:sz w:val="24"/>
              <w:szCs w:val="24"/>
              <w:lang w:eastAsia="en-GB"/>
            </w:rPr>
          </w:pPr>
          <w:hyperlink w:anchor="_Toc130540441" w:history="1">
            <w:r w:rsidR="00CA2C8B" w:rsidRPr="006E0779">
              <w:rPr>
                <w:rStyle w:val="Hyperlink"/>
                <w:rFonts w:ascii="Times New Roman" w:hAnsi="Times New Roman" w:cs="Times New Roman"/>
                <w:i/>
                <w:iCs/>
                <w:noProof/>
              </w:rPr>
              <w:t>Other regulatory action</w:t>
            </w:r>
            <w:r w:rsidR="00CA2C8B">
              <w:rPr>
                <w:noProof/>
                <w:webHidden/>
              </w:rPr>
              <w:tab/>
            </w:r>
            <w:r w:rsidR="00CA2C8B">
              <w:rPr>
                <w:noProof/>
                <w:webHidden/>
              </w:rPr>
              <w:fldChar w:fldCharType="begin"/>
            </w:r>
            <w:r w:rsidR="00CA2C8B">
              <w:rPr>
                <w:noProof/>
                <w:webHidden/>
              </w:rPr>
              <w:instrText xml:space="preserve"> PAGEREF _Toc130540441 \h </w:instrText>
            </w:r>
            <w:r w:rsidR="00CA2C8B">
              <w:rPr>
                <w:noProof/>
                <w:webHidden/>
              </w:rPr>
            </w:r>
            <w:r w:rsidR="00CA2C8B">
              <w:rPr>
                <w:noProof/>
                <w:webHidden/>
              </w:rPr>
              <w:fldChar w:fldCharType="separate"/>
            </w:r>
            <w:r w:rsidR="00E66B60">
              <w:rPr>
                <w:noProof/>
                <w:webHidden/>
              </w:rPr>
              <w:t>43</w:t>
            </w:r>
            <w:r w:rsidR="00CA2C8B">
              <w:rPr>
                <w:noProof/>
                <w:webHidden/>
              </w:rPr>
              <w:fldChar w:fldCharType="end"/>
            </w:r>
          </w:hyperlink>
        </w:p>
        <w:p w14:paraId="0C2F7B0E" w14:textId="35C04D7C" w:rsidR="00CA2C8B" w:rsidRDefault="00000000">
          <w:pPr>
            <w:pStyle w:val="TOC2"/>
            <w:rPr>
              <w:noProof/>
              <w:sz w:val="24"/>
              <w:szCs w:val="24"/>
              <w:lang w:eastAsia="en-GB"/>
            </w:rPr>
          </w:pPr>
          <w:hyperlink w:anchor="_Toc130540442" w:history="1">
            <w:r w:rsidR="00CA2C8B" w:rsidRPr="006E0779">
              <w:rPr>
                <w:rStyle w:val="Hyperlink"/>
                <w:rFonts w:ascii="Times New Roman" w:hAnsi="Times New Roman" w:cs="Times New Roman"/>
                <w:i/>
                <w:iCs/>
                <w:noProof/>
              </w:rPr>
              <w:t>Mandatory data breach notification</w:t>
            </w:r>
            <w:r w:rsidR="00CA2C8B">
              <w:rPr>
                <w:noProof/>
                <w:webHidden/>
              </w:rPr>
              <w:tab/>
            </w:r>
            <w:r w:rsidR="00CA2C8B">
              <w:rPr>
                <w:noProof/>
                <w:webHidden/>
              </w:rPr>
              <w:fldChar w:fldCharType="begin"/>
            </w:r>
            <w:r w:rsidR="00CA2C8B">
              <w:rPr>
                <w:noProof/>
                <w:webHidden/>
              </w:rPr>
              <w:instrText xml:space="preserve"> PAGEREF _Toc130540442 \h </w:instrText>
            </w:r>
            <w:r w:rsidR="00CA2C8B">
              <w:rPr>
                <w:noProof/>
                <w:webHidden/>
              </w:rPr>
            </w:r>
            <w:r w:rsidR="00CA2C8B">
              <w:rPr>
                <w:noProof/>
                <w:webHidden/>
              </w:rPr>
              <w:fldChar w:fldCharType="separate"/>
            </w:r>
            <w:r w:rsidR="00E66B60">
              <w:rPr>
                <w:noProof/>
                <w:webHidden/>
              </w:rPr>
              <w:t>44</w:t>
            </w:r>
            <w:r w:rsidR="00CA2C8B">
              <w:rPr>
                <w:noProof/>
                <w:webHidden/>
              </w:rPr>
              <w:fldChar w:fldCharType="end"/>
            </w:r>
          </w:hyperlink>
        </w:p>
        <w:p w14:paraId="149086E1" w14:textId="3C7EC6C5" w:rsidR="00CA2C8B" w:rsidRDefault="00000000">
          <w:pPr>
            <w:pStyle w:val="TOC1"/>
            <w:rPr>
              <w:noProof/>
              <w:sz w:val="24"/>
              <w:szCs w:val="24"/>
              <w:lang w:eastAsia="en-GB"/>
            </w:rPr>
          </w:pPr>
          <w:hyperlink w:anchor="_Toc130540443" w:history="1">
            <w:r w:rsidR="00CA2C8B" w:rsidRPr="006E0779">
              <w:rPr>
                <w:rStyle w:val="Hyperlink"/>
                <w:rFonts w:ascii="Times New Roman" w:hAnsi="Times New Roman" w:cs="Times New Roman"/>
                <w:noProof/>
              </w:rPr>
              <w:t>3</w:t>
            </w:r>
            <w:r w:rsidR="00CA2C8B">
              <w:rPr>
                <w:noProof/>
                <w:sz w:val="24"/>
                <w:szCs w:val="24"/>
                <w:lang w:eastAsia="en-GB"/>
              </w:rPr>
              <w:tab/>
            </w:r>
            <w:r w:rsidR="00CA2C8B" w:rsidRPr="006E0779">
              <w:rPr>
                <w:rStyle w:val="Hyperlink"/>
                <w:rFonts w:ascii="Times New Roman" w:hAnsi="Times New Roman" w:cs="Times New Roman"/>
                <w:noProof/>
              </w:rPr>
              <w:t>Other legislation impacting the privacy of government-held information</w:t>
            </w:r>
            <w:r w:rsidR="00CA2C8B">
              <w:rPr>
                <w:noProof/>
                <w:webHidden/>
              </w:rPr>
              <w:tab/>
            </w:r>
            <w:r w:rsidR="00CA2C8B">
              <w:rPr>
                <w:noProof/>
                <w:webHidden/>
              </w:rPr>
              <w:fldChar w:fldCharType="begin"/>
            </w:r>
            <w:r w:rsidR="00CA2C8B">
              <w:rPr>
                <w:noProof/>
                <w:webHidden/>
              </w:rPr>
              <w:instrText xml:space="preserve"> PAGEREF _Toc130540443 \h </w:instrText>
            </w:r>
            <w:r w:rsidR="00CA2C8B">
              <w:rPr>
                <w:noProof/>
                <w:webHidden/>
              </w:rPr>
            </w:r>
            <w:r w:rsidR="00CA2C8B">
              <w:rPr>
                <w:noProof/>
                <w:webHidden/>
              </w:rPr>
              <w:fldChar w:fldCharType="separate"/>
            </w:r>
            <w:r w:rsidR="00E66B60">
              <w:rPr>
                <w:noProof/>
                <w:webHidden/>
              </w:rPr>
              <w:t>47</w:t>
            </w:r>
            <w:r w:rsidR="00CA2C8B">
              <w:rPr>
                <w:noProof/>
                <w:webHidden/>
              </w:rPr>
              <w:fldChar w:fldCharType="end"/>
            </w:r>
          </w:hyperlink>
        </w:p>
        <w:p w14:paraId="07932176" w14:textId="16BF7008" w:rsidR="00CA2C8B" w:rsidRDefault="00000000">
          <w:pPr>
            <w:pStyle w:val="TOC2"/>
            <w:rPr>
              <w:noProof/>
              <w:sz w:val="24"/>
              <w:szCs w:val="24"/>
              <w:lang w:eastAsia="en-GB"/>
            </w:rPr>
          </w:pPr>
          <w:hyperlink w:anchor="_Toc130540444" w:history="1">
            <w:r w:rsidR="00CA2C8B" w:rsidRPr="006E0779">
              <w:rPr>
                <w:rStyle w:val="Hyperlink"/>
                <w:rFonts w:ascii="Times New Roman" w:hAnsi="Times New Roman" w:cs="Times New Roman"/>
                <w:noProof/>
              </w:rPr>
              <w:t>3.1</w:t>
            </w:r>
            <w:r w:rsidR="00CA2C8B">
              <w:rPr>
                <w:noProof/>
                <w:sz w:val="24"/>
                <w:szCs w:val="24"/>
                <w:lang w:eastAsia="en-GB"/>
              </w:rPr>
              <w:tab/>
            </w:r>
            <w:r w:rsidR="00CA2C8B" w:rsidRPr="006E0779">
              <w:rPr>
                <w:rStyle w:val="Hyperlink"/>
                <w:rFonts w:ascii="Times New Roman" w:hAnsi="Times New Roman" w:cs="Times New Roman"/>
                <w:noProof/>
              </w:rPr>
              <w:t>Introduction</w:t>
            </w:r>
            <w:r w:rsidR="00CA2C8B">
              <w:rPr>
                <w:noProof/>
                <w:webHidden/>
              </w:rPr>
              <w:tab/>
            </w:r>
            <w:r w:rsidR="00CA2C8B">
              <w:rPr>
                <w:noProof/>
                <w:webHidden/>
              </w:rPr>
              <w:fldChar w:fldCharType="begin"/>
            </w:r>
            <w:r w:rsidR="00CA2C8B">
              <w:rPr>
                <w:noProof/>
                <w:webHidden/>
              </w:rPr>
              <w:instrText xml:space="preserve"> PAGEREF _Toc130540444 \h </w:instrText>
            </w:r>
            <w:r w:rsidR="00CA2C8B">
              <w:rPr>
                <w:noProof/>
                <w:webHidden/>
              </w:rPr>
            </w:r>
            <w:r w:rsidR="00CA2C8B">
              <w:rPr>
                <w:noProof/>
                <w:webHidden/>
              </w:rPr>
              <w:fldChar w:fldCharType="separate"/>
            </w:r>
            <w:r w:rsidR="00E66B60">
              <w:rPr>
                <w:noProof/>
                <w:webHidden/>
              </w:rPr>
              <w:t>47</w:t>
            </w:r>
            <w:r w:rsidR="00CA2C8B">
              <w:rPr>
                <w:noProof/>
                <w:webHidden/>
              </w:rPr>
              <w:fldChar w:fldCharType="end"/>
            </w:r>
          </w:hyperlink>
        </w:p>
        <w:p w14:paraId="3277566D" w14:textId="4347C862" w:rsidR="00CA2C8B" w:rsidRDefault="00000000">
          <w:pPr>
            <w:pStyle w:val="TOC2"/>
            <w:rPr>
              <w:noProof/>
              <w:sz w:val="24"/>
              <w:szCs w:val="24"/>
              <w:lang w:eastAsia="en-GB"/>
            </w:rPr>
          </w:pPr>
          <w:hyperlink w:anchor="_Toc130540445" w:history="1">
            <w:r w:rsidR="00CA2C8B" w:rsidRPr="006E0779">
              <w:rPr>
                <w:rStyle w:val="Hyperlink"/>
                <w:rFonts w:ascii="Times New Roman" w:hAnsi="Times New Roman" w:cs="Times New Roman"/>
                <w:noProof/>
              </w:rPr>
              <w:t>3.2</w:t>
            </w:r>
            <w:r w:rsidR="00CA2C8B">
              <w:rPr>
                <w:noProof/>
                <w:sz w:val="24"/>
                <w:szCs w:val="24"/>
                <w:lang w:eastAsia="en-GB"/>
              </w:rPr>
              <w:tab/>
            </w:r>
            <w:r w:rsidR="00CA2C8B" w:rsidRPr="006E0779">
              <w:rPr>
                <w:rStyle w:val="Hyperlink"/>
                <w:rFonts w:ascii="Times New Roman" w:hAnsi="Times New Roman" w:cs="Times New Roman"/>
                <w:noProof/>
              </w:rPr>
              <w:t>Legislation which may override the PIPA</w:t>
            </w:r>
            <w:r w:rsidR="00CA2C8B">
              <w:rPr>
                <w:noProof/>
                <w:webHidden/>
              </w:rPr>
              <w:tab/>
            </w:r>
            <w:r w:rsidR="00CA2C8B">
              <w:rPr>
                <w:noProof/>
                <w:webHidden/>
              </w:rPr>
              <w:fldChar w:fldCharType="begin"/>
            </w:r>
            <w:r w:rsidR="00CA2C8B">
              <w:rPr>
                <w:noProof/>
                <w:webHidden/>
              </w:rPr>
              <w:instrText xml:space="preserve"> PAGEREF _Toc130540445 \h </w:instrText>
            </w:r>
            <w:r w:rsidR="00CA2C8B">
              <w:rPr>
                <w:noProof/>
                <w:webHidden/>
              </w:rPr>
            </w:r>
            <w:r w:rsidR="00CA2C8B">
              <w:rPr>
                <w:noProof/>
                <w:webHidden/>
              </w:rPr>
              <w:fldChar w:fldCharType="separate"/>
            </w:r>
            <w:r w:rsidR="00E66B60">
              <w:rPr>
                <w:noProof/>
                <w:webHidden/>
              </w:rPr>
              <w:t>47</w:t>
            </w:r>
            <w:r w:rsidR="00CA2C8B">
              <w:rPr>
                <w:noProof/>
                <w:webHidden/>
              </w:rPr>
              <w:fldChar w:fldCharType="end"/>
            </w:r>
          </w:hyperlink>
        </w:p>
        <w:p w14:paraId="273B7408" w14:textId="14532F68" w:rsidR="00CA2C8B" w:rsidRDefault="00000000">
          <w:pPr>
            <w:pStyle w:val="TOC2"/>
            <w:rPr>
              <w:noProof/>
              <w:sz w:val="24"/>
              <w:szCs w:val="24"/>
              <w:lang w:eastAsia="en-GB"/>
            </w:rPr>
          </w:pPr>
          <w:hyperlink w:anchor="_Toc130540446" w:history="1">
            <w:r w:rsidR="00CA2C8B" w:rsidRPr="006E0779">
              <w:rPr>
                <w:rStyle w:val="Hyperlink"/>
                <w:rFonts w:ascii="Times New Roman" w:hAnsi="Times New Roman" w:cs="Times New Roman"/>
                <w:noProof/>
              </w:rPr>
              <w:t>3.3</w:t>
            </w:r>
            <w:r w:rsidR="00CA2C8B">
              <w:rPr>
                <w:noProof/>
                <w:sz w:val="24"/>
                <w:szCs w:val="24"/>
                <w:lang w:eastAsia="en-GB"/>
              </w:rPr>
              <w:tab/>
            </w:r>
            <w:r w:rsidR="00CA2C8B" w:rsidRPr="006E0779">
              <w:rPr>
                <w:rStyle w:val="Hyperlink"/>
                <w:rFonts w:ascii="Times New Roman" w:hAnsi="Times New Roman" w:cs="Times New Roman"/>
                <w:noProof/>
              </w:rPr>
              <w:t>Legislation that restricts the sharing of government-held information</w:t>
            </w:r>
            <w:r w:rsidR="00CA2C8B">
              <w:rPr>
                <w:noProof/>
                <w:webHidden/>
              </w:rPr>
              <w:tab/>
            </w:r>
            <w:r w:rsidR="00CA2C8B">
              <w:rPr>
                <w:noProof/>
                <w:webHidden/>
              </w:rPr>
              <w:fldChar w:fldCharType="begin"/>
            </w:r>
            <w:r w:rsidR="00CA2C8B">
              <w:rPr>
                <w:noProof/>
                <w:webHidden/>
              </w:rPr>
              <w:instrText xml:space="preserve"> PAGEREF _Toc130540446 \h </w:instrText>
            </w:r>
            <w:r w:rsidR="00CA2C8B">
              <w:rPr>
                <w:noProof/>
                <w:webHidden/>
              </w:rPr>
            </w:r>
            <w:r w:rsidR="00CA2C8B">
              <w:rPr>
                <w:noProof/>
                <w:webHidden/>
              </w:rPr>
              <w:fldChar w:fldCharType="separate"/>
            </w:r>
            <w:r w:rsidR="00E66B60">
              <w:rPr>
                <w:noProof/>
                <w:webHidden/>
              </w:rPr>
              <w:t>48</w:t>
            </w:r>
            <w:r w:rsidR="00CA2C8B">
              <w:rPr>
                <w:noProof/>
                <w:webHidden/>
              </w:rPr>
              <w:fldChar w:fldCharType="end"/>
            </w:r>
          </w:hyperlink>
        </w:p>
        <w:p w14:paraId="2EDF27FB" w14:textId="196C682D" w:rsidR="00CA2C8B" w:rsidRDefault="00000000">
          <w:pPr>
            <w:pStyle w:val="TOC2"/>
            <w:rPr>
              <w:noProof/>
              <w:sz w:val="24"/>
              <w:szCs w:val="24"/>
              <w:lang w:eastAsia="en-GB"/>
            </w:rPr>
          </w:pPr>
          <w:hyperlink w:anchor="_Toc130540447" w:history="1">
            <w:r w:rsidR="00CA2C8B" w:rsidRPr="006E0779">
              <w:rPr>
                <w:rStyle w:val="Hyperlink"/>
                <w:rFonts w:ascii="Times New Roman" w:hAnsi="Times New Roman" w:cs="Times New Roman"/>
                <w:noProof/>
              </w:rPr>
              <w:t>3.4</w:t>
            </w:r>
            <w:r w:rsidR="00CA2C8B">
              <w:rPr>
                <w:noProof/>
                <w:sz w:val="24"/>
                <w:szCs w:val="24"/>
                <w:lang w:eastAsia="en-GB"/>
              </w:rPr>
              <w:tab/>
            </w:r>
            <w:r w:rsidR="00CA2C8B" w:rsidRPr="006E0779">
              <w:rPr>
                <w:rStyle w:val="Hyperlink"/>
                <w:rFonts w:ascii="Times New Roman" w:hAnsi="Times New Roman" w:cs="Times New Roman"/>
                <w:noProof/>
              </w:rPr>
              <w:t>Legislation that facilitates the sharing of information within and between government agencies</w:t>
            </w:r>
            <w:r w:rsidR="00CA2C8B">
              <w:rPr>
                <w:noProof/>
                <w:webHidden/>
              </w:rPr>
              <w:tab/>
            </w:r>
            <w:r w:rsidR="00CA2C8B">
              <w:rPr>
                <w:noProof/>
                <w:webHidden/>
              </w:rPr>
              <w:fldChar w:fldCharType="begin"/>
            </w:r>
            <w:r w:rsidR="00CA2C8B">
              <w:rPr>
                <w:noProof/>
                <w:webHidden/>
              </w:rPr>
              <w:instrText xml:space="preserve"> PAGEREF _Toc130540447 \h </w:instrText>
            </w:r>
            <w:r w:rsidR="00CA2C8B">
              <w:rPr>
                <w:noProof/>
                <w:webHidden/>
              </w:rPr>
            </w:r>
            <w:r w:rsidR="00CA2C8B">
              <w:rPr>
                <w:noProof/>
                <w:webHidden/>
              </w:rPr>
              <w:fldChar w:fldCharType="separate"/>
            </w:r>
            <w:r w:rsidR="00E66B60">
              <w:rPr>
                <w:noProof/>
                <w:webHidden/>
              </w:rPr>
              <w:t>49</w:t>
            </w:r>
            <w:r w:rsidR="00CA2C8B">
              <w:rPr>
                <w:noProof/>
                <w:webHidden/>
              </w:rPr>
              <w:fldChar w:fldCharType="end"/>
            </w:r>
          </w:hyperlink>
        </w:p>
        <w:p w14:paraId="420D9031" w14:textId="69E850D5" w:rsidR="00CA2C8B" w:rsidRDefault="00000000">
          <w:pPr>
            <w:pStyle w:val="TOC1"/>
            <w:rPr>
              <w:noProof/>
              <w:sz w:val="24"/>
              <w:szCs w:val="24"/>
              <w:lang w:eastAsia="en-GB"/>
            </w:rPr>
          </w:pPr>
          <w:hyperlink w:anchor="_Toc130540448" w:history="1">
            <w:r w:rsidR="00CA2C8B" w:rsidRPr="006E0779">
              <w:rPr>
                <w:rStyle w:val="Hyperlink"/>
                <w:rFonts w:ascii="Times New Roman" w:hAnsi="Times New Roman" w:cs="Times New Roman"/>
                <w:noProof/>
              </w:rPr>
              <w:t>4</w:t>
            </w:r>
            <w:r w:rsidR="00CA2C8B">
              <w:rPr>
                <w:noProof/>
                <w:sz w:val="24"/>
                <w:szCs w:val="24"/>
                <w:lang w:eastAsia="en-GB"/>
              </w:rPr>
              <w:tab/>
            </w:r>
            <w:r w:rsidR="00CA2C8B" w:rsidRPr="006E0779">
              <w:rPr>
                <w:rStyle w:val="Hyperlink"/>
                <w:rFonts w:ascii="Times New Roman" w:hAnsi="Times New Roman" w:cs="Times New Roman"/>
                <w:noProof/>
              </w:rPr>
              <w:t>Other protections of privacy</w:t>
            </w:r>
            <w:r w:rsidR="00CA2C8B">
              <w:rPr>
                <w:noProof/>
                <w:webHidden/>
              </w:rPr>
              <w:tab/>
            </w:r>
            <w:r w:rsidR="00CA2C8B">
              <w:rPr>
                <w:noProof/>
                <w:webHidden/>
              </w:rPr>
              <w:fldChar w:fldCharType="begin"/>
            </w:r>
            <w:r w:rsidR="00CA2C8B">
              <w:rPr>
                <w:noProof/>
                <w:webHidden/>
              </w:rPr>
              <w:instrText xml:space="preserve"> PAGEREF _Toc130540448 \h </w:instrText>
            </w:r>
            <w:r w:rsidR="00CA2C8B">
              <w:rPr>
                <w:noProof/>
                <w:webHidden/>
              </w:rPr>
            </w:r>
            <w:r w:rsidR="00CA2C8B">
              <w:rPr>
                <w:noProof/>
                <w:webHidden/>
              </w:rPr>
              <w:fldChar w:fldCharType="separate"/>
            </w:r>
            <w:r w:rsidR="00E66B60">
              <w:rPr>
                <w:noProof/>
                <w:webHidden/>
              </w:rPr>
              <w:t>52</w:t>
            </w:r>
            <w:r w:rsidR="00CA2C8B">
              <w:rPr>
                <w:noProof/>
                <w:webHidden/>
              </w:rPr>
              <w:fldChar w:fldCharType="end"/>
            </w:r>
          </w:hyperlink>
        </w:p>
        <w:p w14:paraId="1D6170A2" w14:textId="7D38328B" w:rsidR="00CA2C8B" w:rsidRDefault="00000000">
          <w:pPr>
            <w:pStyle w:val="TOC2"/>
            <w:rPr>
              <w:noProof/>
              <w:sz w:val="24"/>
              <w:szCs w:val="24"/>
              <w:lang w:eastAsia="en-GB"/>
            </w:rPr>
          </w:pPr>
          <w:hyperlink w:anchor="_Toc130540449" w:history="1">
            <w:r w:rsidR="00CA2C8B" w:rsidRPr="006E0779">
              <w:rPr>
                <w:rStyle w:val="Hyperlink"/>
                <w:rFonts w:ascii="Times New Roman" w:hAnsi="Times New Roman" w:cs="Times New Roman"/>
                <w:noProof/>
              </w:rPr>
              <w:t>4.1</w:t>
            </w:r>
            <w:r w:rsidR="00CA2C8B">
              <w:rPr>
                <w:noProof/>
                <w:sz w:val="24"/>
                <w:szCs w:val="24"/>
                <w:lang w:eastAsia="en-GB"/>
              </w:rPr>
              <w:tab/>
            </w:r>
            <w:r w:rsidR="00CA2C8B" w:rsidRPr="006E0779">
              <w:rPr>
                <w:rStyle w:val="Hyperlink"/>
                <w:rFonts w:ascii="Times New Roman" w:hAnsi="Times New Roman" w:cs="Times New Roman"/>
                <w:noProof/>
              </w:rPr>
              <w:t>Introduction</w:t>
            </w:r>
            <w:r w:rsidR="00CA2C8B">
              <w:rPr>
                <w:noProof/>
                <w:webHidden/>
              </w:rPr>
              <w:tab/>
            </w:r>
            <w:r w:rsidR="00CA2C8B">
              <w:rPr>
                <w:noProof/>
                <w:webHidden/>
              </w:rPr>
              <w:fldChar w:fldCharType="begin"/>
            </w:r>
            <w:r w:rsidR="00CA2C8B">
              <w:rPr>
                <w:noProof/>
                <w:webHidden/>
              </w:rPr>
              <w:instrText xml:space="preserve"> PAGEREF _Toc130540449 \h </w:instrText>
            </w:r>
            <w:r w:rsidR="00CA2C8B">
              <w:rPr>
                <w:noProof/>
                <w:webHidden/>
              </w:rPr>
            </w:r>
            <w:r w:rsidR="00CA2C8B">
              <w:rPr>
                <w:noProof/>
                <w:webHidden/>
              </w:rPr>
              <w:fldChar w:fldCharType="separate"/>
            </w:r>
            <w:r w:rsidR="00E66B60">
              <w:rPr>
                <w:noProof/>
                <w:webHidden/>
              </w:rPr>
              <w:t>52</w:t>
            </w:r>
            <w:r w:rsidR="00CA2C8B">
              <w:rPr>
                <w:noProof/>
                <w:webHidden/>
              </w:rPr>
              <w:fldChar w:fldCharType="end"/>
            </w:r>
          </w:hyperlink>
        </w:p>
        <w:p w14:paraId="3E2ABF9B" w14:textId="16327EF4" w:rsidR="00CA2C8B" w:rsidRDefault="00000000">
          <w:pPr>
            <w:pStyle w:val="TOC2"/>
            <w:rPr>
              <w:noProof/>
              <w:sz w:val="24"/>
              <w:szCs w:val="24"/>
              <w:lang w:eastAsia="en-GB"/>
            </w:rPr>
          </w:pPr>
          <w:hyperlink w:anchor="_Toc130540450" w:history="1">
            <w:r w:rsidR="00CA2C8B" w:rsidRPr="006E0779">
              <w:rPr>
                <w:rStyle w:val="Hyperlink"/>
                <w:rFonts w:ascii="Times New Roman" w:hAnsi="Times New Roman" w:cs="Times New Roman"/>
                <w:noProof/>
              </w:rPr>
              <w:t>4.2</w:t>
            </w:r>
            <w:r w:rsidR="00CA2C8B">
              <w:rPr>
                <w:noProof/>
                <w:sz w:val="24"/>
                <w:szCs w:val="24"/>
                <w:lang w:eastAsia="en-GB"/>
              </w:rPr>
              <w:tab/>
            </w:r>
            <w:r w:rsidR="00CA2C8B" w:rsidRPr="006E0779">
              <w:rPr>
                <w:rStyle w:val="Hyperlink"/>
                <w:rFonts w:ascii="Times New Roman" w:hAnsi="Times New Roman" w:cs="Times New Roman"/>
                <w:noProof/>
              </w:rPr>
              <w:t>Legislative protections</w:t>
            </w:r>
            <w:r w:rsidR="00CA2C8B">
              <w:rPr>
                <w:noProof/>
                <w:webHidden/>
              </w:rPr>
              <w:tab/>
            </w:r>
            <w:r w:rsidR="00CA2C8B">
              <w:rPr>
                <w:noProof/>
                <w:webHidden/>
              </w:rPr>
              <w:fldChar w:fldCharType="begin"/>
            </w:r>
            <w:r w:rsidR="00CA2C8B">
              <w:rPr>
                <w:noProof/>
                <w:webHidden/>
              </w:rPr>
              <w:instrText xml:space="preserve"> PAGEREF _Toc130540450 \h </w:instrText>
            </w:r>
            <w:r w:rsidR="00CA2C8B">
              <w:rPr>
                <w:noProof/>
                <w:webHidden/>
              </w:rPr>
            </w:r>
            <w:r w:rsidR="00CA2C8B">
              <w:rPr>
                <w:noProof/>
                <w:webHidden/>
              </w:rPr>
              <w:fldChar w:fldCharType="separate"/>
            </w:r>
            <w:r w:rsidR="00E66B60">
              <w:rPr>
                <w:noProof/>
                <w:webHidden/>
              </w:rPr>
              <w:t>52</w:t>
            </w:r>
            <w:r w:rsidR="00CA2C8B">
              <w:rPr>
                <w:noProof/>
                <w:webHidden/>
              </w:rPr>
              <w:fldChar w:fldCharType="end"/>
            </w:r>
          </w:hyperlink>
        </w:p>
        <w:p w14:paraId="09058576" w14:textId="0252773B" w:rsidR="00CA2C8B" w:rsidRDefault="00000000">
          <w:pPr>
            <w:pStyle w:val="TOC2"/>
            <w:rPr>
              <w:noProof/>
              <w:sz w:val="24"/>
              <w:szCs w:val="24"/>
              <w:lang w:eastAsia="en-GB"/>
            </w:rPr>
          </w:pPr>
          <w:hyperlink w:anchor="_Toc130540451" w:history="1">
            <w:r w:rsidR="00CA2C8B" w:rsidRPr="006E0779">
              <w:rPr>
                <w:rStyle w:val="Hyperlink"/>
                <w:rFonts w:ascii="Times New Roman" w:hAnsi="Times New Roman" w:cs="Times New Roman"/>
                <w:i/>
                <w:iCs/>
                <w:noProof/>
              </w:rPr>
              <w:t>Health information</w:t>
            </w:r>
            <w:r w:rsidR="00CA2C8B">
              <w:rPr>
                <w:noProof/>
                <w:webHidden/>
              </w:rPr>
              <w:tab/>
            </w:r>
            <w:r w:rsidR="00CA2C8B">
              <w:rPr>
                <w:noProof/>
                <w:webHidden/>
              </w:rPr>
              <w:fldChar w:fldCharType="begin"/>
            </w:r>
            <w:r w:rsidR="00CA2C8B">
              <w:rPr>
                <w:noProof/>
                <w:webHidden/>
              </w:rPr>
              <w:instrText xml:space="preserve"> PAGEREF _Toc130540451 \h </w:instrText>
            </w:r>
            <w:r w:rsidR="00CA2C8B">
              <w:rPr>
                <w:noProof/>
                <w:webHidden/>
              </w:rPr>
            </w:r>
            <w:r w:rsidR="00CA2C8B">
              <w:rPr>
                <w:noProof/>
                <w:webHidden/>
              </w:rPr>
              <w:fldChar w:fldCharType="separate"/>
            </w:r>
            <w:r w:rsidR="00E66B60">
              <w:rPr>
                <w:noProof/>
                <w:webHidden/>
              </w:rPr>
              <w:t>52</w:t>
            </w:r>
            <w:r w:rsidR="00CA2C8B">
              <w:rPr>
                <w:noProof/>
                <w:webHidden/>
              </w:rPr>
              <w:fldChar w:fldCharType="end"/>
            </w:r>
          </w:hyperlink>
        </w:p>
        <w:p w14:paraId="33DDC5C7" w14:textId="214496E4" w:rsidR="00CA2C8B" w:rsidRDefault="00000000">
          <w:pPr>
            <w:pStyle w:val="TOC2"/>
            <w:rPr>
              <w:noProof/>
              <w:sz w:val="24"/>
              <w:szCs w:val="24"/>
              <w:lang w:eastAsia="en-GB"/>
            </w:rPr>
          </w:pPr>
          <w:hyperlink w:anchor="_Toc130540452" w:history="1">
            <w:r w:rsidR="00CA2C8B" w:rsidRPr="006E0779">
              <w:rPr>
                <w:rStyle w:val="Hyperlink"/>
                <w:rFonts w:ascii="Times New Roman" w:hAnsi="Times New Roman" w:cs="Times New Roman"/>
                <w:i/>
                <w:iCs/>
                <w:noProof/>
              </w:rPr>
              <w:t>Surveillance</w:t>
            </w:r>
            <w:r w:rsidR="00CA2C8B">
              <w:rPr>
                <w:noProof/>
                <w:webHidden/>
              </w:rPr>
              <w:tab/>
            </w:r>
            <w:r w:rsidR="00CA2C8B">
              <w:rPr>
                <w:noProof/>
                <w:webHidden/>
              </w:rPr>
              <w:fldChar w:fldCharType="begin"/>
            </w:r>
            <w:r w:rsidR="00CA2C8B">
              <w:rPr>
                <w:noProof/>
                <w:webHidden/>
              </w:rPr>
              <w:instrText xml:space="preserve"> PAGEREF _Toc130540452 \h </w:instrText>
            </w:r>
            <w:r w:rsidR="00CA2C8B">
              <w:rPr>
                <w:noProof/>
                <w:webHidden/>
              </w:rPr>
            </w:r>
            <w:r w:rsidR="00CA2C8B">
              <w:rPr>
                <w:noProof/>
                <w:webHidden/>
              </w:rPr>
              <w:fldChar w:fldCharType="separate"/>
            </w:r>
            <w:r w:rsidR="00E66B60">
              <w:rPr>
                <w:noProof/>
                <w:webHidden/>
              </w:rPr>
              <w:t>54</w:t>
            </w:r>
            <w:r w:rsidR="00CA2C8B">
              <w:rPr>
                <w:noProof/>
                <w:webHidden/>
              </w:rPr>
              <w:fldChar w:fldCharType="end"/>
            </w:r>
          </w:hyperlink>
        </w:p>
        <w:p w14:paraId="5DF928D3" w14:textId="1EC16A72" w:rsidR="00CA2C8B" w:rsidRDefault="00000000">
          <w:pPr>
            <w:pStyle w:val="TOC2"/>
            <w:rPr>
              <w:noProof/>
              <w:sz w:val="24"/>
              <w:szCs w:val="24"/>
              <w:lang w:eastAsia="en-GB"/>
            </w:rPr>
          </w:pPr>
          <w:hyperlink w:anchor="_Toc130540453" w:history="1">
            <w:r w:rsidR="00CA2C8B" w:rsidRPr="006E0779">
              <w:rPr>
                <w:rStyle w:val="Hyperlink"/>
                <w:rFonts w:ascii="Times New Roman" w:hAnsi="Times New Roman" w:cs="Times New Roman"/>
                <w:i/>
                <w:iCs/>
                <w:noProof/>
              </w:rPr>
              <w:t>Stalking and harassment</w:t>
            </w:r>
            <w:r w:rsidR="00CA2C8B">
              <w:rPr>
                <w:noProof/>
                <w:webHidden/>
              </w:rPr>
              <w:tab/>
            </w:r>
            <w:r w:rsidR="00CA2C8B">
              <w:rPr>
                <w:noProof/>
                <w:webHidden/>
              </w:rPr>
              <w:fldChar w:fldCharType="begin"/>
            </w:r>
            <w:r w:rsidR="00CA2C8B">
              <w:rPr>
                <w:noProof/>
                <w:webHidden/>
              </w:rPr>
              <w:instrText xml:space="preserve"> PAGEREF _Toc130540453 \h </w:instrText>
            </w:r>
            <w:r w:rsidR="00CA2C8B">
              <w:rPr>
                <w:noProof/>
                <w:webHidden/>
              </w:rPr>
            </w:r>
            <w:r w:rsidR="00CA2C8B">
              <w:rPr>
                <w:noProof/>
                <w:webHidden/>
              </w:rPr>
              <w:fldChar w:fldCharType="separate"/>
            </w:r>
            <w:r w:rsidR="00E66B60">
              <w:rPr>
                <w:noProof/>
                <w:webHidden/>
              </w:rPr>
              <w:t>57</w:t>
            </w:r>
            <w:r w:rsidR="00CA2C8B">
              <w:rPr>
                <w:noProof/>
                <w:webHidden/>
              </w:rPr>
              <w:fldChar w:fldCharType="end"/>
            </w:r>
          </w:hyperlink>
        </w:p>
        <w:p w14:paraId="3AA01612" w14:textId="6A6120E2" w:rsidR="00CA2C8B" w:rsidRDefault="00000000">
          <w:pPr>
            <w:pStyle w:val="TOC2"/>
            <w:rPr>
              <w:noProof/>
              <w:sz w:val="24"/>
              <w:szCs w:val="24"/>
              <w:lang w:eastAsia="en-GB"/>
            </w:rPr>
          </w:pPr>
          <w:hyperlink w:anchor="_Toc130540454" w:history="1">
            <w:r w:rsidR="00CA2C8B" w:rsidRPr="006E0779">
              <w:rPr>
                <w:rStyle w:val="Hyperlink"/>
                <w:rFonts w:ascii="Times New Roman" w:hAnsi="Times New Roman" w:cs="Times New Roman"/>
                <w:i/>
                <w:iCs/>
                <w:noProof/>
              </w:rPr>
              <w:t>Unauthorised sharing of intimate images</w:t>
            </w:r>
            <w:r w:rsidR="00CA2C8B">
              <w:rPr>
                <w:noProof/>
                <w:webHidden/>
              </w:rPr>
              <w:tab/>
            </w:r>
            <w:r w:rsidR="00CA2C8B">
              <w:rPr>
                <w:noProof/>
                <w:webHidden/>
              </w:rPr>
              <w:fldChar w:fldCharType="begin"/>
            </w:r>
            <w:r w:rsidR="00CA2C8B">
              <w:rPr>
                <w:noProof/>
                <w:webHidden/>
              </w:rPr>
              <w:instrText xml:space="preserve"> PAGEREF _Toc130540454 \h </w:instrText>
            </w:r>
            <w:r w:rsidR="00CA2C8B">
              <w:rPr>
                <w:noProof/>
                <w:webHidden/>
              </w:rPr>
            </w:r>
            <w:r w:rsidR="00CA2C8B">
              <w:rPr>
                <w:noProof/>
                <w:webHidden/>
              </w:rPr>
              <w:fldChar w:fldCharType="separate"/>
            </w:r>
            <w:r w:rsidR="00E66B60">
              <w:rPr>
                <w:noProof/>
                <w:webHidden/>
              </w:rPr>
              <w:t>58</w:t>
            </w:r>
            <w:r w:rsidR="00CA2C8B">
              <w:rPr>
                <w:noProof/>
                <w:webHidden/>
              </w:rPr>
              <w:fldChar w:fldCharType="end"/>
            </w:r>
          </w:hyperlink>
        </w:p>
        <w:p w14:paraId="2A7B8E33" w14:textId="0774705C" w:rsidR="00CA2C8B" w:rsidRDefault="00000000">
          <w:pPr>
            <w:pStyle w:val="TOC2"/>
            <w:rPr>
              <w:noProof/>
              <w:sz w:val="24"/>
              <w:szCs w:val="24"/>
              <w:lang w:eastAsia="en-GB"/>
            </w:rPr>
          </w:pPr>
          <w:hyperlink w:anchor="_Toc130540455" w:history="1">
            <w:r w:rsidR="00CA2C8B" w:rsidRPr="006E0779">
              <w:rPr>
                <w:rStyle w:val="Hyperlink"/>
                <w:rFonts w:ascii="Times New Roman" w:hAnsi="Times New Roman" w:cs="Times New Roman"/>
                <w:i/>
                <w:iCs/>
                <w:noProof/>
              </w:rPr>
              <w:t>Other Tasmanian legislation referring to privacy</w:t>
            </w:r>
            <w:r w:rsidR="00CA2C8B">
              <w:rPr>
                <w:noProof/>
                <w:webHidden/>
              </w:rPr>
              <w:tab/>
            </w:r>
            <w:r w:rsidR="00CA2C8B">
              <w:rPr>
                <w:noProof/>
                <w:webHidden/>
              </w:rPr>
              <w:fldChar w:fldCharType="begin"/>
            </w:r>
            <w:r w:rsidR="00CA2C8B">
              <w:rPr>
                <w:noProof/>
                <w:webHidden/>
              </w:rPr>
              <w:instrText xml:space="preserve"> PAGEREF _Toc130540455 \h </w:instrText>
            </w:r>
            <w:r w:rsidR="00CA2C8B">
              <w:rPr>
                <w:noProof/>
                <w:webHidden/>
              </w:rPr>
            </w:r>
            <w:r w:rsidR="00CA2C8B">
              <w:rPr>
                <w:noProof/>
                <w:webHidden/>
              </w:rPr>
              <w:fldChar w:fldCharType="separate"/>
            </w:r>
            <w:r w:rsidR="00E66B60">
              <w:rPr>
                <w:noProof/>
                <w:webHidden/>
              </w:rPr>
              <w:t>59</w:t>
            </w:r>
            <w:r w:rsidR="00CA2C8B">
              <w:rPr>
                <w:noProof/>
                <w:webHidden/>
              </w:rPr>
              <w:fldChar w:fldCharType="end"/>
            </w:r>
          </w:hyperlink>
        </w:p>
        <w:p w14:paraId="610B1650" w14:textId="4637E3DC" w:rsidR="00CA2C8B" w:rsidRDefault="00000000">
          <w:pPr>
            <w:pStyle w:val="TOC2"/>
            <w:rPr>
              <w:noProof/>
              <w:sz w:val="24"/>
              <w:szCs w:val="24"/>
              <w:lang w:eastAsia="en-GB"/>
            </w:rPr>
          </w:pPr>
          <w:hyperlink w:anchor="_Toc130540456" w:history="1">
            <w:r w:rsidR="00CA2C8B" w:rsidRPr="006E0779">
              <w:rPr>
                <w:rStyle w:val="Hyperlink"/>
                <w:rFonts w:ascii="Times New Roman" w:hAnsi="Times New Roman" w:cs="Times New Roman"/>
                <w:noProof/>
              </w:rPr>
              <w:t>4.3</w:t>
            </w:r>
            <w:r w:rsidR="00CA2C8B">
              <w:rPr>
                <w:noProof/>
                <w:sz w:val="24"/>
                <w:szCs w:val="24"/>
                <w:lang w:eastAsia="en-GB"/>
              </w:rPr>
              <w:tab/>
            </w:r>
            <w:r w:rsidR="00CA2C8B" w:rsidRPr="006E0779">
              <w:rPr>
                <w:rStyle w:val="Hyperlink"/>
                <w:rFonts w:ascii="Times New Roman" w:hAnsi="Times New Roman" w:cs="Times New Roman"/>
                <w:noProof/>
              </w:rPr>
              <w:t>Judicial references to privacy and the development of general law protections</w:t>
            </w:r>
            <w:r w:rsidR="00CA2C8B">
              <w:rPr>
                <w:noProof/>
                <w:webHidden/>
              </w:rPr>
              <w:tab/>
            </w:r>
            <w:r w:rsidR="00CA2C8B">
              <w:rPr>
                <w:noProof/>
                <w:webHidden/>
              </w:rPr>
              <w:fldChar w:fldCharType="begin"/>
            </w:r>
            <w:r w:rsidR="00CA2C8B">
              <w:rPr>
                <w:noProof/>
                <w:webHidden/>
              </w:rPr>
              <w:instrText xml:space="preserve"> PAGEREF _Toc130540456 \h </w:instrText>
            </w:r>
            <w:r w:rsidR="00CA2C8B">
              <w:rPr>
                <w:noProof/>
                <w:webHidden/>
              </w:rPr>
            </w:r>
            <w:r w:rsidR="00CA2C8B">
              <w:rPr>
                <w:noProof/>
                <w:webHidden/>
              </w:rPr>
              <w:fldChar w:fldCharType="separate"/>
            </w:r>
            <w:r w:rsidR="00E66B60">
              <w:rPr>
                <w:noProof/>
                <w:webHidden/>
              </w:rPr>
              <w:t>60</w:t>
            </w:r>
            <w:r w:rsidR="00CA2C8B">
              <w:rPr>
                <w:noProof/>
                <w:webHidden/>
              </w:rPr>
              <w:fldChar w:fldCharType="end"/>
            </w:r>
          </w:hyperlink>
        </w:p>
        <w:p w14:paraId="0163E876" w14:textId="0ADFA069" w:rsidR="00CA2C8B" w:rsidRDefault="00000000">
          <w:pPr>
            <w:pStyle w:val="TOC2"/>
            <w:rPr>
              <w:noProof/>
              <w:sz w:val="24"/>
              <w:szCs w:val="24"/>
              <w:lang w:eastAsia="en-GB"/>
            </w:rPr>
          </w:pPr>
          <w:hyperlink w:anchor="_Toc130540457" w:history="1">
            <w:r w:rsidR="00CA2C8B" w:rsidRPr="006E0779">
              <w:rPr>
                <w:rStyle w:val="Hyperlink"/>
                <w:rFonts w:ascii="Times New Roman" w:hAnsi="Times New Roman" w:cs="Times New Roman"/>
                <w:i/>
                <w:iCs/>
                <w:noProof/>
              </w:rPr>
              <w:t>The value of privacy before the Tasmanian courts</w:t>
            </w:r>
            <w:r w:rsidR="00CA2C8B">
              <w:rPr>
                <w:noProof/>
                <w:webHidden/>
              </w:rPr>
              <w:tab/>
            </w:r>
            <w:r w:rsidR="00CA2C8B">
              <w:rPr>
                <w:noProof/>
                <w:webHidden/>
              </w:rPr>
              <w:fldChar w:fldCharType="begin"/>
            </w:r>
            <w:r w:rsidR="00CA2C8B">
              <w:rPr>
                <w:noProof/>
                <w:webHidden/>
              </w:rPr>
              <w:instrText xml:space="preserve"> PAGEREF _Toc130540457 \h </w:instrText>
            </w:r>
            <w:r w:rsidR="00CA2C8B">
              <w:rPr>
                <w:noProof/>
                <w:webHidden/>
              </w:rPr>
            </w:r>
            <w:r w:rsidR="00CA2C8B">
              <w:rPr>
                <w:noProof/>
                <w:webHidden/>
              </w:rPr>
              <w:fldChar w:fldCharType="separate"/>
            </w:r>
            <w:r w:rsidR="00E66B60">
              <w:rPr>
                <w:noProof/>
                <w:webHidden/>
              </w:rPr>
              <w:t>60</w:t>
            </w:r>
            <w:r w:rsidR="00CA2C8B">
              <w:rPr>
                <w:noProof/>
                <w:webHidden/>
              </w:rPr>
              <w:fldChar w:fldCharType="end"/>
            </w:r>
          </w:hyperlink>
        </w:p>
        <w:p w14:paraId="70D9B1D5" w14:textId="2F5CDBCC" w:rsidR="00CA2C8B" w:rsidRDefault="00000000">
          <w:pPr>
            <w:pStyle w:val="TOC2"/>
            <w:rPr>
              <w:noProof/>
              <w:sz w:val="24"/>
              <w:szCs w:val="24"/>
              <w:lang w:eastAsia="en-GB"/>
            </w:rPr>
          </w:pPr>
          <w:hyperlink w:anchor="_Toc130540458" w:history="1">
            <w:r w:rsidR="00CA2C8B" w:rsidRPr="006E0779">
              <w:rPr>
                <w:rStyle w:val="Hyperlink"/>
                <w:rFonts w:ascii="Times New Roman" w:hAnsi="Times New Roman" w:cs="Times New Roman"/>
                <w:i/>
                <w:iCs/>
                <w:noProof/>
              </w:rPr>
              <w:t>Tort law (civil wrongs)</w:t>
            </w:r>
            <w:r w:rsidR="00CA2C8B">
              <w:rPr>
                <w:noProof/>
                <w:webHidden/>
              </w:rPr>
              <w:tab/>
            </w:r>
            <w:r w:rsidR="00CA2C8B">
              <w:rPr>
                <w:noProof/>
                <w:webHidden/>
              </w:rPr>
              <w:fldChar w:fldCharType="begin"/>
            </w:r>
            <w:r w:rsidR="00CA2C8B">
              <w:rPr>
                <w:noProof/>
                <w:webHidden/>
              </w:rPr>
              <w:instrText xml:space="preserve"> PAGEREF _Toc130540458 \h </w:instrText>
            </w:r>
            <w:r w:rsidR="00CA2C8B">
              <w:rPr>
                <w:noProof/>
                <w:webHidden/>
              </w:rPr>
            </w:r>
            <w:r w:rsidR="00CA2C8B">
              <w:rPr>
                <w:noProof/>
                <w:webHidden/>
              </w:rPr>
              <w:fldChar w:fldCharType="separate"/>
            </w:r>
            <w:r w:rsidR="00E66B60">
              <w:rPr>
                <w:noProof/>
                <w:webHidden/>
              </w:rPr>
              <w:t>62</w:t>
            </w:r>
            <w:r w:rsidR="00CA2C8B">
              <w:rPr>
                <w:noProof/>
                <w:webHidden/>
              </w:rPr>
              <w:fldChar w:fldCharType="end"/>
            </w:r>
          </w:hyperlink>
        </w:p>
        <w:p w14:paraId="6A8836B5" w14:textId="0D2E1C70" w:rsidR="00CA2C8B" w:rsidRDefault="00000000">
          <w:pPr>
            <w:pStyle w:val="TOC2"/>
            <w:rPr>
              <w:noProof/>
              <w:sz w:val="24"/>
              <w:szCs w:val="24"/>
              <w:lang w:eastAsia="en-GB"/>
            </w:rPr>
          </w:pPr>
          <w:hyperlink w:anchor="_Toc130540459" w:history="1">
            <w:r w:rsidR="00CA2C8B" w:rsidRPr="006E0779">
              <w:rPr>
                <w:rStyle w:val="Hyperlink"/>
                <w:rFonts w:ascii="Times New Roman" w:hAnsi="Times New Roman" w:cs="Times New Roman"/>
                <w:i/>
                <w:iCs/>
                <w:noProof/>
              </w:rPr>
              <w:t>Equity</w:t>
            </w:r>
            <w:r w:rsidR="00CA2C8B">
              <w:rPr>
                <w:noProof/>
                <w:webHidden/>
              </w:rPr>
              <w:tab/>
            </w:r>
            <w:r w:rsidR="00CA2C8B">
              <w:rPr>
                <w:noProof/>
                <w:webHidden/>
              </w:rPr>
              <w:fldChar w:fldCharType="begin"/>
            </w:r>
            <w:r w:rsidR="00CA2C8B">
              <w:rPr>
                <w:noProof/>
                <w:webHidden/>
              </w:rPr>
              <w:instrText xml:space="preserve"> PAGEREF _Toc130540459 \h </w:instrText>
            </w:r>
            <w:r w:rsidR="00CA2C8B">
              <w:rPr>
                <w:noProof/>
                <w:webHidden/>
              </w:rPr>
            </w:r>
            <w:r w:rsidR="00CA2C8B">
              <w:rPr>
                <w:noProof/>
                <w:webHidden/>
              </w:rPr>
              <w:fldChar w:fldCharType="separate"/>
            </w:r>
            <w:r w:rsidR="00E66B60">
              <w:rPr>
                <w:noProof/>
                <w:webHidden/>
              </w:rPr>
              <w:t>63</w:t>
            </w:r>
            <w:r w:rsidR="00CA2C8B">
              <w:rPr>
                <w:noProof/>
                <w:webHidden/>
              </w:rPr>
              <w:fldChar w:fldCharType="end"/>
            </w:r>
          </w:hyperlink>
        </w:p>
        <w:p w14:paraId="06A7AC94" w14:textId="1D2DE3A4" w:rsidR="00CA2C8B" w:rsidRDefault="00000000">
          <w:pPr>
            <w:pStyle w:val="TOC2"/>
            <w:rPr>
              <w:noProof/>
              <w:sz w:val="24"/>
              <w:szCs w:val="24"/>
              <w:lang w:eastAsia="en-GB"/>
            </w:rPr>
          </w:pPr>
          <w:hyperlink w:anchor="_Toc130540460" w:history="1">
            <w:r w:rsidR="00CA2C8B" w:rsidRPr="006E0779">
              <w:rPr>
                <w:rStyle w:val="Hyperlink"/>
                <w:rFonts w:ascii="Times New Roman" w:hAnsi="Times New Roman" w:cs="Times New Roman"/>
                <w:i/>
                <w:iCs/>
                <w:noProof/>
              </w:rPr>
              <w:t>Recognition of privacy in constitutional settings</w:t>
            </w:r>
            <w:r w:rsidR="00CA2C8B">
              <w:rPr>
                <w:noProof/>
                <w:webHidden/>
              </w:rPr>
              <w:tab/>
            </w:r>
            <w:r w:rsidR="00CA2C8B">
              <w:rPr>
                <w:noProof/>
                <w:webHidden/>
              </w:rPr>
              <w:fldChar w:fldCharType="begin"/>
            </w:r>
            <w:r w:rsidR="00CA2C8B">
              <w:rPr>
                <w:noProof/>
                <w:webHidden/>
              </w:rPr>
              <w:instrText xml:space="preserve"> PAGEREF _Toc130540460 \h </w:instrText>
            </w:r>
            <w:r w:rsidR="00CA2C8B">
              <w:rPr>
                <w:noProof/>
                <w:webHidden/>
              </w:rPr>
            </w:r>
            <w:r w:rsidR="00CA2C8B">
              <w:rPr>
                <w:noProof/>
                <w:webHidden/>
              </w:rPr>
              <w:fldChar w:fldCharType="separate"/>
            </w:r>
            <w:r w:rsidR="00E66B60">
              <w:rPr>
                <w:noProof/>
                <w:webHidden/>
              </w:rPr>
              <w:t>63</w:t>
            </w:r>
            <w:r w:rsidR="00CA2C8B">
              <w:rPr>
                <w:noProof/>
                <w:webHidden/>
              </w:rPr>
              <w:fldChar w:fldCharType="end"/>
            </w:r>
          </w:hyperlink>
        </w:p>
        <w:p w14:paraId="69944FAD" w14:textId="26437673" w:rsidR="00CA2C8B" w:rsidRDefault="00000000">
          <w:pPr>
            <w:pStyle w:val="TOC2"/>
            <w:rPr>
              <w:noProof/>
              <w:sz w:val="24"/>
              <w:szCs w:val="24"/>
              <w:lang w:eastAsia="en-GB"/>
            </w:rPr>
          </w:pPr>
          <w:hyperlink w:anchor="_Toc130540461" w:history="1">
            <w:r w:rsidR="00CA2C8B" w:rsidRPr="006E0779">
              <w:rPr>
                <w:rStyle w:val="Hyperlink"/>
                <w:rFonts w:ascii="Times New Roman" w:hAnsi="Times New Roman" w:cs="Times New Roman"/>
                <w:noProof/>
              </w:rPr>
              <w:t>4.4</w:t>
            </w:r>
            <w:r w:rsidR="00CA2C8B">
              <w:rPr>
                <w:noProof/>
                <w:sz w:val="24"/>
                <w:szCs w:val="24"/>
                <w:lang w:eastAsia="en-GB"/>
              </w:rPr>
              <w:tab/>
            </w:r>
            <w:r w:rsidR="00CA2C8B" w:rsidRPr="006E0779">
              <w:rPr>
                <w:rStyle w:val="Hyperlink"/>
                <w:rFonts w:ascii="Times New Roman" w:hAnsi="Times New Roman" w:cs="Times New Roman"/>
                <w:noProof/>
              </w:rPr>
              <w:t>A civil cause of action for interference with privacy</w:t>
            </w:r>
            <w:r w:rsidR="00CA2C8B">
              <w:rPr>
                <w:noProof/>
                <w:webHidden/>
              </w:rPr>
              <w:tab/>
            </w:r>
            <w:r w:rsidR="00CA2C8B">
              <w:rPr>
                <w:noProof/>
                <w:webHidden/>
              </w:rPr>
              <w:fldChar w:fldCharType="begin"/>
            </w:r>
            <w:r w:rsidR="00CA2C8B">
              <w:rPr>
                <w:noProof/>
                <w:webHidden/>
              </w:rPr>
              <w:instrText xml:space="preserve"> PAGEREF _Toc130540461 \h </w:instrText>
            </w:r>
            <w:r w:rsidR="00CA2C8B">
              <w:rPr>
                <w:noProof/>
                <w:webHidden/>
              </w:rPr>
            </w:r>
            <w:r w:rsidR="00CA2C8B">
              <w:rPr>
                <w:noProof/>
                <w:webHidden/>
              </w:rPr>
              <w:fldChar w:fldCharType="separate"/>
            </w:r>
            <w:r w:rsidR="00E66B60">
              <w:rPr>
                <w:noProof/>
                <w:webHidden/>
              </w:rPr>
              <w:t>64</w:t>
            </w:r>
            <w:r w:rsidR="00CA2C8B">
              <w:rPr>
                <w:noProof/>
                <w:webHidden/>
              </w:rPr>
              <w:fldChar w:fldCharType="end"/>
            </w:r>
          </w:hyperlink>
        </w:p>
        <w:p w14:paraId="79C19C9A" w14:textId="4DA218F4" w:rsidR="00CA2C8B" w:rsidRDefault="00000000">
          <w:pPr>
            <w:pStyle w:val="TOC1"/>
            <w:rPr>
              <w:noProof/>
              <w:sz w:val="24"/>
              <w:szCs w:val="24"/>
              <w:lang w:eastAsia="en-GB"/>
            </w:rPr>
          </w:pPr>
          <w:hyperlink w:anchor="_Toc130540462" w:history="1">
            <w:r w:rsidR="00CA2C8B" w:rsidRPr="006E0779">
              <w:rPr>
                <w:rStyle w:val="Hyperlink"/>
                <w:rFonts w:ascii="Times New Roman" w:hAnsi="Times New Roman" w:cs="Times New Roman"/>
                <w:noProof/>
                <w:lang w:val="en-GB"/>
              </w:rPr>
              <w:t>Appendix 1</w:t>
            </w:r>
            <w:r w:rsidR="00CA2C8B">
              <w:rPr>
                <w:noProof/>
                <w:webHidden/>
              </w:rPr>
              <w:tab/>
            </w:r>
            <w:r w:rsidR="00CA2C8B">
              <w:rPr>
                <w:noProof/>
                <w:webHidden/>
              </w:rPr>
              <w:fldChar w:fldCharType="begin"/>
            </w:r>
            <w:r w:rsidR="00CA2C8B">
              <w:rPr>
                <w:noProof/>
                <w:webHidden/>
              </w:rPr>
              <w:instrText xml:space="preserve"> PAGEREF _Toc130540462 \h </w:instrText>
            </w:r>
            <w:r w:rsidR="00CA2C8B">
              <w:rPr>
                <w:noProof/>
                <w:webHidden/>
              </w:rPr>
            </w:r>
            <w:r w:rsidR="00CA2C8B">
              <w:rPr>
                <w:noProof/>
                <w:webHidden/>
              </w:rPr>
              <w:fldChar w:fldCharType="separate"/>
            </w:r>
            <w:r w:rsidR="00E66B60">
              <w:rPr>
                <w:noProof/>
                <w:webHidden/>
              </w:rPr>
              <w:t>68</w:t>
            </w:r>
            <w:r w:rsidR="00CA2C8B">
              <w:rPr>
                <w:noProof/>
                <w:webHidden/>
              </w:rPr>
              <w:fldChar w:fldCharType="end"/>
            </w:r>
          </w:hyperlink>
        </w:p>
        <w:p w14:paraId="13A1AA59" w14:textId="57E8B015" w:rsidR="00CA2C8B" w:rsidRDefault="00000000">
          <w:pPr>
            <w:pStyle w:val="TOC2"/>
            <w:rPr>
              <w:noProof/>
              <w:sz w:val="24"/>
              <w:szCs w:val="24"/>
              <w:lang w:eastAsia="en-GB"/>
            </w:rPr>
          </w:pPr>
          <w:hyperlink w:anchor="_Toc130540463" w:history="1">
            <w:r w:rsidR="00CA2C8B" w:rsidRPr="006E0779">
              <w:rPr>
                <w:rStyle w:val="Hyperlink"/>
                <w:rFonts w:ascii="Times New Roman" w:hAnsi="Times New Roman" w:cs="Times New Roman"/>
                <w:noProof/>
                <w:lang w:val="en-GB"/>
              </w:rPr>
              <w:t>State and territory protection of privacy</w:t>
            </w:r>
            <w:r w:rsidR="00CA2C8B">
              <w:rPr>
                <w:noProof/>
                <w:webHidden/>
              </w:rPr>
              <w:tab/>
            </w:r>
            <w:r w:rsidR="00CA2C8B">
              <w:rPr>
                <w:noProof/>
                <w:webHidden/>
              </w:rPr>
              <w:fldChar w:fldCharType="begin"/>
            </w:r>
            <w:r w:rsidR="00CA2C8B">
              <w:rPr>
                <w:noProof/>
                <w:webHidden/>
              </w:rPr>
              <w:instrText xml:space="preserve"> PAGEREF _Toc130540463 \h </w:instrText>
            </w:r>
            <w:r w:rsidR="00CA2C8B">
              <w:rPr>
                <w:noProof/>
                <w:webHidden/>
              </w:rPr>
            </w:r>
            <w:r w:rsidR="00CA2C8B">
              <w:rPr>
                <w:noProof/>
                <w:webHidden/>
              </w:rPr>
              <w:fldChar w:fldCharType="separate"/>
            </w:r>
            <w:r w:rsidR="00E66B60">
              <w:rPr>
                <w:noProof/>
                <w:webHidden/>
              </w:rPr>
              <w:t>68</w:t>
            </w:r>
            <w:r w:rsidR="00CA2C8B">
              <w:rPr>
                <w:noProof/>
                <w:webHidden/>
              </w:rPr>
              <w:fldChar w:fldCharType="end"/>
            </w:r>
          </w:hyperlink>
        </w:p>
        <w:p w14:paraId="3C10C91C" w14:textId="6F9E5DEF" w:rsidR="00CA2C8B" w:rsidRDefault="00000000">
          <w:pPr>
            <w:pStyle w:val="TOC1"/>
            <w:rPr>
              <w:noProof/>
              <w:sz w:val="24"/>
              <w:szCs w:val="24"/>
              <w:lang w:eastAsia="en-GB"/>
            </w:rPr>
          </w:pPr>
          <w:hyperlink w:anchor="_Toc130540464" w:history="1">
            <w:r w:rsidR="00CA2C8B" w:rsidRPr="006E0779">
              <w:rPr>
                <w:rStyle w:val="Hyperlink"/>
                <w:rFonts w:ascii="Times New Roman" w:hAnsi="Times New Roman" w:cs="Times New Roman"/>
                <w:noProof/>
                <w:lang w:val="en-GB"/>
              </w:rPr>
              <w:t>Appendix 2</w:t>
            </w:r>
            <w:r w:rsidR="00CA2C8B">
              <w:rPr>
                <w:noProof/>
                <w:webHidden/>
              </w:rPr>
              <w:tab/>
            </w:r>
            <w:r w:rsidR="00CA2C8B">
              <w:rPr>
                <w:noProof/>
                <w:webHidden/>
              </w:rPr>
              <w:fldChar w:fldCharType="begin"/>
            </w:r>
            <w:r w:rsidR="00CA2C8B">
              <w:rPr>
                <w:noProof/>
                <w:webHidden/>
              </w:rPr>
              <w:instrText xml:space="preserve"> PAGEREF _Toc130540464 \h </w:instrText>
            </w:r>
            <w:r w:rsidR="00CA2C8B">
              <w:rPr>
                <w:noProof/>
                <w:webHidden/>
              </w:rPr>
            </w:r>
            <w:r w:rsidR="00CA2C8B">
              <w:rPr>
                <w:noProof/>
                <w:webHidden/>
              </w:rPr>
              <w:fldChar w:fldCharType="separate"/>
            </w:r>
            <w:r w:rsidR="00E66B60">
              <w:rPr>
                <w:noProof/>
                <w:webHidden/>
              </w:rPr>
              <w:t>71</w:t>
            </w:r>
            <w:r w:rsidR="00CA2C8B">
              <w:rPr>
                <w:noProof/>
                <w:webHidden/>
              </w:rPr>
              <w:fldChar w:fldCharType="end"/>
            </w:r>
          </w:hyperlink>
        </w:p>
        <w:p w14:paraId="6B001A86" w14:textId="2C204CAC" w:rsidR="00CA2C8B" w:rsidRDefault="00000000">
          <w:pPr>
            <w:pStyle w:val="TOC2"/>
            <w:rPr>
              <w:noProof/>
              <w:sz w:val="24"/>
              <w:szCs w:val="24"/>
              <w:lang w:eastAsia="en-GB"/>
            </w:rPr>
          </w:pPr>
          <w:hyperlink w:anchor="_Toc130540465" w:history="1">
            <w:r w:rsidR="00CA2C8B" w:rsidRPr="006E0779">
              <w:rPr>
                <w:rStyle w:val="Hyperlink"/>
                <w:rFonts w:ascii="Times New Roman" w:hAnsi="Times New Roman" w:cs="Times New Roman"/>
                <w:noProof/>
                <w:lang w:val="en-GB"/>
              </w:rPr>
              <w:t>Law reform projects</w:t>
            </w:r>
            <w:r w:rsidR="00CA2C8B">
              <w:rPr>
                <w:noProof/>
                <w:webHidden/>
              </w:rPr>
              <w:tab/>
            </w:r>
            <w:r w:rsidR="00CA2C8B">
              <w:rPr>
                <w:noProof/>
                <w:webHidden/>
              </w:rPr>
              <w:fldChar w:fldCharType="begin"/>
            </w:r>
            <w:r w:rsidR="00CA2C8B">
              <w:rPr>
                <w:noProof/>
                <w:webHidden/>
              </w:rPr>
              <w:instrText xml:space="preserve"> PAGEREF _Toc130540465 \h </w:instrText>
            </w:r>
            <w:r w:rsidR="00CA2C8B">
              <w:rPr>
                <w:noProof/>
                <w:webHidden/>
              </w:rPr>
            </w:r>
            <w:r w:rsidR="00CA2C8B">
              <w:rPr>
                <w:noProof/>
                <w:webHidden/>
              </w:rPr>
              <w:fldChar w:fldCharType="separate"/>
            </w:r>
            <w:r w:rsidR="00E66B60">
              <w:rPr>
                <w:noProof/>
                <w:webHidden/>
              </w:rPr>
              <w:t>71</w:t>
            </w:r>
            <w:r w:rsidR="00CA2C8B">
              <w:rPr>
                <w:noProof/>
                <w:webHidden/>
              </w:rPr>
              <w:fldChar w:fldCharType="end"/>
            </w:r>
          </w:hyperlink>
        </w:p>
        <w:p w14:paraId="23C18E3F" w14:textId="7E068155" w:rsidR="00E15B1D" w:rsidRPr="006D2720" w:rsidRDefault="003E4AC3">
          <w:pPr>
            <w:rPr>
              <w:rFonts w:ascii="Times New Roman" w:hAnsi="Times New Roman" w:cs="Times New Roman"/>
            </w:rPr>
          </w:pPr>
          <w:r w:rsidRPr="006D2720">
            <w:rPr>
              <w:rFonts w:ascii="Times New Roman" w:hAnsi="Times New Roman" w:cs="Times New Roman"/>
            </w:rPr>
            <w:fldChar w:fldCharType="end"/>
          </w:r>
        </w:p>
      </w:sdtContent>
    </w:sdt>
    <w:p w14:paraId="7B5B7F3B" w14:textId="002CEEBA" w:rsidR="0064050C" w:rsidRPr="006D2720" w:rsidRDefault="0064050C" w:rsidP="0064050C">
      <w:pPr>
        <w:rPr>
          <w:rFonts w:ascii="Times New Roman" w:hAnsi="Times New Roman" w:cs="Times New Roman"/>
        </w:rPr>
      </w:pPr>
    </w:p>
    <w:p w14:paraId="75BD3B43" w14:textId="77777777" w:rsidR="006B6D46" w:rsidRPr="006D2720" w:rsidRDefault="00035949">
      <w:pPr>
        <w:rPr>
          <w:rFonts w:ascii="Times New Roman" w:hAnsi="Times New Roman" w:cs="Times New Roman"/>
        </w:rPr>
      </w:pPr>
      <w:r w:rsidRPr="006D2720">
        <w:rPr>
          <w:rFonts w:ascii="Times New Roman" w:hAnsi="Times New Roman" w:cs="Times New Roman"/>
        </w:rPr>
        <w:br w:type="page"/>
      </w:r>
      <w:bookmarkStart w:id="0" w:name="_Toc91831981"/>
    </w:p>
    <w:p w14:paraId="7ED488EE" w14:textId="4F94855A" w:rsidR="00FC2C6D" w:rsidRPr="006D2720" w:rsidRDefault="0061264A" w:rsidP="00FC2C6D">
      <w:pPr>
        <w:pStyle w:val="Heading1"/>
        <w:numPr>
          <w:ilvl w:val="0"/>
          <w:numId w:val="0"/>
        </w:numPr>
        <w:spacing w:before="0"/>
        <w:rPr>
          <w:rFonts w:ascii="Times New Roman" w:hAnsi="Times New Roman" w:cs="Times New Roman"/>
        </w:rPr>
      </w:pPr>
      <w:bookmarkStart w:id="1" w:name="_Toc130540410"/>
      <w:r w:rsidRPr="006D2720">
        <w:rPr>
          <w:rFonts w:ascii="Times New Roman" w:hAnsi="Times New Roman" w:cs="Times New Roman"/>
        </w:rPr>
        <w:t>A</w:t>
      </w:r>
      <w:r w:rsidR="00FC2C6D" w:rsidRPr="006D2720">
        <w:rPr>
          <w:rFonts w:ascii="Times New Roman" w:hAnsi="Times New Roman" w:cs="Times New Roman"/>
        </w:rPr>
        <w:t>bout the Tasmania Law Reform Institute</w:t>
      </w:r>
      <w:bookmarkEnd w:id="1"/>
      <w:r w:rsidR="00FC2C6D" w:rsidRPr="006D2720">
        <w:rPr>
          <w:rFonts w:ascii="Times New Roman" w:hAnsi="Times New Roman" w:cs="Times New Roman"/>
        </w:rPr>
        <w:t xml:space="preserve"> </w:t>
      </w:r>
    </w:p>
    <w:p w14:paraId="3A961C41" w14:textId="333F72CC" w:rsidR="00FC2C6D" w:rsidRPr="006D2720" w:rsidRDefault="0052660D" w:rsidP="6A5055B1">
      <w:pPr>
        <w:pStyle w:val="BodyText"/>
        <w:spacing w:before="226" w:line="252" w:lineRule="auto"/>
        <w:ind w:right="116"/>
        <w:jc w:val="left"/>
        <w:rPr>
          <w:rFonts w:ascii="Times New Roman" w:hAnsi="Times New Roman" w:cs="Times New Roman"/>
          <w:b w:val="0"/>
          <w:w w:val="105"/>
          <w:sz w:val="22"/>
          <w:szCs w:val="22"/>
        </w:rPr>
      </w:pPr>
      <w:r w:rsidRPr="6A5055B1">
        <w:rPr>
          <w:rFonts w:ascii="Times New Roman" w:hAnsi="Times New Roman" w:cs="Times New Roman"/>
          <w:b w:val="0"/>
          <w:w w:val="105"/>
          <w:sz w:val="22"/>
          <w:szCs w:val="22"/>
        </w:rPr>
        <w:t>The Tasmania Law Reform Institute</w:t>
      </w:r>
      <w:r w:rsidR="00814D71" w:rsidRPr="6A5055B1">
        <w:rPr>
          <w:rFonts w:ascii="Times New Roman" w:hAnsi="Times New Roman" w:cs="Times New Roman"/>
          <w:b w:val="0"/>
          <w:w w:val="105"/>
          <w:sz w:val="22"/>
          <w:szCs w:val="22"/>
          <w:lang w:val="en-AU"/>
        </w:rPr>
        <w:t xml:space="preserve"> </w:t>
      </w:r>
      <w:r w:rsidRPr="6A5055B1">
        <w:rPr>
          <w:rFonts w:ascii="Times New Roman" w:hAnsi="Times New Roman" w:cs="Times New Roman"/>
          <w:b w:val="0"/>
          <w:w w:val="105"/>
          <w:sz w:val="22"/>
          <w:szCs w:val="22"/>
        </w:rPr>
        <w:t xml:space="preserve">is Tasmania’s peak independent law reform body. </w:t>
      </w:r>
      <w:r w:rsidR="00FC2C6D" w:rsidRPr="6A5055B1">
        <w:rPr>
          <w:rFonts w:ascii="Times New Roman" w:hAnsi="Times New Roman" w:cs="Times New Roman"/>
          <w:b w:val="0"/>
          <w:w w:val="105"/>
          <w:sz w:val="22"/>
          <w:szCs w:val="22"/>
        </w:rPr>
        <w:t>The</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Institute</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was</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established</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on</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23</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July</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2001</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by</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agreement</w:t>
      </w:r>
      <w:r w:rsidR="00FC2C6D" w:rsidRPr="6A5055B1">
        <w:rPr>
          <w:rFonts w:ascii="Times New Roman" w:hAnsi="Times New Roman" w:cs="Times New Roman"/>
          <w:b w:val="0"/>
          <w:spacing w:val="36"/>
          <w:w w:val="105"/>
          <w:sz w:val="22"/>
          <w:szCs w:val="22"/>
        </w:rPr>
        <w:t xml:space="preserve"> </w:t>
      </w:r>
      <w:r w:rsidR="00FC2C6D" w:rsidRPr="6A5055B1">
        <w:rPr>
          <w:rFonts w:ascii="Times New Roman" w:hAnsi="Times New Roman" w:cs="Times New Roman"/>
          <w:b w:val="0"/>
          <w:w w:val="105"/>
          <w:sz w:val="22"/>
          <w:szCs w:val="22"/>
        </w:rPr>
        <w:t>between</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the</w:t>
      </w:r>
      <w:r w:rsidR="00FC2C6D" w:rsidRPr="6A5055B1">
        <w:rPr>
          <w:rFonts w:ascii="Times New Roman" w:hAnsi="Times New Roman" w:cs="Times New Roman"/>
          <w:b w:val="0"/>
          <w:w w:val="102"/>
          <w:sz w:val="22"/>
          <w:szCs w:val="22"/>
        </w:rPr>
        <w:t xml:space="preserve"> </w:t>
      </w:r>
      <w:r w:rsidR="00FC2C6D" w:rsidRPr="6A5055B1">
        <w:rPr>
          <w:rFonts w:ascii="Times New Roman" w:hAnsi="Times New Roman" w:cs="Times New Roman"/>
          <w:b w:val="0"/>
          <w:w w:val="105"/>
          <w:sz w:val="22"/>
          <w:szCs w:val="22"/>
        </w:rPr>
        <w:t>Government of the State of Tasmania, the University of Tasmania and The Law Society of</w:t>
      </w:r>
      <w:r w:rsidR="00FC2C6D" w:rsidRPr="6A5055B1">
        <w:rPr>
          <w:rFonts w:ascii="Times New Roman" w:hAnsi="Times New Roman" w:cs="Times New Roman"/>
          <w:b w:val="0"/>
          <w:spacing w:val="23"/>
          <w:w w:val="105"/>
          <w:sz w:val="22"/>
          <w:szCs w:val="22"/>
        </w:rPr>
        <w:t xml:space="preserve"> </w:t>
      </w:r>
      <w:r w:rsidR="00FC2C6D" w:rsidRPr="6A5055B1">
        <w:rPr>
          <w:rFonts w:ascii="Times New Roman" w:hAnsi="Times New Roman" w:cs="Times New Roman"/>
          <w:b w:val="0"/>
          <w:w w:val="105"/>
          <w:sz w:val="22"/>
          <w:szCs w:val="22"/>
        </w:rPr>
        <w:t>Tasmania.</w:t>
      </w:r>
      <w:r w:rsidR="00FC2C6D" w:rsidRPr="6A5055B1">
        <w:rPr>
          <w:rFonts w:ascii="Times New Roman" w:hAnsi="Times New Roman" w:cs="Times New Roman"/>
          <w:b w:val="0"/>
          <w:w w:val="102"/>
          <w:sz w:val="22"/>
          <w:szCs w:val="22"/>
        </w:rPr>
        <w:t xml:space="preserve"> </w:t>
      </w:r>
      <w:r w:rsidR="00FC2C6D" w:rsidRPr="6A5055B1">
        <w:rPr>
          <w:rFonts w:ascii="Times New Roman" w:hAnsi="Times New Roman" w:cs="Times New Roman"/>
          <w:b w:val="0"/>
          <w:w w:val="105"/>
          <w:sz w:val="22"/>
          <w:szCs w:val="22"/>
        </w:rPr>
        <w:t>The creation of the Institute was part of a Partnership Agreement between the University and the</w:t>
      </w:r>
      <w:r w:rsidR="00FC2C6D" w:rsidRPr="6A5055B1">
        <w:rPr>
          <w:rFonts w:ascii="Times New Roman" w:hAnsi="Times New Roman" w:cs="Times New Roman"/>
          <w:b w:val="0"/>
          <w:spacing w:val="-36"/>
          <w:w w:val="105"/>
          <w:sz w:val="22"/>
          <w:szCs w:val="22"/>
        </w:rPr>
        <w:t xml:space="preserve"> </w:t>
      </w:r>
      <w:r w:rsidR="00FC2C6D" w:rsidRPr="6A5055B1">
        <w:rPr>
          <w:rFonts w:ascii="Times New Roman" w:hAnsi="Times New Roman" w:cs="Times New Roman"/>
          <w:b w:val="0"/>
          <w:w w:val="105"/>
          <w:sz w:val="22"/>
          <w:szCs w:val="22"/>
        </w:rPr>
        <w:t>State</w:t>
      </w:r>
      <w:r w:rsidR="00FC2C6D" w:rsidRPr="6A5055B1">
        <w:rPr>
          <w:rFonts w:ascii="Times New Roman" w:hAnsi="Times New Roman" w:cs="Times New Roman"/>
          <w:b w:val="0"/>
          <w:w w:val="102"/>
          <w:sz w:val="22"/>
          <w:szCs w:val="22"/>
        </w:rPr>
        <w:t xml:space="preserve"> </w:t>
      </w:r>
      <w:r w:rsidR="00FC2C6D" w:rsidRPr="6A5055B1">
        <w:rPr>
          <w:rFonts w:ascii="Times New Roman" w:hAnsi="Times New Roman" w:cs="Times New Roman"/>
          <w:b w:val="0"/>
          <w:w w:val="105"/>
          <w:sz w:val="22"/>
          <w:szCs w:val="22"/>
        </w:rPr>
        <w:t>Government</w:t>
      </w:r>
      <w:r w:rsidR="00FC2C6D" w:rsidRPr="6A5055B1">
        <w:rPr>
          <w:rFonts w:ascii="Times New Roman" w:hAnsi="Times New Roman" w:cs="Times New Roman"/>
          <w:b w:val="0"/>
          <w:spacing w:val="29"/>
          <w:w w:val="105"/>
          <w:sz w:val="22"/>
          <w:szCs w:val="22"/>
        </w:rPr>
        <w:t xml:space="preserve"> </w:t>
      </w:r>
      <w:r w:rsidR="00FC2C6D" w:rsidRPr="6A5055B1">
        <w:rPr>
          <w:rFonts w:ascii="Times New Roman" w:hAnsi="Times New Roman" w:cs="Times New Roman"/>
          <w:b w:val="0"/>
          <w:w w:val="105"/>
          <w:sz w:val="22"/>
          <w:szCs w:val="22"/>
        </w:rPr>
        <w:t>signed</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in</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2000.</w:t>
      </w:r>
      <w:r w:rsidR="00FC2C6D" w:rsidRPr="6A5055B1">
        <w:rPr>
          <w:rFonts w:ascii="Times New Roman" w:hAnsi="Times New Roman" w:cs="Times New Roman"/>
          <w:b w:val="0"/>
          <w:spacing w:val="29"/>
          <w:w w:val="105"/>
          <w:sz w:val="22"/>
          <w:szCs w:val="22"/>
        </w:rPr>
        <w:t xml:space="preserve"> </w:t>
      </w:r>
      <w:r w:rsidR="00FC2C6D" w:rsidRPr="6A5055B1">
        <w:rPr>
          <w:rFonts w:ascii="Times New Roman" w:hAnsi="Times New Roman" w:cs="Times New Roman"/>
          <w:b w:val="0"/>
          <w:w w:val="105"/>
          <w:sz w:val="22"/>
          <w:szCs w:val="22"/>
        </w:rPr>
        <w:t>The</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Institute</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is</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based</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at</w:t>
      </w:r>
      <w:r w:rsidR="00FC2C6D" w:rsidRPr="6A5055B1">
        <w:rPr>
          <w:rFonts w:ascii="Times New Roman" w:hAnsi="Times New Roman" w:cs="Times New Roman"/>
          <w:b w:val="0"/>
          <w:spacing w:val="29"/>
          <w:w w:val="105"/>
          <w:sz w:val="22"/>
          <w:szCs w:val="22"/>
        </w:rPr>
        <w:t xml:space="preserve"> </w:t>
      </w:r>
      <w:r w:rsidR="00FC2C6D" w:rsidRPr="6A5055B1">
        <w:rPr>
          <w:rFonts w:ascii="Times New Roman" w:hAnsi="Times New Roman" w:cs="Times New Roman"/>
          <w:b w:val="0"/>
          <w:w w:val="105"/>
          <w:sz w:val="22"/>
          <w:szCs w:val="22"/>
        </w:rPr>
        <w:t>the</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Sandy</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Bay</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campus</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of</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the</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University</w:t>
      </w:r>
      <w:r w:rsidR="00FC2C6D" w:rsidRPr="6A5055B1">
        <w:rPr>
          <w:rFonts w:ascii="Times New Roman" w:hAnsi="Times New Roman" w:cs="Times New Roman"/>
          <w:b w:val="0"/>
          <w:spacing w:val="30"/>
          <w:w w:val="105"/>
          <w:sz w:val="22"/>
          <w:szCs w:val="22"/>
        </w:rPr>
        <w:t xml:space="preserve"> </w:t>
      </w:r>
      <w:r w:rsidR="00FC2C6D" w:rsidRPr="6A5055B1">
        <w:rPr>
          <w:rFonts w:ascii="Times New Roman" w:hAnsi="Times New Roman" w:cs="Times New Roman"/>
          <w:b w:val="0"/>
          <w:w w:val="105"/>
          <w:sz w:val="22"/>
          <w:szCs w:val="22"/>
        </w:rPr>
        <w:t>of</w:t>
      </w:r>
      <w:r w:rsidR="00FC2C6D" w:rsidRPr="6A5055B1">
        <w:rPr>
          <w:rFonts w:ascii="Times New Roman" w:hAnsi="Times New Roman" w:cs="Times New Roman"/>
          <w:b w:val="0"/>
          <w:w w:val="102"/>
          <w:sz w:val="22"/>
          <w:szCs w:val="22"/>
        </w:rPr>
        <w:t xml:space="preserve"> </w:t>
      </w:r>
      <w:r w:rsidR="00FC2C6D" w:rsidRPr="6A5055B1">
        <w:rPr>
          <w:rFonts w:ascii="Times New Roman" w:hAnsi="Times New Roman" w:cs="Times New Roman"/>
          <w:b w:val="0"/>
          <w:w w:val="105"/>
          <w:sz w:val="22"/>
          <w:szCs w:val="22"/>
        </w:rPr>
        <w:t>Tasmania within the Faculty of Law. The Institute undertakes law reform work and research on</w:t>
      </w:r>
      <w:r w:rsidR="00FC2C6D" w:rsidRPr="6A5055B1">
        <w:rPr>
          <w:rFonts w:ascii="Times New Roman" w:hAnsi="Times New Roman" w:cs="Times New Roman"/>
          <w:b w:val="0"/>
          <w:spacing w:val="-13"/>
          <w:w w:val="105"/>
          <w:sz w:val="22"/>
          <w:szCs w:val="22"/>
        </w:rPr>
        <w:t xml:space="preserve"> </w:t>
      </w:r>
      <w:r w:rsidR="00FC2C6D" w:rsidRPr="6A5055B1">
        <w:rPr>
          <w:rFonts w:ascii="Times New Roman" w:hAnsi="Times New Roman" w:cs="Times New Roman"/>
          <w:b w:val="0"/>
          <w:w w:val="105"/>
          <w:sz w:val="22"/>
          <w:szCs w:val="22"/>
        </w:rPr>
        <w:t>topics</w:t>
      </w:r>
      <w:r w:rsidR="00FC2C6D" w:rsidRPr="6A5055B1">
        <w:rPr>
          <w:rFonts w:ascii="Times New Roman" w:hAnsi="Times New Roman" w:cs="Times New Roman"/>
          <w:b w:val="0"/>
          <w:spacing w:val="1"/>
          <w:w w:val="102"/>
          <w:sz w:val="22"/>
          <w:szCs w:val="22"/>
        </w:rPr>
        <w:t xml:space="preserve"> </w:t>
      </w:r>
      <w:r w:rsidR="00FC2C6D" w:rsidRPr="6A5055B1">
        <w:rPr>
          <w:rFonts w:ascii="Times New Roman" w:hAnsi="Times New Roman" w:cs="Times New Roman"/>
          <w:b w:val="0"/>
          <w:w w:val="105"/>
          <w:sz w:val="22"/>
          <w:szCs w:val="22"/>
        </w:rPr>
        <w:t>proposed by the Government, the community, the University and the Institute</w:t>
      </w:r>
      <w:r w:rsidR="00FC2C6D" w:rsidRPr="6A5055B1">
        <w:rPr>
          <w:rFonts w:ascii="Times New Roman" w:hAnsi="Times New Roman" w:cs="Times New Roman"/>
          <w:b w:val="0"/>
          <w:spacing w:val="-37"/>
          <w:w w:val="105"/>
          <w:sz w:val="22"/>
          <w:szCs w:val="22"/>
        </w:rPr>
        <w:t xml:space="preserve"> </w:t>
      </w:r>
      <w:r w:rsidR="00FC2C6D" w:rsidRPr="6A5055B1">
        <w:rPr>
          <w:rFonts w:ascii="Times New Roman" w:hAnsi="Times New Roman" w:cs="Times New Roman"/>
          <w:b w:val="0"/>
          <w:w w:val="105"/>
          <w:sz w:val="22"/>
          <w:szCs w:val="22"/>
        </w:rPr>
        <w:t>itself.</w:t>
      </w:r>
    </w:p>
    <w:p w14:paraId="5D57C81F" w14:textId="77777777" w:rsidR="00055BAF" w:rsidRPr="006D2720" w:rsidRDefault="00055BAF" w:rsidP="00C61B55">
      <w:pPr>
        <w:pStyle w:val="BodyText"/>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work of the Institute is to conduct impartial and independent reviews or research on areas of law and legal policy in order to provide independent and impartial advice and recommendations on the area investigated, with a view to, or for the purposes of:</w:t>
      </w:r>
    </w:p>
    <w:p w14:paraId="5B4CB16F" w14:textId="41F56FCD"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modernisation of the law; and/or</w:t>
      </w:r>
    </w:p>
    <w:p w14:paraId="32D5B944" w14:textId="30DDEDDB"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elimination of defects in the law; and/or</w:t>
      </w:r>
    </w:p>
    <w:p w14:paraId="172BF702" w14:textId="666EC992"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simplification of the law; and/or</w:t>
      </w:r>
    </w:p>
    <w:p w14:paraId="4F738B9E" w14:textId="1B280F8F"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consolidation of any laws; and/or</w:t>
      </w:r>
    </w:p>
    <w:p w14:paraId="4A59E5B3" w14:textId="6A187391"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repeal of laws that are obsolete or unnecessary; and/or</w:t>
      </w:r>
    </w:p>
    <w:p w14:paraId="75890208" w14:textId="6BC296F1"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adopting new or more effective methods for administering the law and dispensing justice; and/or</w:t>
      </w:r>
    </w:p>
    <w:p w14:paraId="79424C9F" w14:textId="4FCE9F53"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providing improved access to justice; and/or</w:t>
      </w:r>
    </w:p>
    <w:p w14:paraId="47F4A096" w14:textId="2108392E"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uniformity between laws of other states, territories and the Commonwealth; and/or</w:t>
      </w:r>
    </w:p>
    <w:p w14:paraId="2F0BAD61" w14:textId="217A26DD"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codification of laws; and/or</w:t>
      </w:r>
    </w:p>
    <w:p w14:paraId="611CC89F" w14:textId="5EDC52FF" w:rsidR="00055BAF" w:rsidRPr="006D2720" w:rsidRDefault="00055BAF">
      <w:pPr>
        <w:pStyle w:val="BodyText"/>
        <w:numPr>
          <w:ilvl w:val="0"/>
          <w:numId w:val="42"/>
        </w:numPr>
        <w:spacing w:before="226" w:line="252" w:lineRule="auto"/>
        <w:ind w:right="116"/>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promoting equality before the law</w:t>
      </w:r>
      <w:r w:rsidR="0052660D" w:rsidRPr="006D2720">
        <w:rPr>
          <w:rFonts w:ascii="Times New Roman" w:hAnsi="Times New Roman" w:cs="Times New Roman"/>
          <w:b w:val="0"/>
          <w:bCs/>
          <w:w w:val="105"/>
          <w:sz w:val="22"/>
          <w:szCs w:val="22"/>
          <w:lang w:val="en-AU"/>
        </w:rPr>
        <w:t>.</w:t>
      </w:r>
    </w:p>
    <w:p w14:paraId="118B8456" w14:textId="4568E80A" w:rsidR="00FC2C6D" w:rsidRPr="006D2720" w:rsidRDefault="00FC2C6D" w:rsidP="00C61B55">
      <w:pPr>
        <w:pStyle w:val="BodyText"/>
        <w:spacing w:before="0" w:line="249" w:lineRule="auto"/>
        <w:ind w:right="114"/>
        <w:jc w:val="left"/>
        <w:rPr>
          <w:rFonts w:ascii="Times New Roman" w:hAnsi="Times New Roman" w:cs="Times New Roman"/>
          <w:b w:val="0"/>
          <w:bCs/>
          <w:w w:val="105"/>
          <w:sz w:val="22"/>
          <w:szCs w:val="22"/>
          <w:lang w:val="en-AU"/>
        </w:rPr>
      </w:pPr>
      <w:r w:rsidRPr="006D2720">
        <w:rPr>
          <w:rFonts w:ascii="Times New Roman" w:hAnsi="Times New Roman" w:cs="Times New Roman"/>
          <w:b w:val="0"/>
          <w:bCs/>
          <w:w w:val="105"/>
          <w:sz w:val="22"/>
          <w:szCs w:val="22"/>
        </w:rPr>
        <w:t xml:space="preserve">The Institute’s Director is Professor </w:t>
      </w:r>
      <w:r w:rsidRPr="006D2720">
        <w:rPr>
          <w:rFonts w:ascii="Times New Roman" w:hAnsi="Times New Roman" w:cs="Times New Roman"/>
          <w:b w:val="0"/>
          <w:bCs/>
          <w:w w:val="105"/>
          <w:sz w:val="22"/>
          <w:szCs w:val="22"/>
          <w:lang w:val="en-AU"/>
        </w:rPr>
        <w:t>Jeremy Prichard</w:t>
      </w:r>
      <w:r w:rsidRPr="006D2720">
        <w:rPr>
          <w:rFonts w:ascii="Times New Roman" w:hAnsi="Times New Roman" w:cs="Times New Roman"/>
          <w:b w:val="0"/>
          <w:bCs/>
          <w:w w:val="105"/>
          <w:sz w:val="22"/>
          <w:szCs w:val="22"/>
        </w:rPr>
        <w:t xml:space="preserve"> of the University of</w:t>
      </w:r>
      <w:r w:rsidRPr="006D2720">
        <w:rPr>
          <w:rFonts w:ascii="Times New Roman" w:hAnsi="Times New Roman" w:cs="Times New Roman"/>
          <w:b w:val="0"/>
          <w:bCs/>
          <w:spacing w:val="43"/>
          <w:w w:val="105"/>
          <w:sz w:val="22"/>
          <w:szCs w:val="22"/>
        </w:rPr>
        <w:t xml:space="preserve"> </w:t>
      </w:r>
      <w:r w:rsidRPr="006D2720">
        <w:rPr>
          <w:rFonts w:ascii="Times New Roman" w:hAnsi="Times New Roman" w:cs="Times New Roman"/>
          <w:b w:val="0"/>
          <w:bCs/>
          <w:w w:val="105"/>
          <w:sz w:val="22"/>
          <w:szCs w:val="22"/>
        </w:rPr>
        <w:t>Tasmania</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(appointed by the Vice-Chancellor of the University of Tasmania). The members of the Board of</w:t>
      </w:r>
      <w:r w:rsidRPr="006D2720">
        <w:rPr>
          <w:rFonts w:ascii="Times New Roman" w:hAnsi="Times New Roman" w:cs="Times New Roman"/>
          <w:b w:val="0"/>
          <w:bCs/>
          <w:spacing w:val="16"/>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 xml:space="preserve">Institute are: Professor </w:t>
      </w:r>
      <w:r w:rsidRPr="006D2720">
        <w:rPr>
          <w:rFonts w:ascii="Times New Roman" w:hAnsi="Times New Roman" w:cs="Times New Roman"/>
          <w:b w:val="0"/>
          <w:bCs/>
          <w:w w:val="105"/>
          <w:sz w:val="22"/>
          <w:szCs w:val="22"/>
          <w:lang w:val="en-AU"/>
        </w:rPr>
        <w:t>Gino Dal Pont</w:t>
      </w:r>
      <w:r w:rsidRPr="006D2720">
        <w:rPr>
          <w:rFonts w:ascii="Times New Roman" w:hAnsi="Times New Roman" w:cs="Times New Roman"/>
          <w:b w:val="0"/>
          <w:bCs/>
          <w:w w:val="105"/>
          <w:sz w:val="22"/>
          <w:szCs w:val="22"/>
        </w:rPr>
        <w:t xml:space="preserve"> (</w:t>
      </w:r>
      <w:r w:rsidR="00B8656A" w:rsidRPr="006D2720">
        <w:rPr>
          <w:rFonts w:ascii="Times New Roman" w:hAnsi="Times New Roman" w:cs="Times New Roman"/>
          <w:b w:val="0"/>
          <w:bCs/>
          <w:w w:val="105"/>
          <w:sz w:val="22"/>
          <w:szCs w:val="22"/>
          <w:lang w:val="en-AU"/>
        </w:rPr>
        <w:t xml:space="preserve">Acting Chair, </w:t>
      </w:r>
      <w:r w:rsidRPr="006D2720">
        <w:rPr>
          <w:rFonts w:ascii="Times New Roman" w:hAnsi="Times New Roman" w:cs="Times New Roman"/>
          <w:b w:val="0"/>
          <w:bCs/>
          <w:w w:val="105"/>
          <w:sz w:val="22"/>
          <w:szCs w:val="22"/>
          <w:lang w:val="en-AU"/>
        </w:rPr>
        <w:t xml:space="preserve">Interim </w:t>
      </w:r>
      <w:r w:rsidRPr="006D2720">
        <w:rPr>
          <w:rFonts w:ascii="Times New Roman" w:hAnsi="Times New Roman" w:cs="Times New Roman"/>
          <w:b w:val="0"/>
          <w:bCs/>
          <w:w w:val="105"/>
          <w:sz w:val="22"/>
          <w:szCs w:val="22"/>
        </w:rPr>
        <w:t>Dean of</w:t>
      </w:r>
      <w:r w:rsidRPr="006D2720">
        <w:rPr>
          <w:rFonts w:ascii="Times New Roman" w:hAnsi="Times New Roman" w:cs="Times New Roman"/>
          <w:b w:val="0"/>
          <w:bCs/>
          <w:spacing w:val="45"/>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Faculty of Law at the University of Tasmania), the Honourable Justice Helen Wood (appointed by</w:t>
      </w:r>
      <w:r w:rsidRPr="006D2720">
        <w:rPr>
          <w:rFonts w:ascii="Times New Roman" w:hAnsi="Times New Roman" w:cs="Times New Roman"/>
          <w:b w:val="0"/>
          <w:bCs/>
          <w:spacing w:val="-10"/>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Honourable</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Chief</w:t>
      </w:r>
      <w:r w:rsidRPr="006D2720">
        <w:rPr>
          <w:rFonts w:ascii="Times New Roman" w:hAnsi="Times New Roman" w:cs="Times New Roman"/>
          <w:b w:val="0"/>
          <w:bCs/>
          <w:spacing w:val="30"/>
          <w:w w:val="105"/>
          <w:sz w:val="22"/>
          <w:szCs w:val="22"/>
        </w:rPr>
        <w:t xml:space="preserve"> </w:t>
      </w:r>
      <w:r w:rsidRPr="006D2720">
        <w:rPr>
          <w:rFonts w:ascii="Times New Roman" w:hAnsi="Times New Roman" w:cs="Times New Roman"/>
          <w:b w:val="0"/>
          <w:bCs/>
          <w:w w:val="105"/>
          <w:sz w:val="22"/>
          <w:szCs w:val="22"/>
        </w:rPr>
        <w:t>Justice</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30"/>
          <w:w w:val="105"/>
          <w:sz w:val="22"/>
          <w:szCs w:val="22"/>
        </w:rPr>
        <w:t xml:space="preserve"> </w:t>
      </w:r>
      <w:r w:rsidRPr="006D2720">
        <w:rPr>
          <w:rFonts w:ascii="Times New Roman" w:hAnsi="Times New Roman" w:cs="Times New Roman"/>
          <w:b w:val="0"/>
          <w:bCs/>
          <w:w w:val="105"/>
          <w:sz w:val="22"/>
          <w:szCs w:val="22"/>
        </w:rPr>
        <w:t>Tasmania),</w:t>
      </w:r>
      <w:r w:rsidRPr="006D2720">
        <w:rPr>
          <w:rFonts w:ascii="Times New Roman" w:hAnsi="Times New Roman" w:cs="Times New Roman"/>
          <w:b w:val="0"/>
          <w:bCs/>
          <w:spacing w:val="30"/>
          <w:w w:val="105"/>
          <w:sz w:val="22"/>
          <w:szCs w:val="22"/>
        </w:rPr>
        <w:t xml:space="preserve"> </w:t>
      </w:r>
      <w:r w:rsidRPr="006D2720">
        <w:rPr>
          <w:rFonts w:ascii="Times New Roman" w:hAnsi="Times New Roman" w:cs="Times New Roman"/>
          <w:b w:val="0"/>
          <w:bCs/>
          <w:w w:val="105"/>
          <w:sz w:val="22"/>
          <w:szCs w:val="22"/>
          <w:lang w:val="en-AU"/>
        </w:rPr>
        <w:t>Kristy Bourne</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(appointed</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by</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Attorney-General), Craig Mackie (appointed by</w:t>
      </w:r>
      <w:r w:rsidRPr="006D2720">
        <w:rPr>
          <w:rFonts w:ascii="Times New Roman" w:hAnsi="Times New Roman" w:cs="Times New Roman"/>
          <w:b w:val="0"/>
          <w:bCs/>
          <w:spacing w:val="3"/>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Tasmanian Bar Association), Rohan Foon (appointed by the Law Society)</w:t>
      </w:r>
      <w:r w:rsidR="0052660D" w:rsidRPr="006D2720">
        <w:rPr>
          <w:rFonts w:ascii="Times New Roman" w:hAnsi="Times New Roman" w:cs="Times New Roman"/>
          <w:b w:val="0"/>
          <w:bCs/>
          <w:w w:val="105"/>
          <w:sz w:val="22"/>
          <w:szCs w:val="22"/>
          <w:lang w:val="en-AU"/>
        </w:rPr>
        <w:t>,</w:t>
      </w:r>
      <w:r w:rsidRPr="006D2720">
        <w:rPr>
          <w:rFonts w:ascii="Times New Roman" w:hAnsi="Times New Roman" w:cs="Times New Roman"/>
          <w:b w:val="0"/>
          <w:bCs/>
          <w:w w:val="105"/>
          <w:sz w:val="22"/>
          <w:szCs w:val="22"/>
        </w:rPr>
        <w:t xml:space="preserve"> Ann Hughes (appointed</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at</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invitation</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Board),</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Kim</w:t>
      </w:r>
      <w:r w:rsidRPr="006D2720">
        <w:rPr>
          <w:rFonts w:ascii="Times New Roman" w:hAnsi="Times New Roman" w:cs="Times New Roman"/>
          <w:b w:val="0"/>
          <w:bCs/>
          <w:spacing w:val="-5"/>
          <w:w w:val="105"/>
          <w:sz w:val="22"/>
          <w:szCs w:val="22"/>
        </w:rPr>
        <w:t xml:space="preserve"> </w:t>
      </w:r>
      <w:r w:rsidRPr="006D2720">
        <w:rPr>
          <w:rFonts w:ascii="Times New Roman" w:hAnsi="Times New Roman" w:cs="Times New Roman"/>
          <w:b w:val="0"/>
          <w:bCs/>
          <w:w w:val="105"/>
          <w:sz w:val="22"/>
          <w:szCs w:val="22"/>
        </w:rPr>
        <w:t>Baumeler</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(appointed</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at</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invitation</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Board)</w:t>
      </w:r>
      <w:r w:rsidRPr="006D2720">
        <w:rPr>
          <w:rFonts w:ascii="Times New Roman" w:hAnsi="Times New Roman" w:cs="Times New Roman"/>
          <w:b w:val="0"/>
          <w:bCs/>
          <w:w w:val="105"/>
          <w:sz w:val="22"/>
          <w:szCs w:val="22"/>
          <w:lang w:val="en-AU"/>
        </w:rPr>
        <w:t xml:space="preserve"> and Rosie Smith </w:t>
      </w:r>
      <w:r w:rsidRPr="006D2720">
        <w:rPr>
          <w:rFonts w:ascii="Times New Roman" w:hAnsi="Times New Roman" w:cs="Times New Roman"/>
          <w:b w:val="0"/>
          <w:bCs/>
          <w:w w:val="105"/>
          <w:sz w:val="22"/>
          <w:szCs w:val="22"/>
        </w:rPr>
        <w:t>(appointed</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at</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invitation</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7"/>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6"/>
          <w:w w:val="105"/>
          <w:sz w:val="22"/>
          <w:szCs w:val="22"/>
        </w:rPr>
        <w:t xml:space="preserve"> </w:t>
      </w:r>
      <w:r w:rsidRPr="006D2720">
        <w:rPr>
          <w:rFonts w:ascii="Times New Roman" w:hAnsi="Times New Roman" w:cs="Times New Roman"/>
          <w:b w:val="0"/>
          <w:bCs/>
          <w:w w:val="105"/>
          <w:sz w:val="22"/>
          <w:szCs w:val="22"/>
        </w:rPr>
        <w:t>Board</w:t>
      </w:r>
      <w:r w:rsidRPr="006D2720">
        <w:rPr>
          <w:rFonts w:ascii="Times New Roman" w:hAnsi="Times New Roman" w:cs="Times New Roman"/>
          <w:b w:val="0"/>
          <w:bCs/>
          <w:w w:val="105"/>
          <w:sz w:val="22"/>
          <w:szCs w:val="22"/>
          <w:lang w:val="en-AU"/>
        </w:rPr>
        <w:t xml:space="preserve"> as a member of the Tasmanian Aboriginal community</w:t>
      </w:r>
      <w:r w:rsidRPr="006D2720">
        <w:rPr>
          <w:rFonts w:ascii="Times New Roman" w:hAnsi="Times New Roman" w:cs="Times New Roman"/>
          <w:b w:val="0"/>
          <w:bCs/>
          <w:w w:val="105"/>
          <w:sz w:val="22"/>
          <w:szCs w:val="22"/>
        </w:rPr>
        <w:t>)</w:t>
      </w:r>
      <w:r w:rsidRPr="006D2720">
        <w:rPr>
          <w:rFonts w:ascii="Times New Roman" w:hAnsi="Times New Roman" w:cs="Times New Roman"/>
          <w:b w:val="0"/>
          <w:bCs/>
          <w:w w:val="105"/>
          <w:sz w:val="22"/>
          <w:szCs w:val="22"/>
          <w:lang w:val="en-AU"/>
        </w:rPr>
        <w:t>.</w:t>
      </w:r>
    </w:p>
    <w:p w14:paraId="30609DE7" w14:textId="77777777" w:rsidR="00FC2C6D" w:rsidRPr="006D2720" w:rsidRDefault="00FC2C6D" w:rsidP="00C61B55">
      <w:pPr>
        <w:pStyle w:val="BodyText"/>
        <w:spacing w:before="0" w:line="249" w:lineRule="auto"/>
        <w:ind w:right="114"/>
        <w:jc w:val="left"/>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 Board oversees the Institute’s research, considering each reference before it is accepted, and approving publications before their release.</w:t>
      </w:r>
    </w:p>
    <w:p w14:paraId="0765B21C" w14:textId="77777777" w:rsidR="005D6FAE" w:rsidRPr="006D2720" w:rsidRDefault="005D6FAE">
      <w:pPr>
        <w:rPr>
          <w:rFonts w:ascii="Times New Roman" w:eastAsiaTheme="majorEastAsia" w:hAnsi="Times New Roman" w:cs="Times New Roman"/>
          <w:b/>
          <w:color w:val="262626" w:themeColor="text1" w:themeTint="D9"/>
          <w:sz w:val="32"/>
          <w:szCs w:val="32"/>
        </w:rPr>
      </w:pPr>
      <w:r w:rsidRPr="006D2720">
        <w:rPr>
          <w:rFonts w:ascii="Times New Roman" w:hAnsi="Times New Roman" w:cs="Times New Roman"/>
        </w:rPr>
        <w:br w:type="page"/>
      </w:r>
    </w:p>
    <w:p w14:paraId="75BD3359" w14:textId="3C3EACE4" w:rsidR="00FC2C6D" w:rsidRPr="006D2720" w:rsidRDefault="00FC2C6D" w:rsidP="00FC2C6D">
      <w:pPr>
        <w:pStyle w:val="Heading1"/>
        <w:numPr>
          <w:ilvl w:val="0"/>
          <w:numId w:val="0"/>
        </w:numPr>
        <w:spacing w:before="0"/>
        <w:rPr>
          <w:rFonts w:ascii="Times New Roman" w:hAnsi="Times New Roman" w:cs="Times New Roman"/>
        </w:rPr>
      </w:pPr>
      <w:bookmarkStart w:id="2" w:name="_Toc130540411"/>
      <w:r w:rsidRPr="006D2720">
        <w:rPr>
          <w:rFonts w:ascii="Times New Roman" w:hAnsi="Times New Roman" w:cs="Times New Roman"/>
        </w:rPr>
        <w:t>How to respond</w:t>
      </w:r>
      <w:bookmarkEnd w:id="2"/>
    </w:p>
    <w:p w14:paraId="7667E519" w14:textId="77777777" w:rsidR="00FC2C6D" w:rsidRPr="006D2720" w:rsidRDefault="00FC2C6D" w:rsidP="00C61B55">
      <w:pPr>
        <w:spacing w:before="130" w:line="249" w:lineRule="auto"/>
        <w:ind w:right="6"/>
        <w:rPr>
          <w:rFonts w:ascii="Times New Roman" w:hAnsi="Times New Roman" w:cs="Times New Roman"/>
        </w:rPr>
      </w:pPr>
      <w:r w:rsidRPr="006D2720">
        <w:rPr>
          <w:rFonts w:ascii="Times New Roman" w:hAnsi="Times New Roman" w:cs="Times New Roman"/>
          <w:w w:val="105"/>
        </w:rPr>
        <w:t>The Tasmania Law Reform Institute invites responses to the various issues discussed in this</w:t>
      </w:r>
      <w:r w:rsidRPr="006D2720">
        <w:rPr>
          <w:rFonts w:ascii="Times New Roman" w:hAnsi="Times New Roman" w:cs="Times New Roman"/>
          <w:spacing w:val="-31"/>
          <w:w w:val="105"/>
        </w:rPr>
        <w:t xml:space="preserve"> </w:t>
      </w:r>
      <w:r w:rsidRPr="006D2720">
        <w:rPr>
          <w:rFonts w:ascii="Times New Roman" w:hAnsi="Times New Roman" w:cs="Times New Roman"/>
          <w:w w:val="105"/>
        </w:rPr>
        <w:t>Issues</w:t>
      </w:r>
      <w:r w:rsidRPr="006D2720">
        <w:rPr>
          <w:rFonts w:ascii="Times New Roman" w:hAnsi="Times New Roman" w:cs="Times New Roman"/>
          <w:w w:val="102"/>
        </w:rPr>
        <w:t xml:space="preserve"> </w:t>
      </w:r>
      <w:r w:rsidRPr="006D2720">
        <w:rPr>
          <w:rFonts w:ascii="Times New Roman" w:hAnsi="Times New Roman" w:cs="Times New Roman"/>
          <w:w w:val="105"/>
        </w:rPr>
        <w:t>Paper. There are a number of questions posed by this Issues Paper to guide your</w:t>
      </w:r>
      <w:r w:rsidRPr="006D2720">
        <w:rPr>
          <w:rFonts w:ascii="Times New Roman" w:hAnsi="Times New Roman" w:cs="Times New Roman"/>
          <w:spacing w:val="10"/>
          <w:w w:val="105"/>
        </w:rPr>
        <w:t xml:space="preserve"> </w:t>
      </w:r>
      <w:r w:rsidRPr="006D2720">
        <w:rPr>
          <w:rFonts w:ascii="Times New Roman" w:hAnsi="Times New Roman" w:cs="Times New Roman"/>
          <w:w w:val="105"/>
        </w:rPr>
        <w:t>response.</w:t>
      </w:r>
      <w:r w:rsidRPr="006D2720">
        <w:rPr>
          <w:rFonts w:ascii="Times New Roman" w:hAnsi="Times New Roman" w:cs="Times New Roman"/>
          <w:w w:val="102"/>
        </w:rPr>
        <w:t xml:space="preserve"> </w:t>
      </w:r>
      <w:r w:rsidRPr="006D2720">
        <w:rPr>
          <w:rFonts w:ascii="Times New Roman" w:hAnsi="Times New Roman" w:cs="Times New Roman"/>
          <w:b/>
          <w:w w:val="105"/>
        </w:rPr>
        <w:t>Respondents</w:t>
      </w:r>
      <w:r w:rsidRPr="006D2720">
        <w:rPr>
          <w:rFonts w:ascii="Times New Roman" w:hAnsi="Times New Roman" w:cs="Times New Roman"/>
          <w:b/>
          <w:spacing w:val="-4"/>
          <w:w w:val="105"/>
        </w:rPr>
        <w:t xml:space="preserve"> </w:t>
      </w:r>
      <w:r w:rsidRPr="006D2720">
        <w:rPr>
          <w:rFonts w:ascii="Times New Roman" w:hAnsi="Times New Roman" w:cs="Times New Roman"/>
          <w:b/>
          <w:w w:val="105"/>
        </w:rPr>
        <w:t>can</w:t>
      </w:r>
      <w:r w:rsidRPr="006D2720">
        <w:rPr>
          <w:rFonts w:ascii="Times New Roman" w:hAnsi="Times New Roman" w:cs="Times New Roman"/>
          <w:b/>
          <w:spacing w:val="-4"/>
          <w:w w:val="105"/>
        </w:rPr>
        <w:t xml:space="preserve"> </w:t>
      </w:r>
      <w:r w:rsidRPr="006D2720">
        <w:rPr>
          <w:rFonts w:ascii="Times New Roman" w:hAnsi="Times New Roman" w:cs="Times New Roman"/>
          <w:b/>
          <w:w w:val="105"/>
        </w:rPr>
        <w:t>choose</w:t>
      </w:r>
      <w:r w:rsidRPr="006D2720">
        <w:rPr>
          <w:rFonts w:ascii="Times New Roman" w:hAnsi="Times New Roman" w:cs="Times New Roman"/>
          <w:b/>
          <w:spacing w:val="-4"/>
          <w:w w:val="105"/>
        </w:rPr>
        <w:t xml:space="preserve"> </w:t>
      </w:r>
      <w:r w:rsidRPr="006D2720">
        <w:rPr>
          <w:rFonts w:ascii="Times New Roman" w:hAnsi="Times New Roman" w:cs="Times New Roman"/>
          <w:b/>
          <w:w w:val="105"/>
        </w:rPr>
        <w:t>to</w:t>
      </w:r>
      <w:r w:rsidRPr="006D2720">
        <w:rPr>
          <w:rFonts w:ascii="Times New Roman" w:hAnsi="Times New Roman" w:cs="Times New Roman"/>
          <w:b/>
          <w:spacing w:val="-4"/>
          <w:w w:val="105"/>
        </w:rPr>
        <w:t xml:space="preserve"> </w:t>
      </w:r>
      <w:r w:rsidRPr="006D2720">
        <w:rPr>
          <w:rFonts w:ascii="Times New Roman" w:hAnsi="Times New Roman" w:cs="Times New Roman"/>
          <w:b/>
          <w:w w:val="105"/>
        </w:rPr>
        <w:t>answer</w:t>
      </w:r>
      <w:r w:rsidRPr="006D2720">
        <w:rPr>
          <w:rFonts w:ascii="Times New Roman" w:hAnsi="Times New Roman" w:cs="Times New Roman"/>
          <w:b/>
          <w:spacing w:val="-4"/>
          <w:w w:val="105"/>
        </w:rPr>
        <w:t xml:space="preserve"> </w:t>
      </w:r>
      <w:r w:rsidRPr="006D2720">
        <w:rPr>
          <w:rFonts w:ascii="Times New Roman" w:hAnsi="Times New Roman" w:cs="Times New Roman"/>
          <w:b/>
          <w:w w:val="105"/>
        </w:rPr>
        <w:t>any</w:t>
      </w:r>
      <w:r w:rsidRPr="006D2720">
        <w:rPr>
          <w:rFonts w:ascii="Times New Roman" w:hAnsi="Times New Roman" w:cs="Times New Roman"/>
          <w:b/>
          <w:spacing w:val="-4"/>
          <w:w w:val="105"/>
        </w:rPr>
        <w:t xml:space="preserve"> </w:t>
      </w:r>
      <w:r w:rsidRPr="006D2720">
        <w:rPr>
          <w:rFonts w:ascii="Times New Roman" w:hAnsi="Times New Roman" w:cs="Times New Roman"/>
          <w:b/>
          <w:w w:val="105"/>
        </w:rPr>
        <w:t>or</w:t>
      </w:r>
      <w:r w:rsidRPr="006D2720">
        <w:rPr>
          <w:rFonts w:ascii="Times New Roman" w:hAnsi="Times New Roman" w:cs="Times New Roman"/>
          <w:b/>
          <w:spacing w:val="-4"/>
          <w:w w:val="105"/>
        </w:rPr>
        <w:t xml:space="preserve"> </w:t>
      </w:r>
      <w:r w:rsidRPr="006D2720">
        <w:rPr>
          <w:rFonts w:ascii="Times New Roman" w:hAnsi="Times New Roman" w:cs="Times New Roman"/>
          <w:b/>
          <w:w w:val="105"/>
        </w:rPr>
        <w:t>all</w:t>
      </w:r>
      <w:r w:rsidRPr="006D2720">
        <w:rPr>
          <w:rFonts w:ascii="Times New Roman" w:hAnsi="Times New Roman" w:cs="Times New Roman"/>
          <w:b/>
          <w:spacing w:val="-5"/>
          <w:w w:val="105"/>
        </w:rPr>
        <w:t xml:space="preserve"> </w:t>
      </w:r>
      <w:r w:rsidRPr="006D2720">
        <w:rPr>
          <w:rFonts w:ascii="Times New Roman" w:hAnsi="Times New Roman" w:cs="Times New Roman"/>
          <w:b/>
          <w:w w:val="105"/>
        </w:rPr>
        <w:t>of</w:t>
      </w:r>
      <w:r w:rsidRPr="006D2720">
        <w:rPr>
          <w:rFonts w:ascii="Times New Roman" w:hAnsi="Times New Roman" w:cs="Times New Roman"/>
          <w:b/>
          <w:spacing w:val="-5"/>
          <w:w w:val="105"/>
        </w:rPr>
        <w:t xml:space="preserve"> </w:t>
      </w:r>
      <w:r w:rsidRPr="006D2720">
        <w:rPr>
          <w:rFonts w:ascii="Times New Roman" w:hAnsi="Times New Roman" w:cs="Times New Roman"/>
          <w:b/>
          <w:w w:val="105"/>
        </w:rPr>
        <w:t>those</w:t>
      </w:r>
      <w:r w:rsidRPr="006D2720">
        <w:rPr>
          <w:rFonts w:ascii="Times New Roman" w:hAnsi="Times New Roman" w:cs="Times New Roman"/>
          <w:b/>
          <w:spacing w:val="-4"/>
          <w:w w:val="105"/>
        </w:rPr>
        <w:t xml:space="preserve"> </w:t>
      </w:r>
      <w:r w:rsidRPr="006D2720">
        <w:rPr>
          <w:rFonts w:ascii="Times New Roman" w:hAnsi="Times New Roman" w:cs="Times New Roman"/>
          <w:b/>
          <w:w w:val="105"/>
        </w:rPr>
        <w:t>questions</w:t>
      </w:r>
      <w:r w:rsidRPr="006D2720">
        <w:rPr>
          <w:rFonts w:ascii="Times New Roman" w:hAnsi="Times New Roman" w:cs="Times New Roman"/>
          <w:b/>
          <w:spacing w:val="-4"/>
          <w:w w:val="105"/>
        </w:rPr>
        <w:t xml:space="preserve"> </w:t>
      </w:r>
      <w:r w:rsidRPr="006D2720">
        <w:rPr>
          <w:rFonts w:ascii="Times New Roman" w:hAnsi="Times New Roman" w:cs="Times New Roman"/>
          <w:b/>
          <w:w w:val="105"/>
        </w:rPr>
        <w:t>in</w:t>
      </w:r>
      <w:r w:rsidRPr="006D2720">
        <w:rPr>
          <w:rFonts w:ascii="Times New Roman" w:hAnsi="Times New Roman" w:cs="Times New Roman"/>
          <w:b/>
          <w:spacing w:val="-4"/>
          <w:w w:val="105"/>
        </w:rPr>
        <w:t xml:space="preserve"> </w:t>
      </w:r>
      <w:r w:rsidRPr="006D2720">
        <w:rPr>
          <w:rFonts w:ascii="Times New Roman" w:hAnsi="Times New Roman" w:cs="Times New Roman"/>
          <w:b/>
          <w:w w:val="105"/>
        </w:rPr>
        <w:t>their</w:t>
      </w:r>
      <w:r w:rsidRPr="006D2720">
        <w:rPr>
          <w:rFonts w:ascii="Times New Roman" w:hAnsi="Times New Roman" w:cs="Times New Roman"/>
          <w:b/>
          <w:spacing w:val="-4"/>
          <w:w w:val="105"/>
        </w:rPr>
        <w:t xml:space="preserve"> </w:t>
      </w:r>
      <w:r w:rsidRPr="006D2720">
        <w:rPr>
          <w:rFonts w:ascii="Times New Roman" w:hAnsi="Times New Roman" w:cs="Times New Roman"/>
          <w:b/>
          <w:w w:val="105"/>
        </w:rPr>
        <w:t xml:space="preserve">submissions.  </w:t>
      </w:r>
      <w:r w:rsidRPr="006D2720">
        <w:rPr>
          <w:rFonts w:ascii="Times New Roman" w:hAnsi="Times New Roman" w:cs="Times New Roman"/>
          <w:bCs/>
          <w:w w:val="105"/>
        </w:rPr>
        <w:t>Respondents can also suggest alternative options for reform or raise other relevant matters in their responses.</w:t>
      </w:r>
    </w:p>
    <w:p w14:paraId="0ACCF562" w14:textId="1E6C54F9" w:rsidR="00FC2C6D" w:rsidRPr="006D2720" w:rsidRDefault="00FC2C6D" w:rsidP="005D6FAE">
      <w:pPr>
        <w:rPr>
          <w:rFonts w:ascii="Times New Roman" w:hAnsi="Times New Roman" w:cs="Times New Roman"/>
          <w:b/>
          <w:bCs/>
        </w:rPr>
      </w:pPr>
      <w:r w:rsidRPr="006D2720">
        <w:rPr>
          <w:rFonts w:ascii="Times New Roman" w:hAnsi="Times New Roman" w:cs="Times New Roman"/>
          <w:bCs/>
          <w:w w:val="105"/>
        </w:rPr>
        <w:t>There are a number of ways to</w:t>
      </w:r>
      <w:r w:rsidRPr="006D2720">
        <w:rPr>
          <w:rFonts w:ascii="Times New Roman" w:hAnsi="Times New Roman" w:cs="Times New Roman"/>
          <w:bCs/>
          <w:spacing w:val="-21"/>
          <w:w w:val="105"/>
        </w:rPr>
        <w:t xml:space="preserve"> </w:t>
      </w:r>
      <w:r w:rsidRPr="006D2720">
        <w:rPr>
          <w:rFonts w:ascii="Times New Roman" w:hAnsi="Times New Roman" w:cs="Times New Roman"/>
          <w:bCs/>
          <w:w w:val="105"/>
        </w:rPr>
        <w:t>respond:</w:t>
      </w:r>
    </w:p>
    <w:p w14:paraId="73EE6978" w14:textId="77777777" w:rsidR="00FC2C6D" w:rsidRPr="006D2720" w:rsidRDefault="00FC2C6D">
      <w:pPr>
        <w:pStyle w:val="ListParagraph"/>
        <w:numPr>
          <w:ilvl w:val="0"/>
          <w:numId w:val="43"/>
        </w:numPr>
        <w:rPr>
          <w:rFonts w:ascii="Times New Roman" w:hAnsi="Times New Roman" w:cs="Times New Roman"/>
          <w:i/>
          <w:iCs/>
        </w:rPr>
      </w:pPr>
      <w:r w:rsidRPr="006D2720">
        <w:rPr>
          <w:rFonts w:ascii="Times New Roman" w:hAnsi="Times New Roman" w:cs="Times New Roman"/>
          <w:w w:val="105"/>
        </w:rPr>
        <w:t>By filling in the Submission</w:t>
      </w:r>
      <w:r w:rsidRPr="006D2720">
        <w:rPr>
          <w:rFonts w:ascii="Times New Roman" w:hAnsi="Times New Roman" w:cs="Times New Roman"/>
          <w:spacing w:val="5"/>
          <w:w w:val="105"/>
        </w:rPr>
        <w:t xml:space="preserve"> </w:t>
      </w:r>
      <w:r w:rsidRPr="006D2720">
        <w:rPr>
          <w:rFonts w:ascii="Times New Roman" w:hAnsi="Times New Roman" w:cs="Times New Roman"/>
          <w:w w:val="105"/>
        </w:rPr>
        <w:t>Template</w:t>
      </w:r>
    </w:p>
    <w:p w14:paraId="1C511BA1" w14:textId="70AC651D" w:rsidR="00FC2C6D" w:rsidRPr="006D2720" w:rsidRDefault="00FC2C6D" w:rsidP="00C61B55">
      <w:pPr>
        <w:pStyle w:val="BodyText"/>
        <w:spacing w:before="132"/>
        <w:ind w:left="822" w:right="117"/>
        <w:jc w:val="left"/>
        <w:rPr>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Template</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can</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be</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filled</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in</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electronically</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and</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sent</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by</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email</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or</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printed</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out</w:t>
      </w:r>
      <w:r w:rsidRPr="006D2720">
        <w:rPr>
          <w:rFonts w:ascii="Times New Roman" w:hAnsi="Times New Roman" w:cs="Times New Roman"/>
          <w:b w:val="0"/>
          <w:bCs/>
          <w:spacing w:val="26"/>
          <w:w w:val="105"/>
          <w:sz w:val="22"/>
          <w:szCs w:val="22"/>
        </w:rPr>
        <w:t xml:space="preserve"> </w:t>
      </w:r>
      <w:r w:rsidRPr="006D2720">
        <w:rPr>
          <w:rFonts w:ascii="Times New Roman" w:hAnsi="Times New Roman" w:cs="Times New Roman"/>
          <w:b w:val="0"/>
          <w:bCs/>
          <w:w w:val="105"/>
          <w:sz w:val="22"/>
          <w:szCs w:val="22"/>
        </w:rPr>
        <w:t>and</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filled</w:t>
      </w:r>
      <w:r w:rsidRPr="006D2720">
        <w:rPr>
          <w:rFonts w:ascii="Times New Roman" w:hAnsi="Times New Roman" w:cs="Times New Roman"/>
          <w:b w:val="0"/>
          <w:bCs/>
          <w:spacing w:val="27"/>
          <w:w w:val="105"/>
          <w:sz w:val="22"/>
          <w:szCs w:val="22"/>
        </w:rPr>
        <w:t xml:space="preserve"> </w:t>
      </w:r>
      <w:r w:rsidRPr="006D2720">
        <w:rPr>
          <w:rFonts w:ascii="Times New Roman" w:hAnsi="Times New Roman" w:cs="Times New Roman"/>
          <w:b w:val="0"/>
          <w:bCs/>
          <w:w w:val="105"/>
          <w:sz w:val="22"/>
          <w:szCs w:val="22"/>
        </w:rPr>
        <w:t>in</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manually</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and</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posted.</w:t>
      </w:r>
      <w:r w:rsidRPr="006D2720">
        <w:rPr>
          <w:rFonts w:ascii="Times New Roman" w:hAnsi="Times New Roman" w:cs="Times New Roman"/>
          <w:b w:val="0"/>
          <w:bCs/>
          <w:spacing w:val="20"/>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Submission</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Template</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can</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be</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accessed</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at</w:t>
      </w:r>
      <w:r w:rsidRPr="006D2720">
        <w:rPr>
          <w:rFonts w:ascii="Times New Roman" w:hAnsi="Times New Roman" w:cs="Times New Roman"/>
          <w:b w:val="0"/>
          <w:bCs/>
          <w:spacing w:val="20"/>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21"/>
          <w:w w:val="105"/>
          <w:sz w:val="22"/>
          <w:szCs w:val="22"/>
        </w:rPr>
        <w:t xml:space="preserve"> </w:t>
      </w:r>
      <w:r w:rsidRPr="006D2720">
        <w:rPr>
          <w:rFonts w:ascii="Times New Roman" w:hAnsi="Times New Roman" w:cs="Times New Roman"/>
          <w:b w:val="0"/>
          <w:bCs/>
          <w:w w:val="105"/>
          <w:sz w:val="22"/>
          <w:szCs w:val="22"/>
        </w:rPr>
        <w:t>Institute’s</w:t>
      </w:r>
      <w:r w:rsidRPr="006D2720">
        <w:rPr>
          <w:rFonts w:ascii="Times New Roman" w:hAnsi="Times New Roman" w:cs="Times New Roman"/>
          <w:b w:val="0"/>
          <w:bCs/>
          <w:spacing w:val="20"/>
          <w:w w:val="105"/>
          <w:sz w:val="22"/>
          <w:szCs w:val="22"/>
        </w:rPr>
        <w:t xml:space="preserve"> </w:t>
      </w:r>
      <w:r w:rsidRPr="006D2720">
        <w:rPr>
          <w:rFonts w:ascii="Times New Roman" w:hAnsi="Times New Roman" w:cs="Times New Roman"/>
          <w:b w:val="0"/>
          <w:bCs/>
          <w:w w:val="105"/>
          <w:sz w:val="22"/>
          <w:szCs w:val="22"/>
        </w:rPr>
        <w:t>webpage</w:t>
      </w:r>
    </w:p>
    <w:p w14:paraId="6E9DACDA" w14:textId="5835DF3E" w:rsidR="00FC2C6D" w:rsidRPr="006D2720" w:rsidRDefault="00146F54" w:rsidP="00C44BB0">
      <w:pPr>
        <w:pStyle w:val="BodyText"/>
        <w:spacing w:before="132"/>
        <w:ind w:left="822" w:right="117"/>
        <w:jc w:val="left"/>
        <w:rPr>
          <w:rFonts w:ascii="Times New Roman" w:hAnsi="Times New Roman" w:cs="Times New Roman"/>
          <w:b w:val="0"/>
          <w:bCs/>
          <w:sz w:val="22"/>
          <w:szCs w:val="22"/>
        </w:rPr>
      </w:pPr>
      <w:r w:rsidRPr="006D2720">
        <w:rPr>
          <w:rFonts w:ascii="Times New Roman" w:hAnsi="Times New Roman" w:cs="Times New Roman"/>
          <w:b w:val="0"/>
          <w:bCs/>
          <w:w w:val="105"/>
          <w:sz w:val="22"/>
          <w:szCs w:val="22"/>
          <w:lang w:val="en-AU"/>
        </w:rPr>
        <w:t>&lt;</w:t>
      </w:r>
      <w:hyperlink r:id="rId15" w:history="1">
        <w:r w:rsidRPr="006D2720">
          <w:rPr>
            <w:rStyle w:val="Hyperlink"/>
            <w:rFonts w:ascii="Times New Roman" w:hAnsi="Times New Roman" w:cs="Times New Roman"/>
            <w:b w:val="0"/>
            <w:bCs/>
            <w:w w:val="105"/>
            <w:sz w:val="22"/>
            <w:szCs w:val="22"/>
          </w:rPr>
          <w:t>https://www.utas.edu.au/law-reform/publications/ongoing-law-reform-projects</w:t>
        </w:r>
      </w:hyperlink>
      <w:r w:rsidR="00FC2C6D" w:rsidRPr="006D2720">
        <w:rPr>
          <w:rFonts w:ascii="Times New Roman" w:hAnsi="Times New Roman" w:cs="Times New Roman"/>
          <w:b w:val="0"/>
          <w:bCs/>
          <w:w w:val="105"/>
          <w:sz w:val="22"/>
          <w:szCs w:val="22"/>
        </w:rPr>
        <w:t>&gt;.</w:t>
      </w:r>
    </w:p>
    <w:p w14:paraId="31FD1E55" w14:textId="77777777" w:rsidR="00FC2C6D" w:rsidRPr="006D2720" w:rsidRDefault="00FC2C6D">
      <w:pPr>
        <w:pStyle w:val="ListParagraph"/>
        <w:numPr>
          <w:ilvl w:val="0"/>
          <w:numId w:val="43"/>
        </w:numPr>
        <w:rPr>
          <w:rFonts w:ascii="Times New Roman" w:hAnsi="Times New Roman" w:cs="Times New Roman"/>
          <w:i/>
          <w:iCs/>
        </w:rPr>
      </w:pPr>
      <w:r w:rsidRPr="006D2720">
        <w:rPr>
          <w:rFonts w:ascii="Times New Roman" w:hAnsi="Times New Roman" w:cs="Times New Roman"/>
          <w:w w:val="105"/>
        </w:rPr>
        <w:t>By providing a more detailed response to the Issues</w:t>
      </w:r>
      <w:r w:rsidRPr="006D2720">
        <w:rPr>
          <w:rFonts w:ascii="Times New Roman" w:hAnsi="Times New Roman" w:cs="Times New Roman"/>
          <w:spacing w:val="4"/>
          <w:w w:val="105"/>
        </w:rPr>
        <w:t xml:space="preserve"> </w:t>
      </w:r>
      <w:r w:rsidRPr="006D2720">
        <w:rPr>
          <w:rFonts w:ascii="Times New Roman" w:hAnsi="Times New Roman" w:cs="Times New Roman"/>
          <w:w w:val="105"/>
        </w:rPr>
        <w:t>Paper</w:t>
      </w:r>
    </w:p>
    <w:p w14:paraId="56817586" w14:textId="70B20B52" w:rsidR="00FC2C6D" w:rsidRPr="006D2720" w:rsidRDefault="00FC2C6D" w:rsidP="00C61B55">
      <w:pPr>
        <w:pStyle w:val="BodyText"/>
        <w:spacing w:before="132"/>
        <w:ind w:left="822" w:right="118"/>
        <w:jc w:val="left"/>
        <w:rPr>
          <w:rFonts w:ascii="Times New Roman" w:hAnsi="Times New Roman" w:cs="Times New Roman"/>
          <w:b w:val="0"/>
          <w:bCs/>
          <w:sz w:val="22"/>
          <w:szCs w:val="22"/>
        </w:rPr>
      </w:pP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Issues</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Paper</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poses</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a</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series</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questions</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to</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guide</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your</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response</w:t>
      </w:r>
      <w:r w:rsidR="001C5950" w:rsidRPr="006D2720">
        <w:rPr>
          <w:rFonts w:ascii="Times New Roman" w:hAnsi="Times New Roman" w:cs="Times New Roman"/>
          <w:b w:val="0"/>
          <w:bCs/>
          <w:w w:val="105"/>
          <w:sz w:val="22"/>
          <w:szCs w:val="22"/>
          <w:lang w:val="en-AU"/>
        </w:rPr>
        <w:t>—</w:t>
      </w:r>
      <w:r w:rsidRPr="006D2720">
        <w:rPr>
          <w:rFonts w:ascii="Times New Roman" w:hAnsi="Times New Roman" w:cs="Times New Roman"/>
          <w:b w:val="0"/>
          <w:bCs/>
          <w:w w:val="105"/>
          <w:sz w:val="22"/>
          <w:szCs w:val="22"/>
        </w:rPr>
        <w:t>you</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may</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choose</w:t>
      </w:r>
      <w:r w:rsidRPr="006D2720">
        <w:rPr>
          <w:rFonts w:ascii="Times New Roman" w:hAnsi="Times New Roman" w:cs="Times New Roman"/>
          <w:b w:val="0"/>
          <w:bCs/>
          <w:spacing w:val="29"/>
          <w:w w:val="105"/>
          <w:sz w:val="22"/>
          <w:szCs w:val="22"/>
        </w:rPr>
        <w:t xml:space="preserve"> </w:t>
      </w:r>
      <w:r w:rsidRPr="006D2720">
        <w:rPr>
          <w:rFonts w:ascii="Times New Roman" w:hAnsi="Times New Roman" w:cs="Times New Roman"/>
          <w:b w:val="0"/>
          <w:bCs/>
          <w:w w:val="105"/>
          <w:sz w:val="22"/>
          <w:szCs w:val="22"/>
        </w:rPr>
        <w:t>to</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answer,</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all,</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some,</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or</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none</w:t>
      </w:r>
      <w:r w:rsidRPr="006D2720">
        <w:rPr>
          <w:rFonts w:ascii="Times New Roman" w:hAnsi="Times New Roman" w:cs="Times New Roman"/>
          <w:b w:val="0"/>
          <w:bCs/>
          <w:spacing w:val="32"/>
          <w:w w:val="105"/>
          <w:sz w:val="22"/>
          <w:szCs w:val="22"/>
        </w:rPr>
        <w:t xml:space="preserve"> </w:t>
      </w:r>
      <w:r w:rsidRPr="006D2720">
        <w:rPr>
          <w:rFonts w:ascii="Times New Roman" w:hAnsi="Times New Roman" w:cs="Times New Roman"/>
          <w:b w:val="0"/>
          <w:bCs/>
          <w:w w:val="105"/>
          <w:sz w:val="22"/>
          <w:szCs w:val="22"/>
        </w:rPr>
        <w:t>of</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them.</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Please</w:t>
      </w:r>
      <w:r w:rsidRPr="006D2720">
        <w:rPr>
          <w:rFonts w:ascii="Times New Roman" w:hAnsi="Times New Roman" w:cs="Times New Roman"/>
          <w:b w:val="0"/>
          <w:bCs/>
          <w:spacing w:val="32"/>
          <w:w w:val="105"/>
          <w:sz w:val="22"/>
          <w:szCs w:val="22"/>
        </w:rPr>
        <w:t xml:space="preserve"> </w:t>
      </w:r>
      <w:r w:rsidRPr="006D2720">
        <w:rPr>
          <w:rFonts w:ascii="Times New Roman" w:hAnsi="Times New Roman" w:cs="Times New Roman"/>
          <w:b w:val="0"/>
          <w:bCs/>
          <w:w w:val="105"/>
          <w:sz w:val="22"/>
          <w:szCs w:val="22"/>
        </w:rPr>
        <w:t>explain</w:t>
      </w:r>
      <w:r w:rsidRPr="006D2720">
        <w:rPr>
          <w:rFonts w:ascii="Times New Roman" w:hAnsi="Times New Roman" w:cs="Times New Roman"/>
          <w:b w:val="0"/>
          <w:bCs/>
          <w:spacing w:val="32"/>
          <w:w w:val="105"/>
          <w:sz w:val="22"/>
          <w:szCs w:val="22"/>
        </w:rPr>
        <w:t xml:space="preserve"> </w:t>
      </w:r>
      <w:r w:rsidRPr="006D2720">
        <w:rPr>
          <w:rFonts w:ascii="Times New Roman" w:hAnsi="Times New Roman" w:cs="Times New Roman"/>
          <w:b w:val="0"/>
          <w:bCs/>
          <w:w w:val="105"/>
          <w:sz w:val="22"/>
          <w:szCs w:val="22"/>
        </w:rPr>
        <w:t>the</w:t>
      </w:r>
      <w:r w:rsidRPr="006D2720">
        <w:rPr>
          <w:rFonts w:ascii="Times New Roman" w:hAnsi="Times New Roman" w:cs="Times New Roman"/>
          <w:b w:val="0"/>
          <w:bCs/>
          <w:spacing w:val="32"/>
          <w:w w:val="105"/>
          <w:sz w:val="22"/>
          <w:szCs w:val="22"/>
        </w:rPr>
        <w:t xml:space="preserve"> </w:t>
      </w:r>
      <w:r w:rsidRPr="006D2720">
        <w:rPr>
          <w:rFonts w:ascii="Times New Roman" w:hAnsi="Times New Roman" w:cs="Times New Roman"/>
          <w:b w:val="0"/>
          <w:bCs/>
          <w:w w:val="105"/>
          <w:sz w:val="22"/>
          <w:szCs w:val="22"/>
        </w:rPr>
        <w:t>reasons</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for</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your</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views</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as</w:t>
      </w:r>
      <w:r w:rsidRPr="006D2720">
        <w:rPr>
          <w:rFonts w:ascii="Times New Roman" w:hAnsi="Times New Roman" w:cs="Times New Roman"/>
          <w:b w:val="0"/>
          <w:bCs/>
          <w:spacing w:val="31"/>
          <w:w w:val="105"/>
          <w:sz w:val="22"/>
          <w:szCs w:val="22"/>
        </w:rPr>
        <w:t xml:space="preserve"> </w:t>
      </w:r>
      <w:r w:rsidRPr="006D2720">
        <w:rPr>
          <w:rFonts w:ascii="Times New Roman" w:hAnsi="Times New Roman" w:cs="Times New Roman"/>
          <w:b w:val="0"/>
          <w:bCs/>
          <w:w w:val="105"/>
          <w:sz w:val="22"/>
          <w:szCs w:val="22"/>
        </w:rPr>
        <w:t>fully</w:t>
      </w:r>
      <w:r w:rsidRPr="006D2720">
        <w:rPr>
          <w:rFonts w:ascii="Times New Roman" w:hAnsi="Times New Roman" w:cs="Times New Roman"/>
          <w:b w:val="0"/>
          <w:bCs/>
          <w:spacing w:val="32"/>
          <w:w w:val="105"/>
          <w:sz w:val="22"/>
          <w:szCs w:val="22"/>
        </w:rPr>
        <w:t xml:space="preserve"> </w:t>
      </w:r>
      <w:r w:rsidRPr="006D2720">
        <w:rPr>
          <w:rFonts w:ascii="Times New Roman" w:hAnsi="Times New Roman" w:cs="Times New Roman"/>
          <w:b w:val="0"/>
          <w:bCs/>
          <w:w w:val="105"/>
          <w:sz w:val="22"/>
          <w:szCs w:val="22"/>
        </w:rPr>
        <w:t>as</w:t>
      </w:r>
      <w:r w:rsidRPr="006D2720">
        <w:rPr>
          <w:rFonts w:ascii="Times New Roman" w:hAnsi="Times New Roman" w:cs="Times New Roman"/>
          <w:b w:val="0"/>
          <w:bCs/>
          <w:spacing w:val="1"/>
          <w:w w:val="102"/>
          <w:sz w:val="22"/>
          <w:szCs w:val="22"/>
        </w:rPr>
        <w:t xml:space="preserve"> </w:t>
      </w:r>
      <w:r w:rsidRPr="006D2720">
        <w:rPr>
          <w:rFonts w:ascii="Times New Roman" w:hAnsi="Times New Roman" w:cs="Times New Roman"/>
          <w:b w:val="0"/>
          <w:bCs/>
          <w:w w:val="105"/>
          <w:sz w:val="22"/>
          <w:szCs w:val="22"/>
        </w:rPr>
        <w:t>possible.</w:t>
      </w:r>
    </w:p>
    <w:p w14:paraId="3F867CEE" w14:textId="77777777" w:rsidR="00FC2C6D" w:rsidRPr="006D2720" w:rsidRDefault="00FC2C6D">
      <w:pPr>
        <w:pStyle w:val="ListParagraph"/>
        <w:numPr>
          <w:ilvl w:val="0"/>
          <w:numId w:val="43"/>
        </w:numPr>
        <w:rPr>
          <w:rFonts w:ascii="Times New Roman" w:hAnsi="Times New Roman" w:cs="Times New Roman"/>
          <w:i/>
          <w:iCs/>
        </w:rPr>
      </w:pPr>
      <w:bookmarkStart w:id="3" w:name="_Hlk1749689"/>
      <w:r w:rsidRPr="006D2720">
        <w:rPr>
          <w:rFonts w:ascii="Times New Roman" w:hAnsi="Times New Roman" w:cs="Times New Roman"/>
          <w:w w:val="105"/>
        </w:rPr>
        <w:t>By requesting a meeting</w:t>
      </w:r>
    </w:p>
    <w:p w14:paraId="25739BD7" w14:textId="77777777" w:rsidR="00FC2C6D" w:rsidRPr="006D2720" w:rsidRDefault="00FC2C6D" w:rsidP="00C61B55">
      <w:pPr>
        <w:pStyle w:val="BodyText"/>
        <w:spacing w:before="2"/>
        <w:ind w:left="822"/>
        <w:jc w:val="left"/>
        <w:rPr>
          <w:rFonts w:ascii="Times New Roman" w:hAnsi="Times New Roman" w:cs="Times New Roman"/>
          <w:b w:val="0"/>
          <w:bCs/>
          <w:sz w:val="22"/>
          <w:szCs w:val="22"/>
          <w:lang w:val="en-AU"/>
        </w:rPr>
      </w:pPr>
      <w:r w:rsidRPr="006D2720">
        <w:rPr>
          <w:rFonts w:ascii="Times New Roman" w:hAnsi="Times New Roman" w:cs="Times New Roman"/>
          <w:b w:val="0"/>
          <w:bCs/>
          <w:sz w:val="22"/>
          <w:szCs w:val="22"/>
          <w:lang w:val="en-AU"/>
        </w:rPr>
        <w:t>If you do</w:t>
      </w:r>
      <w:r w:rsidRPr="006D2720">
        <w:rPr>
          <w:rFonts w:ascii="Times New Roman" w:hAnsi="Times New Roman" w:cs="Times New Roman"/>
          <w:b w:val="0"/>
          <w:bCs/>
          <w:sz w:val="22"/>
          <w:szCs w:val="22"/>
        </w:rPr>
        <w:t xml:space="preserve"> not wish to respond in writing</w:t>
      </w:r>
      <w:r w:rsidRPr="006D2720">
        <w:rPr>
          <w:rFonts w:ascii="Times New Roman" w:hAnsi="Times New Roman" w:cs="Times New Roman"/>
          <w:b w:val="0"/>
          <w:bCs/>
          <w:sz w:val="22"/>
          <w:szCs w:val="22"/>
          <w:lang w:val="en-AU"/>
        </w:rPr>
        <w:t xml:space="preserve"> you can phone or write and ask</w:t>
      </w:r>
      <w:r w:rsidRPr="006D2720">
        <w:rPr>
          <w:rFonts w:ascii="Times New Roman" w:hAnsi="Times New Roman" w:cs="Times New Roman"/>
          <w:b w:val="0"/>
          <w:bCs/>
          <w:sz w:val="22"/>
          <w:szCs w:val="22"/>
        </w:rPr>
        <w:t xml:space="preserve"> to speak with a researcher instead. </w:t>
      </w:r>
      <w:r w:rsidRPr="006D2720">
        <w:rPr>
          <w:rFonts w:ascii="Times New Roman" w:hAnsi="Times New Roman" w:cs="Times New Roman"/>
          <w:b w:val="0"/>
          <w:bCs/>
          <w:sz w:val="22"/>
          <w:szCs w:val="22"/>
          <w:lang w:val="en-AU"/>
        </w:rPr>
        <w:t>You can then make your submission</w:t>
      </w:r>
      <w:r w:rsidRPr="006D2720">
        <w:rPr>
          <w:rFonts w:ascii="Times New Roman" w:hAnsi="Times New Roman" w:cs="Times New Roman"/>
          <w:b w:val="0"/>
          <w:bCs/>
          <w:sz w:val="22"/>
          <w:szCs w:val="22"/>
        </w:rPr>
        <w:t xml:space="preserve"> by phone</w:t>
      </w:r>
      <w:r w:rsidRPr="006D2720">
        <w:rPr>
          <w:rFonts w:ascii="Times New Roman" w:hAnsi="Times New Roman" w:cs="Times New Roman"/>
          <w:b w:val="0"/>
          <w:bCs/>
          <w:sz w:val="22"/>
          <w:szCs w:val="22"/>
          <w:lang w:val="en-AU"/>
        </w:rPr>
        <w:t>, through an online meeting platform, or in person, either individually or as part of a group.</w:t>
      </w:r>
    </w:p>
    <w:bookmarkEnd w:id="3"/>
    <w:p w14:paraId="618A7454" w14:textId="38D7006C" w:rsidR="00FC2C6D" w:rsidRPr="006D2720" w:rsidRDefault="00FC2C6D" w:rsidP="00C61B55">
      <w:pPr>
        <w:autoSpaceDE w:val="0"/>
        <w:autoSpaceDN w:val="0"/>
        <w:adjustRightInd w:val="0"/>
        <w:rPr>
          <w:rFonts w:ascii="Times New Roman" w:hAnsi="Times New Roman" w:cs="Times New Roman"/>
        </w:rPr>
      </w:pPr>
      <w:r w:rsidRPr="006D2720">
        <w:rPr>
          <w:rFonts w:ascii="Times New Roman" w:hAnsi="Times New Roman" w:cs="Times New Roman"/>
          <w:lang w:val="en-US"/>
        </w:rPr>
        <w:t xml:space="preserve">The Institute uses all submissions received to inform its research.  </w:t>
      </w:r>
      <w:r w:rsidRPr="006D2720">
        <w:rPr>
          <w:rFonts w:ascii="Times New Roman" w:hAnsi="Times New Roman" w:cs="Times New Roman"/>
        </w:rPr>
        <w:t>Submissions may be referred to or quoted from in a TLRI final report which will be printed and also published on the Institute’s website.  Extracts may also be used in published scholarly articles and/or public media releases. However, if you do not wish your response to be referred to or identified, the Institute will respect that wish.</w:t>
      </w:r>
    </w:p>
    <w:p w14:paraId="162B57E2" w14:textId="49F9E74B" w:rsidR="00FC2C6D" w:rsidRPr="006D2720" w:rsidRDefault="00FC2C6D" w:rsidP="00C61B55">
      <w:pPr>
        <w:rPr>
          <w:rFonts w:ascii="Times New Roman" w:hAnsi="Times New Roman" w:cs="Times New Roman"/>
          <w:b/>
          <w:lang w:val="en-US"/>
        </w:rPr>
      </w:pPr>
      <w:r w:rsidRPr="006D2720">
        <w:rPr>
          <w:rFonts w:ascii="Times New Roman" w:hAnsi="Times New Roman" w:cs="Times New Roman"/>
          <w:b/>
          <w:lang w:val="en-US"/>
        </w:rPr>
        <w:t>Therefore, when making a submission to the Institute, please identify how you would like it to be treated based on the following categories:</w:t>
      </w:r>
    </w:p>
    <w:p w14:paraId="38E0CCE2" w14:textId="79694671" w:rsidR="00FC2C6D" w:rsidRPr="006D2720" w:rsidRDefault="00FC2C6D">
      <w:pPr>
        <w:pStyle w:val="ListParagraph"/>
        <w:numPr>
          <w:ilvl w:val="0"/>
          <w:numId w:val="41"/>
        </w:numPr>
        <w:ind w:left="720"/>
        <w:contextualSpacing w:val="0"/>
        <w:rPr>
          <w:rFonts w:ascii="Times New Roman" w:hAnsi="Times New Roman" w:cs="Times New Roman"/>
          <w:lang w:val="en-US"/>
        </w:rPr>
      </w:pPr>
      <w:r w:rsidRPr="006D2720">
        <w:rPr>
          <w:rFonts w:ascii="Times New Roman" w:hAnsi="Times New Roman" w:cs="Times New Roman"/>
          <w:lang w:val="en-US"/>
        </w:rPr>
        <w:t>Public submission</w:t>
      </w:r>
      <w:r w:rsidR="001C5950" w:rsidRPr="006D2720">
        <w:rPr>
          <w:rFonts w:ascii="Times New Roman" w:hAnsi="Times New Roman" w:cs="Times New Roman"/>
          <w:b/>
          <w:bCs/>
          <w:w w:val="105"/>
        </w:rPr>
        <w:t>—</w:t>
      </w:r>
      <w:r w:rsidRPr="006D2720">
        <w:rPr>
          <w:rFonts w:ascii="Times New Roman" w:hAnsi="Times New Roman" w:cs="Times New Roman"/>
          <w:lang w:val="en-US"/>
        </w:rPr>
        <w:t>the Institute may refer to or quote directly from the submission, and name you as the source of the submission in relevant publications.</w:t>
      </w:r>
    </w:p>
    <w:p w14:paraId="3981837D" w14:textId="56C04E6B" w:rsidR="00FC2C6D" w:rsidRPr="006D2720" w:rsidRDefault="00FC2C6D">
      <w:pPr>
        <w:pStyle w:val="ListParagraph"/>
        <w:numPr>
          <w:ilvl w:val="0"/>
          <w:numId w:val="41"/>
        </w:numPr>
        <w:ind w:left="720"/>
        <w:contextualSpacing w:val="0"/>
        <w:rPr>
          <w:rFonts w:ascii="Times New Roman" w:hAnsi="Times New Roman" w:cs="Times New Roman"/>
          <w:lang w:val="en-US"/>
        </w:rPr>
      </w:pPr>
      <w:r w:rsidRPr="006D2720">
        <w:rPr>
          <w:rFonts w:ascii="Times New Roman" w:hAnsi="Times New Roman" w:cs="Times New Roman"/>
          <w:lang w:val="en-US"/>
        </w:rPr>
        <w:t>Anonymous submission</w:t>
      </w:r>
      <w:r w:rsidR="001C5950" w:rsidRPr="006D2720">
        <w:rPr>
          <w:rFonts w:ascii="Times New Roman" w:hAnsi="Times New Roman" w:cs="Times New Roman"/>
          <w:b/>
          <w:bCs/>
          <w:w w:val="105"/>
        </w:rPr>
        <w:t>—</w:t>
      </w:r>
      <w:r w:rsidRPr="006D2720">
        <w:rPr>
          <w:rFonts w:ascii="Times New Roman" w:hAnsi="Times New Roman" w:cs="Times New Roman"/>
          <w:lang w:val="en-US"/>
        </w:rPr>
        <w:t>the Institute may refer to or quote directly from the submission in relevant publications, but will not identify you as the source of the submission.</w:t>
      </w:r>
    </w:p>
    <w:p w14:paraId="24B30057" w14:textId="05C2BB6F" w:rsidR="00FC2C6D" w:rsidRPr="006D2720" w:rsidRDefault="00FC2C6D">
      <w:pPr>
        <w:pStyle w:val="ListParagraph"/>
        <w:numPr>
          <w:ilvl w:val="0"/>
          <w:numId w:val="41"/>
        </w:numPr>
        <w:ind w:left="720"/>
        <w:contextualSpacing w:val="0"/>
        <w:rPr>
          <w:rFonts w:ascii="Times New Roman" w:hAnsi="Times New Roman" w:cs="Times New Roman"/>
          <w:lang w:val="en-US"/>
        </w:rPr>
      </w:pPr>
      <w:r w:rsidRPr="006D2720">
        <w:rPr>
          <w:rFonts w:ascii="Times New Roman" w:hAnsi="Times New Roman" w:cs="Times New Roman"/>
          <w:lang w:val="en-US"/>
        </w:rPr>
        <w:t>Confidential submission</w:t>
      </w:r>
      <w:r w:rsidR="001C5950" w:rsidRPr="006D2720">
        <w:rPr>
          <w:rFonts w:ascii="Times New Roman" w:hAnsi="Times New Roman" w:cs="Times New Roman"/>
          <w:b/>
          <w:bCs/>
          <w:w w:val="105"/>
        </w:rPr>
        <w:t>—</w:t>
      </w:r>
      <w:r w:rsidRPr="006D2720">
        <w:rPr>
          <w:rFonts w:ascii="Times New Roman" w:hAnsi="Times New Roman" w:cs="Times New Roman"/>
          <w:lang w:val="en-US"/>
        </w:rPr>
        <w:t>the Institute will not refer to or quote directly from the submission, but may aggregate information in your submission with other submissions for inclusion in any report or publication. Confidential submissions will only be used to inform the Institute generally in their deliberations of the particular issue under investigation, and/or provide publishable aggregated statistical data.</w:t>
      </w:r>
    </w:p>
    <w:p w14:paraId="0220DA4F" w14:textId="77777777" w:rsidR="00FC2C6D" w:rsidRPr="006D2720" w:rsidRDefault="00FC2C6D" w:rsidP="00FE7094">
      <w:pPr>
        <w:pStyle w:val="BodyText"/>
        <w:spacing w:line="247" w:lineRule="auto"/>
        <w:ind w:right="120"/>
        <w:jc w:val="left"/>
        <w:rPr>
          <w:rFonts w:ascii="Times New Roman" w:hAnsi="Times New Roman" w:cs="Times New Roman"/>
          <w:b w:val="0"/>
          <w:bCs/>
          <w:w w:val="105"/>
          <w:sz w:val="22"/>
          <w:szCs w:val="22"/>
          <w:lang w:val="en-AU"/>
        </w:rPr>
      </w:pPr>
      <w:r w:rsidRPr="006D2720">
        <w:rPr>
          <w:rFonts w:ascii="Times New Roman" w:hAnsi="Times New Roman" w:cs="Times New Roman"/>
          <w:b w:val="0"/>
          <w:bCs/>
          <w:w w:val="105"/>
          <w:sz w:val="22"/>
          <w:szCs w:val="22"/>
        </w:rPr>
        <w:t>After considering all responses and stakeholder feedback it is intended that a final report,</w:t>
      </w:r>
      <w:r w:rsidRPr="006D2720">
        <w:rPr>
          <w:rFonts w:ascii="Times New Roman" w:hAnsi="Times New Roman" w:cs="Times New Roman"/>
          <w:b w:val="0"/>
          <w:bCs/>
          <w:spacing w:val="30"/>
          <w:w w:val="105"/>
          <w:sz w:val="22"/>
          <w:szCs w:val="22"/>
        </w:rPr>
        <w:t xml:space="preserve"> </w:t>
      </w:r>
      <w:r w:rsidRPr="006D2720">
        <w:rPr>
          <w:rFonts w:ascii="Times New Roman" w:hAnsi="Times New Roman" w:cs="Times New Roman"/>
          <w:b w:val="0"/>
          <w:bCs/>
          <w:w w:val="105"/>
          <w:sz w:val="22"/>
          <w:szCs w:val="22"/>
        </w:rPr>
        <w:t>containing</w:t>
      </w:r>
      <w:r w:rsidRPr="006D2720">
        <w:rPr>
          <w:rFonts w:ascii="Times New Roman" w:hAnsi="Times New Roman" w:cs="Times New Roman"/>
          <w:b w:val="0"/>
          <w:bCs/>
          <w:w w:val="102"/>
          <w:sz w:val="22"/>
          <w:szCs w:val="22"/>
        </w:rPr>
        <w:t xml:space="preserve"> </w:t>
      </w:r>
      <w:r w:rsidRPr="006D2720">
        <w:rPr>
          <w:rFonts w:ascii="Times New Roman" w:hAnsi="Times New Roman" w:cs="Times New Roman"/>
          <w:b w:val="0"/>
          <w:bCs/>
          <w:w w:val="105"/>
          <w:sz w:val="22"/>
          <w:szCs w:val="22"/>
        </w:rPr>
        <w:t>recommendations, will be</w:t>
      </w:r>
      <w:r w:rsidRPr="006D2720">
        <w:rPr>
          <w:rFonts w:ascii="Times New Roman" w:hAnsi="Times New Roman" w:cs="Times New Roman"/>
          <w:b w:val="0"/>
          <w:bCs/>
          <w:spacing w:val="-18"/>
          <w:w w:val="105"/>
          <w:sz w:val="22"/>
          <w:szCs w:val="22"/>
        </w:rPr>
        <w:t xml:space="preserve"> </w:t>
      </w:r>
      <w:r w:rsidRPr="006D2720">
        <w:rPr>
          <w:rFonts w:ascii="Times New Roman" w:hAnsi="Times New Roman" w:cs="Times New Roman"/>
          <w:b w:val="0"/>
          <w:bCs/>
          <w:w w:val="105"/>
          <w:sz w:val="22"/>
          <w:szCs w:val="22"/>
        </w:rPr>
        <w:t>published.</w:t>
      </w:r>
      <w:r w:rsidRPr="006D2720">
        <w:rPr>
          <w:rFonts w:ascii="Times New Roman" w:hAnsi="Times New Roman" w:cs="Times New Roman"/>
          <w:b w:val="0"/>
          <w:bCs/>
          <w:w w:val="105"/>
          <w:sz w:val="22"/>
          <w:szCs w:val="22"/>
          <w:lang w:val="en-AU"/>
        </w:rPr>
        <w:t xml:space="preserve"> </w:t>
      </w:r>
    </w:p>
    <w:p w14:paraId="4163ADDD" w14:textId="27EAE43D" w:rsidR="00FC2C6D" w:rsidRPr="006D2720" w:rsidRDefault="00FC2C6D" w:rsidP="00FE7094">
      <w:pPr>
        <w:spacing w:line="242" w:lineRule="auto"/>
        <w:ind w:right="376"/>
        <w:rPr>
          <w:rFonts w:ascii="Times New Roman" w:hAnsi="Times New Roman" w:cs="Times New Roman"/>
          <w:w w:val="105"/>
          <w:lang w:val="x-none"/>
        </w:rPr>
      </w:pPr>
      <w:r w:rsidRPr="006D2720">
        <w:rPr>
          <w:rFonts w:ascii="Times New Roman" w:hAnsi="Times New Roman" w:cs="Times New Roman"/>
          <w:w w:val="105"/>
        </w:rPr>
        <w:t xml:space="preserve">Providing a submission is completely voluntary. You are free to withdraw your participation at any time, by contacting Kira White on (03) 6226 2069 or email </w:t>
      </w:r>
      <w:hyperlink r:id="rId16" w:history="1">
        <w:r w:rsidRPr="006D2720">
          <w:rPr>
            <w:rStyle w:val="Hyperlink"/>
            <w:rFonts w:ascii="Times New Roman" w:hAnsi="Times New Roman" w:cs="Times New Roman"/>
            <w:w w:val="105"/>
            <w:lang w:val="x-none"/>
          </w:rPr>
          <w:t>L</w:t>
        </w:r>
        <w:r w:rsidRPr="006D2720">
          <w:rPr>
            <w:rStyle w:val="Hyperlink"/>
            <w:rFonts w:ascii="Times New Roman" w:hAnsi="Times New Roman" w:cs="Times New Roman"/>
            <w:w w:val="105"/>
            <w:lang w:val="en-US"/>
          </w:rPr>
          <w:t>aw.</w:t>
        </w:r>
        <w:r w:rsidRPr="006D2720">
          <w:rPr>
            <w:rStyle w:val="Hyperlink"/>
            <w:rFonts w:ascii="Times New Roman" w:hAnsi="Times New Roman" w:cs="Times New Roman"/>
            <w:w w:val="105"/>
            <w:lang w:val="x-none"/>
          </w:rPr>
          <w:t>R</w:t>
        </w:r>
        <w:r w:rsidRPr="006D2720">
          <w:rPr>
            <w:rStyle w:val="Hyperlink"/>
            <w:rFonts w:ascii="Times New Roman" w:hAnsi="Times New Roman" w:cs="Times New Roman"/>
            <w:w w:val="105"/>
            <w:lang w:val="en-US"/>
          </w:rPr>
          <w:t>eform@utas.edu.au</w:t>
        </w:r>
      </w:hyperlink>
      <w:r w:rsidR="0041798F">
        <w:rPr>
          <w:rFonts w:ascii="Times New Roman" w:hAnsi="Times New Roman" w:cs="Times New Roman"/>
          <w:w w:val="105"/>
          <w:u w:val="single"/>
        </w:rPr>
        <w:t>.</w:t>
      </w:r>
      <w:r w:rsidRPr="006D2720">
        <w:rPr>
          <w:rFonts w:ascii="Times New Roman" w:hAnsi="Times New Roman" w:cs="Times New Roman"/>
          <w:w w:val="105"/>
          <w:u w:val="single"/>
          <w:lang w:val="x-none"/>
        </w:rPr>
        <w:t xml:space="preserve"> </w:t>
      </w:r>
      <w:r w:rsidRPr="006D2720">
        <w:rPr>
          <w:rFonts w:ascii="Times New Roman" w:hAnsi="Times New Roman" w:cs="Times New Roman"/>
          <w:w w:val="105"/>
          <w:lang w:val="x-none"/>
        </w:rPr>
        <w:t xml:space="preserve"> You can withdraw without providing an explanation.  However, once the report has been sent for publication, it will not be possible to remove your comments.</w:t>
      </w:r>
    </w:p>
    <w:p w14:paraId="4F1A9B17" w14:textId="3E6F67DA" w:rsidR="00FC2C6D" w:rsidRPr="006D2720" w:rsidRDefault="00FC2C6D" w:rsidP="00FE7094">
      <w:pPr>
        <w:spacing w:line="242" w:lineRule="auto"/>
        <w:ind w:right="376"/>
        <w:rPr>
          <w:rFonts w:ascii="Times New Roman" w:eastAsia="Calibri" w:hAnsi="Times New Roman" w:cs="Times New Roman"/>
        </w:rPr>
      </w:pPr>
      <w:r w:rsidRPr="006D2720">
        <w:rPr>
          <w:rFonts w:ascii="Times New Roman" w:hAnsi="Times New Roman" w:cs="Times New Roman"/>
          <w:w w:val="105"/>
        </w:rPr>
        <w:t>All responses will be held by the Tasmania Law Reform Institute for a period of five (5) years from the date of the first publication and then destroyed. Electronic submissions will be stored on a secure, regularly backed-up University network drive. Hard copy submissions will be stored in a locked filing cabinet</w:t>
      </w:r>
      <w:r w:rsidRPr="006D2720">
        <w:rPr>
          <w:rFonts w:ascii="Times New Roman" w:hAnsi="Times New Roman" w:cs="Times New Roman"/>
        </w:rPr>
        <w:t>. At the expiry of five years, submissions be deleted from the server, in the case of electronic submissions, or shredded and securely disposed of in the case of paper submissions</w:t>
      </w:r>
      <w:r w:rsidR="00FE7094" w:rsidRPr="006D2720">
        <w:rPr>
          <w:rFonts w:ascii="Times New Roman" w:hAnsi="Times New Roman" w:cs="Times New Roman"/>
        </w:rPr>
        <w:t>.</w:t>
      </w:r>
    </w:p>
    <w:p w14:paraId="68B079C8" w14:textId="1115177B" w:rsidR="00FC2C6D" w:rsidRPr="006D2720" w:rsidRDefault="00FC2C6D" w:rsidP="00C61B55">
      <w:pPr>
        <w:pStyle w:val="BodyText"/>
        <w:spacing w:before="0" w:line="360" w:lineRule="auto"/>
        <w:ind w:right="1871"/>
        <w:jc w:val="left"/>
        <w:rPr>
          <w:rStyle w:val="Hyperlink"/>
          <w:rFonts w:ascii="Times New Roman" w:hAnsi="Times New Roman" w:cs="Times New Roman"/>
          <w:b w:val="0"/>
          <w:bCs/>
          <w:w w:val="105"/>
          <w:sz w:val="22"/>
          <w:szCs w:val="22"/>
        </w:rPr>
      </w:pPr>
      <w:r w:rsidRPr="006D2720">
        <w:rPr>
          <w:rFonts w:ascii="Times New Roman" w:hAnsi="Times New Roman" w:cs="Times New Roman"/>
          <w:b w:val="0"/>
          <w:bCs/>
          <w:w w:val="105"/>
          <w:sz w:val="22"/>
          <w:szCs w:val="22"/>
        </w:rPr>
        <w:t>Electronic submissions should be emailed to:</w:t>
      </w:r>
      <w:r w:rsidRPr="006D2720">
        <w:rPr>
          <w:rFonts w:ascii="Times New Roman" w:hAnsi="Times New Roman" w:cs="Times New Roman"/>
          <w:b w:val="0"/>
          <w:bCs/>
          <w:spacing w:val="-36"/>
          <w:w w:val="105"/>
          <w:sz w:val="22"/>
          <w:szCs w:val="22"/>
        </w:rPr>
        <w:t xml:space="preserve"> </w:t>
      </w:r>
      <w:hyperlink r:id="rId17" w:history="1">
        <w:r w:rsidRPr="006D2720">
          <w:rPr>
            <w:rStyle w:val="Hyperlink"/>
            <w:rFonts w:ascii="Times New Roman" w:hAnsi="Times New Roman" w:cs="Times New Roman"/>
            <w:b w:val="0"/>
            <w:bCs/>
            <w:w w:val="105"/>
            <w:sz w:val="22"/>
            <w:szCs w:val="22"/>
            <w:lang w:val="en-AU"/>
          </w:rPr>
          <w:t>L</w:t>
        </w:r>
        <w:r w:rsidRPr="006D2720">
          <w:rPr>
            <w:rStyle w:val="Hyperlink"/>
            <w:rFonts w:ascii="Times New Roman" w:hAnsi="Times New Roman" w:cs="Times New Roman"/>
            <w:b w:val="0"/>
            <w:bCs/>
            <w:w w:val="105"/>
            <w:sz w:val="22"/>
            <w:szCs w:val="22"/>
          </w:rPr>
          <w:t>aw.</w:t>
        </w:r>
        <w:r w:rsidRPr="006D2720">
          <w:rPr>
            <w:rStyle w:val="Hyperlink"/>
            <w:rFonts w:ascii="Times New Roman" w:hAnsi="Times New Roman" w:cs="Times New Roman"/>
            <w:b w:val="0"/>
            <w:bCs/>
            <w:w w:val="105"/>
            <w:sz w:val="22"/>
            <w:szCs w:val="22"/>
            <w:lang w:val="en-AU"/>
          </w:rPr>
          <w:t>R</w:t>
        </w:r>
        <w:r w:rsidRPr="006D2720">
          <w:rPr>
            <w:rStyle w:val="Hyperlink"/>
            <w:rFonts w:ascii="Times New Roman" w:hAnsi="Times New Roman" w:cs="Times New Roman"/>
            <w:b w:val="0"/>
            <w:bCs/>
            <w:w w:val="105"/>
            <w:sz w:val="22"/>
            <w:szCs w:val="22"/>
          </w:rPr>
          <w:t>eform@utas.edu.au</w:t>
        </w:r>
      </w:hyperlink>
    </w:p>
    <w:p w14:paraId="553CE16B" w14:textId="6774B49E" w:rsidR="00FC2C6D" w:rsidRPr="006D2720" w:rsidRDefault="00FC2C6D" w:rsidP="005D6FAE">
      <w:pPr>
        <w:rPr>
          <w:rFonts w:ascii="Times New Roman" w:hAnsi="Times New Roman" w:cs="Times New Roman"/>
          <w:b/>
          <w:bCs/>
        </w:rPr>
      </w:pPr>
      <w:r w:rsidRPr="006D2720">
        <w:rPr>
          <w:rFonts w:ascii="Times New Roman" w:hAnsi="Times New Roman" w:cs="Times New Roman"/>
          <w:bCs/>
          <w:w w:val="105"/>
        </w:rPr>
        <w:t>Submissions in paper form should be posted</w:t>
      </w:r>
      <w:r w:rsidRPr="006D2720">
        <w:rPr>
          <w:rFonts w:ascii="Times New Roman" w:hAnsi="Times New Roman" w:cs="Times New Roman"/>
          <w:bCs/>
          <w:spacing w:val="-21"/>
          <w:w w:val="105"/>
        </w:rPr>
        <w:t xml:space="preserve"> </w:t>
      </w:r>
      <w:r w:rsidRPr="006D2720">
        <w:rPr>
          <w:rFonts w:ascii="Times New Roman" w:hAnsi="Times New Roman" w:cs="Times New Roman"/>
          <w:bCs/>
          <w:w w:val="105"/>
        </w:rPr>
        <w:t>to:</w:t>
      </w:r>
    </w:p>
    <w:p w14:paraId="1BA0B810" w14:textId="77777777" w:rsidR="00FC2C6D" w:rsidRPr="006D2720" w:rsidRDefault="00FC2C6D" w:rsidP="00C61B55">
      <w:pPr>
        <w:spacing w:before="120"/>
        <w:rPr>
          <w:rFonts w:ascii="Times New Roman" w:hAnsi="Times New Roman" w:cs="Times New Roman"/>
          <w:bCs/>
        </w:rPr>
      </w:pPr>
      <w:r w:rsidRPr="006D2720">
        <w:rPr>
          <w:rFonts w:ascii="Times New Roman" w:hAnsi="Times New Roman" w:cs="Times New Roman"/>
          <w:bCs/>
        </w:rPr>
        <w:t xml:space="preserve">Tasmania Law Reform Institute </w:t>
      </w:r>
    </w:p>
    <w:p w14:paraId="7FC210C1" w14:textId="77777777" w:rsidR="00FC2C6D" w:rsidRPr="006D2720" w:rsidRDefault="00FC2C6D" w:rsidP="00C61B55">
      <w:pPr>
        <w:spacing w:before="120"/>
        <w:rPr>
          <w:rFonts w:ascii="Times New Roman" w:hAnsi="Times New Roman" w:cs="Times New Roman"/>
          <w:bCs/>
        </w:rPr>
      </w:pPr>
      <w:r w:rsidRPr="006D2720">
        <w:rPr>
          <w:rFonts w:ascii="Times New Roman" w:hAnsi="Times New Roman" w:cs="Times New Roman"/>
          <w:bCs/>
        </w:rPr>
        <w:t>Private Bag 89</w:t>
      </w:r>
    </w:p>
    <w:p w14:paraId="37FA5C34" w14:textId="67DB820C" w:rsidR="00FC2C6D" w:rsidRPr="006D2720" w:rsidRDefault="00FC2C6D" w:rsidP="00C61B55">
      <w:pPr>
        <w:spacing w:before="120"/>
        <w:rPr>
          <w:rFonts w:ascii="Times New Roman" w:hAnsi="Times New Roman" w:cs="Times New Roman"/>
          <w:bCs/>
        </w:rPr>
      </w:pPr>
      <w:r w:rsidRPr="006D2720">
        <w:rPr>
          <w:rFonts w:ascii="Times New Roman" w:hAnsi="Times New Roman" w:cs="Times New Roman"/>
          <w:bCs/>
        </w:rPr>
        <w:t>Hobart, TAS 7001</w:t>
      </w:r>
    </w:p>
    <w:p w14:paraId="1AB016F4" w14:textId="21B934A3" w:rsidR="00FC2C6D" w:rsidRPr="006D2720" w:rsidRDefault="00FC2C6D" w:rsidP="00C61B55">
      <w:pPr>
        <w:pStyle w:val="BodyText"/>
        <w:spacing w:before="0" w:line="247" w:lineRule="auto"/>
        <w:ind w:right="116"/>
        <w:jc w:val="left"/>
        <w:rPr>
          <w:rFonts w:ascii="Times New Roman" w:hAnsi="Times New Roman" w:cs="Times New Roman"/>
          <w:b w:val="0"/>
          <w:bCs/>
          <w:sz w:val="22"/>
          <w:szCs w:val="22"/>
        </w:rPr>
      </w:pPr>
      <w:r w:rsidRPr="006D2720">
        <w:rPr>
          <w:rFonts w:ascii="Times New Roman" w:eastAsiaTheme="minorEastAsia" w:hAnsi="Times New Roman" w:cs="Times New Roman"/>
          <w:b w:val="0"/>
          <w:bCs/>
          <w:sz w:val="22"/>
          <w:szCs w:val="22"/>
          <w:lang w:val="en-AU" w:bidi="en-US"/>
        </w:rPr>
        <w:t xml:space="preserve">Inquiries about the study should be directed to </w:t>
      </w:r>
      <w:r w:rsidR="00CA5B3E">
        <w:rPr>
          <w:rFonts w:ascii="Times New Roman" w:eastAsiaTheme="minorEastAsia" w:hAnsi="Times New Roman" w:cs="Times New Roman"/>
          <w:b w:val="0"/>
          <w:bCs/>
          <w:sz w:val="22"/>
          <w:szCs w:val="22"/>
          <w:lang w:val="en-AU" w:bidi="en-US"/>
        </w:rPr>
        <w:t>Professor</w:t>
      </w:r>
      <w:r w:rsidR="00CA5B3E" w:rsidRPr="006D2720">
        <w:rPr>
          <w:rFonts w:ascii="Times New Roman" w:eastAsiaTheme="minorEastAsia" w:hAnsi="Times New Roman" w:cs="Times New Roman"/>
          <w:b w:val="0"/>
          <w:bCs/>
          <w:sz w:val="22"/>
          <w:szCs w:val="22"/>
          <w:lang w:val="en-AU" w:bidi="en-US"/>
        </w:rPr>
        <w:t xml:space="preserve"> </w:t>
      </w:r>
      <w:r w:rsidRPr="006D2720">
        <w:rPr>
          <w:rFonts w:ascii="Times New Roman" w:eastAsiaTheme="minorEastAsia" w:hAnsi="Times New Roman" w:cs="Times New Roman"/>
          <w:b w:val="0"/>
          <w:bCs/>
          <w:sz w:val="22"/>
          <w:szCs w:val="22"/>
          <w:lang w:val="en-AU" w:bidi="en-US"/>
        </w:rPr>
        <w:t>Jeremy Prichard at the above address, or by telephoning (03) 6226 2069, or by email to Law.Reform@utas.edu.au.</w:t>
      </w:r>
    </w:p>
    <w:p w14:paraId="27274DE7" w14:textId="77777777" w:rsidR="00103104" w:rsidRPr="006D2720" w:rsidRDefault="00103104" w:rsidP="001A2B13">
      <w:pPr>
        <w:rPr>
          <w:rFonts w:ascii="Times New Roman" w:hAnsi="Times New Roman" w:cs="Times New Roman"/>
          <w:w w:val="105"/>
          <w:highlight w:val="yellow"/>
        </w:rPr>
      </w:pPr>
    </w:p>
    <w:p w14:paraId="29C513A0" w14:textId="2828F631" w:rsidR="00FC2C6D" w:rsidRPr="006D2720" w:rsidRDefault="00FC2C6D" w:rsidP="00C61B55">
      <w:pPr>
        <w:pStyle w:val="Heading4"/>
        <w:numPr>
          <w:ilvl w:val="0"/>
          <w:numId w:val="0"/>
        </w:numPr>
        <w:rPr>
          <w:rFonts w:ascii="Times New Roman" w:hAnsi="Times New Roman" w:cs="Times New Roman"/>
          <w:b/>
          <w:bCs/>
          <w:i w:val="0"/>
          <w:iCs w:val="0"/>
          <w:sz w:val="21"/>
          <w:szCs w:val="21"/>
        </w:rPr>
      </w:pPr>
      <w:r w:rsidRPr="007422E6">
        <w:rPr>
          <w:rFonts w:ascii="Times New Roman" w:hAnsi="Times New Roman" w:cs="Times New Roman"/>
          <w:b/>
          <w:bCs/>
          <w:i w:val="0"/>
          <w:w w:val="105"/>
          <w:sz w:val="21"/>
          <w:szCs w:val="21"/>
        </w:rPr>
        <w:t xml:space="preserve">CLOSING DATE FOR RESPONSES: </w:t>
      </w:r>
      <w:r w:rsidR="00B3190C" w:rsidRPr="007422E6">
        <w:rPr>
          <w:rFonts w:ascii="Times New Roman" w:hAnsi="Times New Roman" w:cs="Times New Roman"/>
          <w:b/>
          <w:bCs/>
          <w:i w:val="0"/>
          <w:w w:val="105"/>
          <w:sz w:val="21"/>
          <w:szCs w:val="21"/>
        </w:rPr>
        <w:t>11 July 2023</w:t>
      </w:r>
    </w:p>
    <w:p w14:paraId="2A9CEDAC" w14:textId="77777777" w:rsidR="00C61B55" w:rsidRPr="006D2720" w:rsidRDefault="00C61B55" w:rsidP="00C61B55">
      <w:pPr>
        <w:rPr>
          <w:rFonts w:ascii="Times New Roman" w:hAnsi="Times New Roman" w:cs="Times New Roman"/>
          <w:bCs/>
          <w:sz w:val="21"/>
          <w:szCs w:val="21"/>
        </w:rPr>
      </w:pPr>
    </w:p>
    <w:p w14:paraId="2F984A9E" w14:textId="3976D9E0" w:rsidR="00092B87" w:rsidRPr="006D2720" w:rsidRDefault="00092B87" w:rsidP="00092B87">
      <w:pPr>
        <w:rPr>
          <w:rFonts w:ascii="Times New Roman" w:hAnsi="Times New Roman" w:cs="Times New Roman"/>
          <w:bCs/>
          <w:lang w:bidi="en-US"/>
        </w:rPr>
      </w:pPr>
      <w:r w:rsidRPr="006D2720">
        <w:rPr>
          <w:rFonts w:ascii="Times New Roman" w:hAnsi="Times New Roman" w:cs="Times New Roman"/>
          <w:bCs/>
          <w:lang w:bidi="en-US"/>
        </w:rPr>
        <w:t xml:space="preserve">This study has been approved by the Tasmanian Social Sciences Human Research Ethics Committee. If you have concerns or complaints about the conduct of this study, please contact the Executive Officer of the University of Tasmania Human Research Ethics Committee on +61 3 6226 6254 or email </w:t>
      </w:r>
      <w:hyperlink r:id="rId18" w:history="1">
        <w:r w:rsidRPr="006D2720">
          <w:rPr>
            <w:rStyle w:val="Hyperlink"/>
            <w:rFonts w:ascii="Times New Roman" w:hAnsi="Times New Roman" w:cs="Times New Roman"/>
            <w:bCs/>
            <w:lang w:bidi="en-US"/>
          </w:rPr>
          <w:t>human.ethics@utas.edu.au</w:t>
        </w:r>
      </w:hyperlink>
      <w:r w:rsidRPr="006D2720">
        <w:rPr>
          <w:rFonts w:ascii="Times New Roman" w:hAnsi="Times New Roman" w:cs="Times New Roman"/>
          <w:bCs/>
          <w:lang w:bidi="en-US"/>
        </w:rPr>
        <w:t>. The Executive Officer is the person nominated to receive complaints from research participants. You will need to quote ethics reference number [H0016752].</w:t>
      </w:r>
    </w:p>
    <w:p w14:paraId="717DE753" w14:textId="765AA168" w:rsidR="00FC2C6D" w:rsidRPr="006D2720" w:rsidRDefault="00FC2C6D" w:rsidP="00C61B55">
      <w:pPr>
        <w:pStyle w:val="Heading1"/>
        <w:numPr>
          <w:ilvl w:val="0"/>
          <w:numId w:val="0"/>
        </w:numPr>
        <w:rPr>
          <w:rFonts w:ascii="Times New Roman" w:hAnsi="Times New Roman" w:cs="Times New Roman"/>
        </w:rPr>
      </w:pPr>
      <w:bookmarkStart w:id="4" w:name="_Toc130540412"/>
      <w:r w:rsidRPr="006D2720">
        <w:rPr>
          <w:rFonts w:ascii="Times New Roman" w:hAnsi="Times New Roman" w:cs="Times New Roman"/>
        </w:rPr>
        <w:t>Acknowledgments</w:t>
      </w:r>
      <w:bookmarkEnd w:id="4"/>
    </w:p>
    <w:p w14:paraId="2806D99D" w14:textId="78095C4C" w:rsidR="00E55991" w:rsidRPr="006D2720" w:rsidRDefault="00E55991" w:rsidP="00C61B55">
      <w:pPr>
        <w:rPr>
          <w:rFonts w:ascii="Times New Roman" w:hAnsi="Times New Roman" w:cs="Times New Roman"/>
        </w:rPr>
      </w:pPr>
      <w:r w:rsidRPr="006D2720">
        <w:rPr>
          <w:rFonts w:ascii="Times New Roman" w:hAnsi="Times New Roman" w:cs="Times New Roman"/>
        </w:rPr>
        <w:t>This Inquiry was initiated by</w:t>
      </w:r>
      <w:r w:rsidR="00CA5B3E">
        <w:rPr>
          <w:rFonts w:ascii="Times New Roman" w:hAnsi="Times New Roman" w:cs="Times New Roman"/>
        </w:rPr>
        <w:t xml:space="preserve"> the Honourable</w:t>
      </w:r>
      <w:r w:rsidRPr="006D2720">
        <w:rPr>
          <w:rFonts w:ascii="Times New Roman" w:hAnsi="Times New Roman" w:cs="Times New Roman"/>
        </w:rPr>
        <w:t xml:space="preserve"> Meg Webb, Independent member of the Tasmanian Legislative Council </w:t>
      </w:r>
      <w:r w:rsidR="00036077" w:rsidRPr="006D2720">
        <w:rPr>
          <w:rFonts w:ascii="Times New Roman" w:hAnsi="Times New Roman" w:cs="Times New Roman"/>
        </w:rPr>
        <w:t xml:space="preserve">(see Background and Terms of Reference </w:t>
      </w:r>
      <w:r w:rsidR="001A371C" w:rsidRPr="006D2720">
        <w:rPr>
          <w:rFonts w:ascii="Times New Roman" w:hAnsi="Times New Roman" w:cs="Times New Roman"/>
        </w:rPr>
        <w:t>on page viii</w:t>
      </w:r>
      <w:r w:rsidR="00036077" w:rsidRPr="006D2720">
        <w:rPr>
          <w:rFonts w:ascii="Times New Roman" w:hAnsi="Times New Roman" w:cs="Times New Roman"/>
        </w:rPr>
        <w:t xml:space="preserve">) </w:t>
      </w:r>
      <w:r w:rsidRPr="006D2720">
        <w:rPr>
          <w:rFonts w:ascii="Times New Roman" w:hAnsi="Times New Roman" w:cs="Times New Roman"/>
        </w:rPr>
        <w:t>and funded by the Solicitors Guarantee Fund under a grant provided to the Tasmanian Law Reform Institute.</w:t>
      </w:r>
      <w:r w:rsidR="00036077" w:rsidRPr="006D2720">
        <w:rPr>
          <w:rFonts w:ascii="Times New Roman" w:hAnsi="Times New Roman" w:cs="Times New Roman"/>
        </w:rPr>
        <w:t xml:space="preserve"> </w:t>
      </w:r>
    </w:p>
    <w:p w14:paraId="0491757B" w14:textId="1BA4B976" w:rsidR="00E55991" w:rsidRPr="006D2720" w:rsidRDefault="00332582" w:rsidP="00C61B55">
      <w:pPr>
        <w:rPr>
          <w:rFonts w:ascii="Times New Roman" w:hAnsi="Times New Roman" w:cs="Times New Roman"/>
        </w:rPr>
      </w:pPr>
      <w:r w:rsidRPr="006D2720">
        <w:rPr>
          <w:rFonts w:ascii="Times New Roman" w:hAnsi="Times New Roman" w:cs="Times New Roman"/>
        </w:rPr>
        <w:t xml:space="preserve">This Issues Paper was prepared for the Board by </w:t>
      </w:r>
      <w:r w:rsidR="00092B87" w:rsidRPr="006D2720">
        <w:rPr>
          <w:rFonts w:ascii="Times New Roman" w:hAnsi="Times New Roman" w:cs="Times New Roman"/>
        </w:rPr>
        <w:t>Da</w:t>
      </w:r>
      <w:r w:rsidR="003F4AC8">
        <w:rPr>
          <w:rFonts w:ascii="Times New Roman" w:hAnsi="Times New Roman" w:cs="Times New Roman"/>
        </w:rPr>
        <w:t>niel</w:t>
      </w:r>
      <w:r w:rsidR="00092B87" w:rsidRPr="006D2720">
        <w:rPr>
          <w:rFonts w:ascii="Times New Roman" w:hAnsi="Times New Roman" w:cs="Times New Roman"/>
        </w:rPr>
        <w:t xml:space="preserve"> Stewart, Damian Clifford and Jelena Gilgorijevic, </w:t>
      </w:r>
      <w:r w:rsidR="00036077" w:rsidRPr="006D2720">
        <w:rPr>
          <w:rFonts w:ascii="Times New Roman" w:hAnsi="Times New Roman" w:cs="Times New Roman"/>
        </w:rPr>
        <w:t>Dr Brendan Gog</w:t>
      </w:r>
      <w:r w:rsidR="008C1C99" w:rsidRPr="006D2720">
        <w:rPr>
          <w:rFonts w:ascii="Times New Roman" w:hAnsi="Times New Roman" w:cs="Times New Roman"/>
        </w:rPr>
        <w:t>a</w:t>
      </w:r>
      <w:r w:rsidR="00036077" w:rsidRPr="006D2720">
        <w:rPr>
          <w:rFonts w:ascii="Times New Roman" w:hAnsi="Times New Roman" w:cs="Times New Roman"/>
        </w:rPr>
        <w:t>rty</w:t>
      </w:r>
      <w:r w:rsidR="008C1C99" w:rsidRPr="006D2720">
        <w:rPr>
          <w:rFonts w:ascii="Times New Roman" w:hAnsi="Times New Roman" w:cs="Times New Roman"/>
        </w:rPr>
        <w:t xml:space="preserve"> and Chun Yu, with Ms Yu also providing research assistance.</w:t>
      </w:r>
    </w:p>
    <w:p w14:paraId="5A80EF41" w14:textId="07B56355" w:rsidR="00E55991" w:rsidRPr="006D2720" w:rsidRDefault="00E55991" w:rsidP="00C61B55">
      <w:pPr>
        <w:rPr>
          <w:rFonts w:ascii="Times New Roman" w:hAnsi="Times New Roman" w:cs="Times New Roman"/>
          <w:i/>
          <w:iCs/>
        </w:rPr>
      </w:pPr>
      <w:r w:rsidRPr="006D2720">
        <w:rPr>
          <w:rFonts w:ascii="Times New Roman" w:hAnsi="Times New Roman" w:cs="Times New Roman"/>
        </w:rPr>
        <w:t xml:space="preserve">The paper was edited </w:t>
      </w:r>
      <w:r w:rsidR="008C1C99" w:rsidRPr="006D2720">
        <w:rPr>
          <w:rFonts w:ascii="Times New Roman" w:hAnsi="Times New Roman" w:cs="Times New Roman"/>
        </w:rPr>
        <w:t xml:space="preserve">and prepared for publication </w:t>
      </w:r>
      <w:r w:rsidRPr="006D2720">
        <w:rPr>
          <w:rFonts w:ascii="Times New Roman" w:hAnsi="Times New Roman" w:cs="Times New Roman"/>
        </w:rPr>
        <w:t>by Dr Nina Hudson. Ongoing administrative and management of the Inquiry has been provided by Kira White.</w:t>
      </w:r>
    </w:p>
    <w:p w14:paraId="18FAD456" w14:textId="77777777" w:rsidR="005D6FAE" w:rsidRPr="006D2720" w:rsidRDefault="005D6FAE">
      <w:pPr>
        <w:rPr>
          <w:rFonts w:ascii="Times New Roman" w:eastAsiaTheme="majorEastAsia" w:hAnsi="Times New Roman" w:cs="Times New Roman"/>
          <w:b/>
          <w:color w:val="262626" w:themeColor="text1" w:themeTint="D9"/>
          <w:sz w:val="32"/>
          <w:szCs w:val="32"/>
        </w:rPr>
      </w:pPr>
      <w:bookmarkStart w:id="5" w:name="_Toc91831982"/>
      <w:r w:rsidRPr="006D2720">
        <w:rPr>
          <w:rFonts w:ascii="Times New Roman" w:hAnsi="Times New Roman" w:cs="Times New Roman"/>
        </w:rPr>
        <w:br w:type="page"/>
      </w:r>
    </w:p>
    <w:p w14:paraId="12990EB9" w14:textId="6662969F" w:rsidR="001A371C" w:rsidRPr="006D2720" w:rsidRDefault="001A371C" w:rsidP="0052660D">
      <w:pPr>
        <w:pStyle w:val="Heading1"/>
        <w:numPr>
          <w:ilvl w:val="0"/>
          <w:numId w:val="0"/>
        </w:numPr>
        <w:spacing w:before="0"/>
        <w:rPr>
          <w:rFonts w:ascii="Times New Roman" w:hAnsi="Times New Roman" w:cs="Times New Roman"/>
        </w:rPr>
      </w:pPr>
      <w:bookmarkStart w:id="6" w:name="_Toc130540413"/>
      <w:bookmarkEnd w:id="5"/>
      <w:r w:rsidRPr="006D2720">
        <w:rPr>
          <w:rFonts w:ascii="Times New Roman" w:hAnsi="Times New Roman" w:cs="Times New Roman"/>
        </w:rPr>
        <w:t>Background and Terms of Reference</w:t>
      </w:r>
      <w:bookmarkEnd w:id="6"/>
    </w:p>
    <w:p w14:paraId="14D684A2" w14:textId="66A78E28" w:rsidR="001A371C" w:rsidRPr="006D2720" w:rsidRDefault="001A371C" w:rsidP="001A371C">
      <w:pPr>
        <w:spacing w:after="120"/>
        <w:rPr>
          <w:rFonts w:ascii="Times New Roman" w:eastAsia="Calibri" w:hAnsi="Times New Roman" w:cs="Times New Roman"/>
        </w:rPr>
      </w:pPr>
      <w:r w:rsidRPr="006D2720">
        <w:rPr>
          <w:rFonts w:ascii="Times New Roman" w:eastAsia="Calibri" w:hAnsi="Times New Roman" w:cs="Times New Roman"/>
        </w:rPr>
        <w:t xml:space="preserve">This Inquiry was initiated by </w:t>
      </w:r>
      <w:r w:rsidR="00CA5B3E">
        <w:rPr>
          <w:rFonts w:ascii="Times New Roman" w:eastAsia="Calibri" w:hAnsi="Times New Roman" w:cs="Times New Roman"/>
        </w:rPr>
        <w:t xml:space="preserve">the Honourable </w:t>
      </w:r>
      <w:r w:rsidRPr="006D2720">
        <w:rPr>
          <w:rFonts w:ascii="Times New Roman" w:eastAsia="Calibri" w:hAnsi="Times New Roman" w:cs="Times New Roman"/>
        </w:rPr>
        <w:t>Meg Webb, Independent member of the Tasmanian Legislative Council. The Reference was accepted by the Tasmanian Law Reform Institute (‘TLRI’) Board in December 2019. The TLRI applied for a grant from the</w:t>
      </w:r>
      <w:r w:rsidRPr="006D2720">
        <w:rPr>
          <w:rFonts w:ascii="Times New Roman" w:hAnsi="Times New Roman" w:cs="Times New Roman"/>
        </w:rPr>
        <w:t xml:space="preserve"> </w:t>
      </w:r>
      <w:r w:rsidRPr="006D2720">
        <w:rPr>
          <w:rFonts w:ascii="Times New Roman" w:eastAsia="Calibri" w:hAnsi="Times New Roman" w:cs="Times New Roman"/>
        </w:rPr>
        <w:t>Solicitors Guarantee Fund to undertake the Inquiry. In May 2020, the TLRI received advice that its application had been partially successful, with a lesser amount granted than requested.</w:t>
      </w:r>
    </w:p>
    <w:p w14:paraId="04AB01E3" w14:textId="3312E1E7" w:rsidR="001A371C" w:rsidRPr="006D2720" w:rsidRDefault="001A371C" w:rsidP="001A371C">
      <w:pPr>
        <w:spacing w:after="120"/>
        <w:rPr>
          <w:rFonts w:ascii="Times New Roman" w:eastAsia="Calibri" w:hAnsi="Times New Roman" w:cs="Times New Roman"/>
        </w:rPr>
      </w:pPr>
      <w:r w:rsidRPr="006D2720">
        <w:rPr>
          <w:rFonts w:ascii="Times New Roman" w:eastAsia="Calibri" w:hAnsi="Times New Roman" w:cs="Times New Roman"/>
        </w:rPr>
        <w:t>The issue of privacy protection is topical in view of the matters raised in the Terms of Reference below and other developments, such as national data breaches relating to organisations such as Medicare a</w:t>
      </w:r>
      <w:r w:rsidR="00BD7F68" w:rsidRPr="006D2720">
        <w:rPr>
          <w:rFonts w:ascii="Times New Roman" w:eastAsia="Calibri" w:hAnsi="Times New Roman" w:cs="Times New Roman"/>
        </w:rPr>
        <w:t>n</w:t>
      </w:r>
      <w:r w:rsidRPr="006D2720">
        <w:rPr>
          <w:rFonts w:ascii="Times New Roman" w:eastAsia="Calibri" w:hAnsi="Times New Roman" w:cs="Times New Roman"/>
        </w:rPr>
        <w:t>d Optus.</w:t>
      </w:r>
    </w:p>
    <w:p w14:paraId="2F741C6F" w14:textId="77777777" w:rsidR="001A371C" w:rsidRPr="006D2720" w:rsidRDefault="001A371C" w:rsidP="001A371C">
      <w:pPr>
        <w:spacing w:after="120"/>
        <w:rPr>
          <w:rFonts w:ascii="Times New Roman" w:eastAsia="Calibri" w:hAnsi="Times New Roman" w:cs="Times New Roman"/>
        </w:rPr>
      </w:pPr>
      <w:r w:rsidRPr="006D2720">
        <w:rPr>
          <w:rFonts w:ascii="Times New Roman" w:eastAsia="Calibri" w:hAnsi="Times New Roman" w:cs="Times New Roman"/>
        </w:rPr>
        <w:t xml:space="preserve">The Terms of Reference were referred to the TLRI in view of: </w:t>
      </w:r>
    </w:p>
    <w:p w14:paraId="1473A64B" w14:textId="77777777"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the rapid and extensive advances in information, communication, storage, surveillance and other relevant technologies;</w:t>
      </w:r>
    </w:p>
    <w:p w14:paraId="33BF482A" w14:textId="77777777"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possible changing community perceptions of privacy and the extent to which it should be protected by legislation;</w:t>
      </w:r>
    </w:p>
    <w:p w14:paraId="4C404095" w14:textId="77777777"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the expansion of state and territory legislative activity in relevant areas; and </w:t>
      </w:r>
    </w:p>
    <w:p w14:paraId="57FA7F5A" w14:textId="77777777"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emerging areas that may require privacy protection. </w:t>
      </w:r>
    </w:p>
    <w:p w14:paraId="3FF476C3" w14:textId="77777777" w:rsidR="001A371C" w:rsidRPr="006D2720" w:rsidRDefault="001A371C" w:rsidP="001A371C">
      <w:pPr>
        <w:spacing w:after="120"/>
        <w:rPr>
          <w:rFonts w:ascii="Times New Roman" w:eastAsia="Calibri" w:hAnsi="Times New Roman" w:cs="Times New Roman"/>
        </w:rPr>
      </w:pPr>
      <w:r w:rsidRPr="006D2720">
        <w:rPr>
          <w:rFonts w:ascii="Times New Roman" w:eastAsia="Calibri" w:hAnsi="Times New Roman" w:cs="Times New Roman"/>
        </w:rPr>
        <w:t>The Terms of Reference are for the TLRI to inquire into, review and report on: </w:t>
      </w:r>
    </w:p>
    <w:p w14:paraId="207CF33B" w14:textId="77777777" w:rsidR="001A371C" w:rsidRPr="006D2720" w:rsidRDefault="001A371C" w:rsidP="001A371C">
      <w:pPr>
        <w:pStyle w:val="Numberedlist"/>
        <w:rPr>
          <w:rFonts w:ascii="Times New Roman" w:hAnsi="Times New Roman" w:cs="Times New Roman"/>
        </w:rPr>
      </w:pPr>
      <w:r w:rsidRPr="006D2720">
        <w:rPr>
          <w:rFonts w:ascii="Times New Roman" w:hAnsi="Times New Roman" w:cs="Times New Roman"/>
        </w:rPr>
        <w:t>the current protections of privacy and of the right to privacy in Tasmania and any need to enhance or extend protections for privacy in Tasmania;  </w:t>
      </w:r>
    </w:p>
    <w:p w14:paraId="748BD07C" w14:textId="5CA51E13" w:rsidR="001A371C" w:rsidRPr="006D2720" w:rsidRDefault="001A371C" w:rsidP="001A371C">
      <w:pPr>
        <w:pStyle w:val="Numberedlist"/>
        <w:rPr>
          <w:rFonts w:ascii="Times New Roman" w:hAnsi="Times New Roman" w:cs="Times New Roman"/>
        </w:rPr>
      </w:pPr>
      <w:r w:rsidRPr="006D2720">
        <w:rPr>
          <w:rFonts w:ascii="Times New Roman" w:hAnsi="Times New Roman" w:cs="Times New Roman"/>
        </w:rPr>
        <w:t xml:space="preserve">the extent to which the </w:t>
      </w:r>
      <w:r w:rsidRPr="006D2720">
        <w:rPr>
          <w:rFonts w:ascii="Times New Roman" w:hAnsi="Times New Roman" w:cs="Times New Roman"/>
          <w:i/>
          <w:iCs/>
        </w:rPr>
        <w:t xml:space="preserve">Personal Information Protection Act 2004 </w:t>
      </w:r>
      <w:r w:rsidRPr="006D2720">
        <w:rPr>
          <w:rFonts w:ascii="Times New Roman" w:hAnsi="Times New Roman" w:cs="Times New Roman"/>
        </w:rPr>
        <w:t>(Tas) and related laws continue to provide an effective framework for the protection of privacy in Tasmania and the need for any reform to that Act; and  </w:t>
      </w:r>
    </w:p>
    <w:p w14:paraId="32CA0BC6" w14:textId="77777777" w:rsidR="001A371C" w:rsidRPr="006D2720" w:rsidRDefault="001A371C" w:rsidP="001A371C">
      <w:pPr>
        <w:pStyle w:val="Numberedlist"/>
        <w:rPr>
          <w:rFonts w:ascii="Times New Roman" w:hAnsi="Times New Roman" w:cs="Times New Roman"/>
        </w:rPr>
      </w:pPr>
      <w:r w:rsidRPr="006D2720">
        <w:rPr>
          <w:rFonts w:ascii="Times New Roman" w:hAnsi="Times New Roman" w:cs="Times New Roman"/>
        </w:rPr>
        <w:t>models that enhance and protect privacy in other jurisdictions (in Australia and overseas). </w:t>
      </w:r>
    </w:p>
    <w:p w14:paraId="0C3285F9" w14:textId="77777777" w:rsidR="001A371C" w:rsidRPr="006D2720" w:rsidRDefault="001A371C" w:rsidP="001A371C">
      <w:pPr>
        <w:rPr>
          <w:rFonts w:ascii="Times New Roman" w:hAnsi="Times New Roman" w:cs="Times New Roman"/>
        </w:rPr>
      </w:pPr>
      <w:r w:rsidRPr="006D2720">
        <w:rPr>
          <w:rFonts w:ascii="Times New Roman" w:hAnsi="Times New Roman" w:cs="Times New Roman"/>
        </w:rPr>
        <w:t xml:space="preserve">In undertaking this reference, the </w:t>
      </w:r>
      <w:r w:rsidRPr="006D2720">
        <w:rPr>
          <w:rFonts w:ascii="Times New Roman" w:eastAsia="Calibri" w:hAnsi="Times New Roman" w:cs="Times New Roman"/>
        </w:rPr>
        <w:t xml:space="preserve">TLRI </w:t>
      </w:r>
      <w:r w:rsidRPr="006D2720">
        <w:rPr>
          <w:rFonts w:ascii="Times New Roman" w:hAnsi="Times New Roman" w:cs="Times New Roman"/>
        </w:rPr>
        <w:t>will consider and have regard to: </w:t>
      </w:r>
    </w:p>
    <w:p w14:paraId="094A492C"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 xml:space="preserve">the United Nations </w:t>
      </w:r>
      <w:r w:rsidRPr="006D2720">
        <w:rPr>
          <w:rFonts w:ascii="Times New Roman" w:hAnsi="Times New Roman" w:cs="Times New Roman"/>
          <w:i/>
          <w:iCs/>
        </w:rPr>
        <w:t xml:space="preserve">International Convention on Civil and Political Rights </w:t>
      </w:r>
      <w:r w:rsidRPr="006D2720">
        <w:rPr>
          <w:rFonts w:ascii="Times New Roman" w:hAnsi="Times New Roman" w:cs="Times New Roman"/>
        </w:rPr>
        <w:t>and other relevant international instruments that protect the right to privacy; </w:t>
      </w:r>
    </w:p>
    <w:p w14:paraId="01E5DACE"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relevant existing and proposed Commonwealth, state and territory laws and practices; </w:t>
      </w:r>
    </w:p>
    <w:p w14:paraId="6A07BEB1"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any recent reviews of the privacy laws in other jurisdictions; </w:t>
      </w:r>
    </w:p>
    <w:p w14:paraId="462B6C70"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current and emerging international law and obligations in this area; </w:t>
      </w:r>
    </w:p>
    <w:p w14:paraId="0AEBD0E5"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privacy regimes, developments and trends in other jurisdictions; </w:t>
      </w:r>
    </w:p>
    <w:p w14:paraId="13B98A41" w14:textId="77777777" w:rsidR="001A371C" w:rsidRPr="006D2720" w:rsidRDefault="001A371C">
      <w:pPr>
        <w:numPr>
          <w:ilvl w:val="0"/>
          <w:numId w:val="3"/>
        </w:numPr>
        <w:spacing w:after="60"/>
        <w:ind w:left="714" w:hanging="357"/>
        <w:rPr>
          <w:rFonts w:ascii="Times New Roman" w:hAnsi="Times New Roman" w:cs="Times New Roman"/>
        </w:rPr>
      </w:pPr>
      <w:r w:rsidRPr="006D2720">
        <w:rPr>
          <w:rFonts w:ascii="Times New Roman" w:hAnsi="Times New Roman" w:cs="Times New Roman"/>
        </w:rPr>
        <w:t>the need of individuals for privacy protection in an evolving technological environment; and </w:t>
      </w:r>
    </w:p>
    <w:p w14:paraId="4FF9A7C5" w14:textId="77777777" w:rsidR="001A371C" w:rsidRPr="006D2720" w:rsidRDefault="001A371C">
      <w:pPr>
        <w:numPr>
          <w:ilvl w:val="0"/>
          <w:numId w:val="3"/>
        </w:numPr>
        <w:spacing w:after="120"/>
        <w:ind w:left="714" w:hanging="357"/>
        <w:rPr>
          <w:rFonts w:ascii="Times New Roman" w:eastAsia="Calibri" w:hAnsi="Times New Roman" w:cs="Times New Roman"/>
        </w:rPr>
      </w:pPr>
      <w:r w:rsidRPr="006D2720">
        <w:rPr>
          <w:rFonts w:ascii="Times New Roman" w:hAnsi="Times New Roman" w:cs="Times New Roman"/>
        </w:rPr>
        <w:t>any other related matter. </w:t>
      </w:r>
      <w:r w:rsidRPr="006D2720">
        <w:rPr>
          <w:rFonts w:ascii="Times New Roman" w:eastAsia="Calibri" w:hAnsi="Times New Roman" w:cs="Times New Roman"/>
        </w:rPr>
        <w:t> </w:t>
      </w:r>
    </w:p>
    <w:p w14:paraId="37A60756" w14:textId="77777777" w:rsidR="001A371C" w:rsidRPr="006D2720" w:rsidRDefault="001A371C" w:rsidP="001A371C">
      <w:pPr>
        <w:rPr>
          <w:rFonts w:ascii="Times New Roman" w:eastAsia="Calibri" w:hAnsi="Times New Roman" w:cs="Times New Roman"/>
        </w:rPr>
      </w:pPr>
      <w:r w:rsidRPr="006D2720">
        <w:rPr>
          <w:rFonts w:ascii="Times New Roman" w:eastAsia="Calibri" w:hAnsi="Times New Roman" w:cs="Times New Roman"/>
        </w:rPr>
        <w:t>The TLRI will identify and consult with relevant stakeholders and ensure widespread public consultation on how privacy and obligations relating to protecting privacy can best be promoted and protected in Tasmania, and provide recommendations as to an appropriate model for Tasmania to protect and enhance privacy rights and protections. </w:t>
      </w:r>
    </w:p>
    <w:p w14:paraId="77742EC1" w14:textId="77777777" w:rsidR="001A371C" w:rsidRPr="006D2720" w:rsidRDefault="001A371C" w:rsidP="001A371C">
      <w:pPr>
        <w:rPr>
          <w:rFonts w:ascii="Times New Roman" w:eastAsiaTheme="majorEastAsia" w:hAnsi="Times New Roman" w:cs="Times New Roman"/>
          <w:b/>
          <w:color w:val="262626" w:themeColor="text1" w:themeTint="D9"/>
          <w:sz w:val="28"/>
          <w:szCs w:val="28"/>
        </w:rPr>
      </w:pPr>
      <w:r w:rsidRPr="006D2720">
        <w:rPr>
          <w:rFonts w:ascii="Times New Roman" w:hAnsi="Times New Roman" w:cs="Times New Roman"/>
        </w:rPr>
        <w:br w:type="page"/>
      </w:r>
    </w:p>
    <w:p w14:paraId="1DD7A6D3" w14:textId="457F97EB" w:rsidR="001A371C" w:rsidRPr="006D2720" w:rsidRDefault="001A371C" w:rsidP="0052660D">
      <w:pPr>
        <w:pStyle w:val="Heading1"/>
        <w:numPr>
          <w:ilvl w:val="0"/>
          <w:numId w:val="0"/>
        </w:numPr>
        <w:spacing w:before="0"/>
        <w:rPr>
          <w:rFonts w:ascii="Times New Roman" w:hAnsi="Times New Roman" w:cs="Times New Roman"/>
        </w:rPr>
      </w:pPr>
      <w:bookmarkStart w:id="7" w:name="_Toc130540414"/>
      <w:r w:rsidRPr="006D2720">
        <w:rPr>
          <w:rFonts w:ascii="Times New Roman" w:hAnsi="Times New Roman" w:cs="Times New Roman"/>
        </w:rPr>
        <w:t xml:space="preserve">Nature and </w:t>
      </w:r>
      <w:r w:rsidR="00F145BC" w:rsidRPr="006D2720">
        <w:rPr>
          <w:rFonts w:ascii="Times New Roman" w:hAnsi="Times New Roman" w:cs="Times New Roman"/>
        </w:rPr>
        <w:t>s</w:t>
      </w:r>
      <w:r w:rsidRPr="006D2720">
        <w:rPr>
          <w:rFonts w:ascii="Times New Roman" w:hAnsi="Times New Roman" w:cs="Times New Roman"/>
        </w:rPr>
        <w:t>cope of the Issues Paper</w:t>
      </w:r>
      <w:bookmarkEnd w:id="7"/>
    </w:p>
    <w:p w14:paraId="3F328B03" w14:textId="4AF3E41E" w:rsidR="001A371C" w:rsidRPr="006D2720" w:rsidRDefault="001A371C" w:rsidP="001A371C">
      <w:pPr>
        <w:pStyle w:val="Heading2"/>
        <w:numPr>
          <w:ilvl w:val="0"/>
          <w:numId w:val="0"/>
        </w:numPr>
        <w:ind w:left="578" w:hanging="578"/>
        <w:rPr>
          <w:rFonts w:ascii="Times New Roman" w:hAnsi="Times New Roman" w:cs="Times New Roman"/>
        </w:rPr>
      </w:pPr>
      <w:bookmarkStart w:id="8" w:name="_Toc130540415"/>
      <w:r w:rsidRPr="006D2720">
        <w:rPr>
          <w:rFonts w:ascii="Times New Roman" w:hAnsi="Times New Roman" w:cs="Times New Roman"/>
        </w:rPr>
        <w:t xml:space="preserve">Scope and </w:t>
      </w:r>
      <w:r w:rsidR="00F145BC" w:rsidRPr="006D2720">
        <w:rPr>
          <w:rFonts w:ascii="Times New Roman" w:hAnsi="Times New Roman" w:cs="Times New Roman"/>
        </w:rPr>
        <w:t>s</w:t>
      </w:r>
      <w:r w:rsidRPr="006D2720">
        <w:rPr>
          <w:rFonts w:ascii="Times New Roman" w:hAnsi="Times New Roman" w:cs="Times New Roman"/>
        </w:rPr>
        <w:t>tructure</w:t>
      </w:r>
      <w:bookmarkEnd w:id="8"/>
    </w:p>
    <w:p w14:paraId="0E50277B" w14:textId="154BD245" w:rsidR="001A371C" w:rsidRPr="006D2720" w:rsidRDefault="001A371C" w:rsidP="001A371C">
      <w:pPr>
        <w:rPr>
          <w:rFonts w:ascii="Times New Roman" w:hAnsi="Times New Roman" w:cs="Times New Roman"/>
        </w:rPr>
      </w:pPr>
      <w:r w:rsidRPr="006D2720">
        <w:rPr>
          <w:rFonts w:ascii="Times New Roman" w:hAnsi="Times New Roman" w:cs="Times New Roman"/>
        </w:rPr>
        <w:t xml:space="preserve">The content for this </w:t>
      </w:r>
      <w:r w:rsidR="00F27A09" w:rsidRPr="006D2720">
        <w:rPr>
          <w:rFonts w:ascii="Times New Roman" w:hAnsi="Times New Roman" w:cs="Times New Roman"/>
        </w:rPr>
        <w:t xml:space="preserve">Issues </w:t>
      </w:r>
      <w:r w:rsidRPr="006D2720">
        <w:rPr>
          <w:rFonts w:ascii="Times New Roman" w:hAnsi="Times New Roman" w:cs="Times New Roman"/>
        </w:rPr>
        <w:t xml:space="preserve">Paper was finalised in January 2023. This preceded the release of a report on 16 February 2023 by the Commonwealth Attorney-General’s Department on its review of the </w:t>
      </w:r>
      <w:r w:rsidR="00BD7F68" w:rsidRPr="006D2720" w:rsidDel="0089683E">
        <w:rPr>
          <w:rFonts w:ascii="Times New Roman" w:hAnsi="Times New Roman" w:cs="Times New Roman"/>
          <w:i/>
          <w:iCs/>
        </w:rPr>
        <w:t>Privacy Act 1988</w:t>
      </w:r>
      <w:r w:rsidR="00BD7F68" w:rsidRPr="006D2720">
        <w:rPr>
          <w:rFonts w:ascii="Times New Roman" w:hAnsi="Times New Roman" w:cs="Times New Roman"/>
        </w:rPr>
        <w:t xml:space="preserve"> (Cth) (‘Privacy Act’). </w:t>
      </w:r>
      <w:r w:rsidRPr="006D2720">
        <w:rPr>
          <w:rFonts w:ascii="Times New Roman" w:hAnsi="Times New Roman" w:cs="Times New Roman"/>
        </w:rPr>
        <w:t>Accordingly, this Issues Paper does not consider the findings of the report as to options for reforming the Privacy Act (particularly relevant to the contents of Part 2, noted below). However, the findings of the Commonwealth report will be considered in the drafting of the TLRI Final Report and the formulation of recommendations.</w:t>
      </w:r>
    </w:p>
    <w:p w14:paraId="3407401F" w14:textId="7A3FF691"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 xml:space="preserve">Part 1 (pages </w:t>
      </w:r>
      <w:r w:rsidRPr="006D2720">
        <w:rPr>
          <w:rFonts w:ascii="Times New Roman" w:hAnsi="Times New Roman" w:cs="Times New Roman"/>
        </w:rPr>
        <w:fldChar w:fldCharType="begin"/>
      </w:r>
      <w:r w:rsidRPr="006D2720">
        <w:rPr>
          <w:rFonts w:ascii="Times New Roman" w:hAnsi="Times New Roman" w:cs="Times New Roman"/>
        </w:rPr>
        <w:instrText xml:space="preserve"> PAGEREF One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1</w:t>
      </w:r>
      <w:r w:rsidRPr="006D2720">
        <w:rPr>
          <w:rFonts w:ascii="Times New Roman" w:hAnsi="Times New Roman" w:cs="Times New Roman"/>
        </w:rPr>
        <w:fldChar w:fldCharType="end"/>
      </w:r>
      <w:r w:rsidRPr="006D2720">
        <w:rPr>
          <w:rFonts w:ascii="Times New Roman" w:hAnsi="Times New Roman" w:cs="Times New Roman"/>
        </w:rPr>
        <w:t xml:space="preserve"> to </w:t>
      </w:r>
      <w:r w:rsidRPr="006D2720">
        <w:rPr>
          <w:rFonts w:ascii="Times New Roman" w:hAnsi="Times New Roman" w:cs="Times New Roman"/>
        </w:rPr>
        <w:fldChar w:fldCharType="begin"/>
      </w:r>
      <w:r w:rsidRPr="006D2720">
        <w:rPr>
          <w:rFonts w:ascii="Times New Roman" w:hAnsi="Times New Roman" w:cs="Times New Roman"/>
        </w:rPr>
        <w:instrText xml:space="preserve"> PAGEREF _Ref128939440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6</w:t>
      </w:r>
      <w:r w:rsidRPr="006D2720">
        <w:rPr>
          <w:rFonts w:ascii="Times New Roman" w:hAnsi="Times New Roman" w:cs="Times New Roman"/>
        </w:rPr>
        <w:fldChar w:fldCharType="end"/>
      </w:r>
      <w:r w:rsidRPr="006D2720">
        <w:rPr>
          <w:rFonts w:ascii="Times New Roman" w:hAnsi="Times New Roman" w:cs="Times New Roman"/>
        </w:rPr>
        <w:t>) introduces readers to the concept of privacy protection and gives an overview of existing legal frameworks for privacy protection in Tasmania, Australia, and internationally.</w:t>
      </w:r>
    </w:p>
    <w:p w14:paraId="1533C612" w14:textId="5E53DD02" w:rsidR="001A371C" w:rsidRPr="006D2720" w:rsidRDefault="001A371C" w:rsidP="001A371C">
      <w:pPr>
        <w:pStyle w:val="Dotpointlist"/>
        <w:rPr>
          <w:rFonts w:ascii="Times New Roman" w:hAnsi="Times New Roman" w:cs="Times New Roman"/>
        </w:rPr>
      </w:pPr>
      <w:r w:rsidRPr="006D2720" w:rsidDel="0089683E">
        <w:rPr>
          <w:rFonts w:ascii="Times New Roman" w:hAnsi="Times New Roman" w:cs="Times New Roman"/>
        </w:rPr>
        <w:t xml:space="preserve">Part 2 </w:t>
      </w:r>
      <w:r w:rsidRPr="006D2720">
        <w:rPr>
          <w:rFonts w:ascii="Times New Roman" w:hAnsi="Times New Roman" w:cs="Times New Roman"/>
        </w:rPr>
        <w:t>(pages</w:t>
      </w:r>
      <w:r w:rsidRPr="006D2720" w:rsidDel="0089683E">
        <w:rPr>
          <w:rFonts w:ascii="Times New Roman" w:hAnsi="Times New Roman" w:cs="Times New Roman"/>
        </w:rPr>
        <w:t xml:space="preserve"> </w:t>
      </w:r>
      <w:r w:rsidRPr="006D2720">
        <w:rPr>
          <w:rFonts w:ascii="Times New Roman" w:hAnsi="Times New Roman" w:cs="Times New Roman"/>
        </w:rPr>
        <w:fldChar w:fldCharType="begin"/>
      </w:r>
      <w:r w:rsidRPr="006D2720">
        <w:rPr>
          <w:rFonts w:ascii="Times New Roman" w:hAnsi="Times New Roman" w:cs="Times New Roman"/>
        </w:rPr>
        <w:instrText xml:space="preserve"> PAGEREF Three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7</w:t>
      </w:r>
      <w:r w:rsidRPr="006D2720">
        <w:rPr>
          <w:rFonts w:ascii="Times New Roman" w:hAnsi="Times New Roman" w:cs="Times New Roman"/>
        </w:rPr>
        <w:fldChar w:fldCharType="end"/>
      </w:r>
      <w:r w:rsidRPr="006D2720">
        <w:rPr>
          <w:rFonts w:ascii="Times New Roman" w:hAnsi="Times New Roman" w:cs="Times New Roman"/>
        </w:rPr>
        <w:t xml:space="preserve"> to </w:t>
      </w:r>
      <w:r w:rsidRPr="006D2720">
        <w:rPr>
          <w:rFonts w:ascii="Times New Roman" w:hAnsi="Times New Roman" w:cs="Times New Roman"/>
        </w:rPr>
        <w:fldChar w:fldCharType="begin"/>
      </w:r>
      <w:r w:rsidRPr="006D2720">
        <w:rPr>
          <w:rFonts w:ascii="Times New Roman" w:hAnsi="Times New Roman" w:cs="Times New Roman"/>
        </w:rPr>
        <w:instrText xml:space="preserve"> PAGEREF _Ref128939536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45</w:t>
      </w:r>
      <w:r w:rsidRPr="006D2720">
        <w:rPr>
          <w:rFonts w:ascii="Times New Roman" w:hAnsi="Times New Roman" w:cs="Times New Roman"/>
        </w:rPr>
        <w:fldChar w:fldCharType="end"/>
      </w:r>
      <w:r w:rsidRPr="006D2720">
        <w:rPr>
          <w:rFonts w:ascii="Times New Roman" w:hAnsi="Times New Roman" w:cs="Times New Roman"/>
        </w:rPr>
        <w:t xml:space="preserve">) discusses the scope, operation, and enforcement of privacy protection under the frameworks introduced in Part 1, focusing on information held by government agencies. It compares the protections in Tasmania under the </w:t>
      </w:r>
      <w:r w:rsidR="00814D71" w:rsidRPr="006D2720">
        <w:rPr>
          <w:rFonts w:ascii="Times New Roman" w:hAnsi="Times New Roman" w:cs="Times New Roman"/>
          <w:i/>
          <w:iCs/>
        </w:rPr>
        <w:t xml:space="preserve">Personal Information Protection Act 2004 </w:t>
      </w:r>
      <w:r w:rsidR="00814D71" w:rsidRPr="006D2720">
        <w:rPr>
          <w:rFonts w:ascii="Times New Roman" w:hAnsi="Times New Roman" w:cs="Times New Roman"/>
        </w:rPr>
        <w:t>(Tas) (‘</w:t>
      </w:r>
      <w:r w:rsidRPr="006D2720">
        <w:rPr>
          <w:rFonts w:ascii="Times New Roman" w:hAnsi="Times New Roman" w:cs="Times New Roman"/>
        </w:rPr>
        <w:t>PIPA</w:t>
      </w:r>
      <w:r w:rsidR="00814D71" w:rsidRPr="006D2720">
        <w:rPr>
          <w:rFonts w:ascii="Times New Roman" w:hAnsi="Times New Roman" w:cs="Times New Roman"/>
        </w:rPr>
        <w:t>’)</w:t>
      </w:r>
      <w:r w:rsidRPr="006D2720">
        <w:rPr>
          <w:rFonts w:ascii="Times New Roman" w:hAnsi="Times New Roman" w:cs="Times New Roman"/>
        </w:rPr>
        <w:t xml:space="preserve"> with those in </w:t>
      </w:r>
      <w:r w:rsidRPr="006D2720" w:rsidDel="0089683E">
        <w:rPr>
          <w:rFonts w:ascii="Times New Roman" w:hAnsi="Times New Roman" w:cs="Times New Roman"/>
        </w:rPr>
        <w:t xml:space="preserve">other Australian jurisdictions, particularly </w:t>
      </w:r>
      <w:r w:rsidRPr="006D2720">
        <w:rPr>
          <w:rFonts w:ascii="Times New Roman" w:hAnsi="Times New Roman" w:cs="Times New Roman"/>
        </w:rPr>
        <w:t xml:space="preserve">under </w:t>
      </w:r>
      <w:r w:rsidRPr="006D2720" w:rsidDel="0089683E">
        <w:rPr>
          <w:rFonts w:ascii="Times New Roman" w:hAnsi="Times New Roman" w:cs="Times New Roman"/>
        </w:rPr>
        <w:t>the Privacy Act</w:t>
      </w:r>
      <w:r w:rsidRPr="006D2720">
        <w:rPr>
          <w:rFonts w:ascii="Times New Roman" w:hAnsi="Times New Roman" w:cs="Times New Roman"/>
        </w:rPr>
        <w:t>. Part 2 also considers</w:t>
      </w:r>
      <w:r w:rsidRPr="006D2720" w:rsidDel="0089683E">
        <w:rPr>
          <w:rFonts w:ascii="Times New Roman" w:hAnsi="Times New Roman" w:cs="Times New Roman"/>
        </w:rPr>
        <w:t xml:space="preserve"> possible future reforms</w:t>
      </w:r>
      <w:r w:rsidRPr="006D2720">
        <w:rPr>
          <w:rFonts w:ascii="Times New Roman" w:hAnsi="Times New Roman" w:cs="Times New Roman"/>
        </w:rPr>
        <w:t xml:space="preserve"> of these frameworks and</w:t>
      </w:r>
      <w:r w:rsidRPr="006D2720" w:rsidDel="0089683E">
        <w:rPr>
          <w:rFonts w:ascii="Times New Roman" w:hAnsi="Times New Roman" w:cs="Times New Roman"/>
        </w:rPr>
        <w:t xml:space="preserve"> </w:t>
      </w:r>
      <w:r w:rsidRPr="006D2720">
        <w:rPr>
          <w:rFonts w:ascii="Times New Roman" w:hAnsi="Times New Roman" w:cs="Times New Roman"/>
        </w:rPr>
        <w:t xml:space="preserve">examines </w:t>
      </w:r>
      <w:r w:rsidRPr="006D2720" w:rsidDel="0089683E">
        <w:rPr>
          <w:rFonts w:ascii="Times New Roman" w:hAnsi="Times New Roman" w:cs="Times New Roman"/>
        </w:rPr>
        <w:t xml:space="preserve">international developments, including the European Union’s </w:t>
      </w:r>
      <w:r w:rsidRPr="006D2720">
        <w:rPr>
          <w:rFonts w:ascii="Times New Roman" w:hAnsi="Times New Roman" w:cs="Times New Roman"/>
          <w:i/>
          <w:iCs/>
        </w:rPr>
        <w:t>General Data Protection Regulation</w:t>
      </w:r>
      <w:r w:rsidRPr="006D2720" w:rsidDel="00984C17">
        <w:rPr>
          <w:rFonts w:ascii="Times New Roman" w:hAnsi="Times New Roman" w:cs="Times New Roman"/>
        </w:rPr>
        <w:t xml:space="preserve"> </w:t>
      </w:r>
      <w:r w:rsidRPr="006D2720">
        <w:rPr>
          <w:rFonts w:ascii="Times New Roman" w:hAnsi="Times New Roman" w:cs="Times New Roman"/>
          <w:i/>
          <w:iCs/>
        </w:rPr>
        <w:t>2016/679</w:t>
      </w:r>
      <w:r w:rsidRPr="006D2720" w:rsidDel="0089683E">
        <w:rPr>
          <w:rFonts w:ascii="Times New Roman" w:hAnsi="Times New Roman" w:cs="Times New Roman"/>
        </w:rPr>
        <w:t xml:space="preserve"> (</w:t>
      </w:r>
      <w:r w:rsidRPr="006D2720">
        <w:rPr>
          <w:rFonts w:ascii="Times New Roman" w:hAnsi="Times New Roman" w:cs="Times New Roman"/>
        </w:rPr>
        <w:t>‘</w:t>
      </w:r>
      <w:r w:rsidRPr="006D2720" w:rsidDel="0089683E">
        <w:rPr>
          <w:rFonts w:ascii="Times New Roman" w:hAnsi="Times New Roman" w:cs="Times New Roman"/>
        </w:rPr>
        <w:t>GDPR</w:t>
      </w:r>
      <w:r w:rsidRPr="006D2720">
        <w:rPr>
          <w:rFonts w:ascii="Times New Roman" w:hAnsi="Times New Roman" w:cs="Times New Roman"/>
        </w:rPr>
        <w:t>’</w:t>
      </w:r>
      <w:r w:rsidRPr="006D2720" w:rsidDel="0089683E">
        <w:rPr>
          <w:rFonts w:ascii="Times New Roman" w:hAnsi="Times New Roman" w:cs="Times New Roman"/>
        </w:rPr>
        <w:t>).</w:t>
      </w:r>
    </w:p>
    <w:p w14:paraId="7E426E16" w14:textId="4776DB9C"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 xml:space="preserve">Part 3 (pages </w:t>
      </w:r>
      <w:r w:rsidRPr="006D2720">
        <w:rPr>
          <w:rFonts w:ascii="Times New Roman" w:hAnsi="Times New Roman" w:cs="Times New Roman"/>
        </w:rPr>
        <w:fldChar w:fldCharType="begin"/>
      </w:r>
      <w:r w:rsidRPr="006D2720">
        <w:rPr>
          <w:rFonts w:ascii="Times New Roman" w:hAnsi="Times New Roman" w:cs="Times New Roman"/>
        </w:rPr>
        <w:instrText xml:space="preserve"> PAGEREF Five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47</w:t>
      </w:r>
      <w:r w:rsidRPr="006D2720">
        <w:rPr>
          <w:rFonts w:ascii="Times New Roman" w:hAnsi="Times New Roman" w:cs="Times New Roman"/>
        </w:rPr>
        <w:fldChar w:fldCharType="end"/>
      </w:r>
      <w:r w:rsidRPr="006D2720">
        <w:rPr>
          <w:rFonts w:ascii="Times New Roman" w:hAnsi="Times New Roman" w:cs="Times New Roman"/>
        </w:rPr>
        <w:t xml:space="preserve"> to </w:t>
      </w:r>
      <w:r w:rsidRPr="006D2720">
        <w:rPr>
          <w:rFonts w:ascii="Times New Roman" w:hAnsi="Times New Roman" w:cs="Times New Roman"/>
        </w:rPr>
        <w:fldChar w:fldCharType="begin"/>
      </w:r>
      <w:r w:rsidRPr="006D2720">
        <w:rPr>
          <w:rFonts w:ascii="Times New Roman" w:hAnsi="Times New Roman" w:cs="Times New Roman"/>
        </w:rPr>
        <w:instrText xml:space="preserve"> PAGEREF _Ref128939619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51</w:t>
      </w:r>
      <w:r w:rsidRPr="006D2720">
        <w:rPr>
          <w:rFonts w:ascii="Times New Roman" w:hAnsi="Times New Roman" w:cs="Times New Roman"/>
        </w:rPr>
        <w:fldChar w:fldCharType="end"/>
      </w:r>
      <w:r w:rsidRPr="006D2720">
        <w:rPr>
          <w:rFonts w:ascii="Times New Roman" w:hAnsi="Times New Roman" w:cs="Times New Roman"/>
        </w:rPr>
        <w:t xml:space="preserve">) explores different provisions in legislation other than the PIPA that affect how government-held information can be used and shared. It analyses how these provisions affect information privacy and draws comparisons with similar laws in other jurisdictions.  </w:t>
      </w:r>
    </w:p>
    <w:p w14:paraId="5586421E" w14:textId="3E2CFE50" w:rsidR="001A371C" w:rsidRPr="006D2720" w:rsidRDefault="001A371C" w:rsidP="001A371C">
      <w:pPr>
        <w:pStyle w:val="Dotpointlist"/>
        <w:rPr>
          <w:rFonts w:ascii="Times New Roman" w:hAnsi="Times New Roman" w:cs="Times New Roman"/>
        </w:rPr>
      </w:pPr>
      <w:r w:rsidRPr="006D2720">
        <w:rPr>
          <w:rFonts w:ascii="Times New Roman" w:hAnsi="Times New Roman" w:cs="Times New Roman"/>
        </w:rPr>
        <w:t xml:space="preserve">Part 4 (pages </w:t>
      </w:r>
      <w:r w:rsidRPr="006D2720">
        <w:rPr>
          <w:rFonts w:ascii="Times New Roman" w:hAnsi="Times New Roman" w:cs="Times New Roman"/>
        </w:rPr>
        <w:fldChar w:fldCharType="begin"/>
      </w:r>
      <w:r w:rsidRPr="006D2720">
        <w:rPr>
          <w:rFonts w:ascii="Times New Roman" w:hAnsi="Times New Roman" w:cs="Times New Roman"/>
        </w:rPr>
        <w:instrText xml:space="preserve"> PAGEREF _Ref91583359 \h </w:instrText>
      </w:r>
      <w:r w:rsidRPr="006D2720">
        <w:rPr>
          <w:rFonts w:ascii="Times New Roman" w:hAnsi="Times New Roman" w:cs="Times New Roman"/>
        </w:rPr>
      </w:r>
      <w:r w:rsidRPr="006D2720">
        <w:rPr>
          <w:rFonts w:ascii="Times New Roman" w:hAnsi="Times New Roman" w:cs="Times New Roman"/>
        </w:rPr>
        <w:fldChar w:fldCharType="separate"/>
      </w:r>
      <w:r w:rsidR="00E66B60">
        <w:rPr>
          <w:rFonts w:ascii="Times New Roman" w:hAnsi="Times New Roman" w:cs="Times New Roman"/>
          <w:noProof/>
        </w:rPr>
        <w:t>52</w:t>
      </w:r>
      <w:r w:rsidRPr="006D2720">
        <w:rPr>
          <w:rFonts w:ascii="Times New Roman" w:hAnsi="Times New Roman" w:cs="Times New Roman"/>
        </w:rPr>
        <w:fldChar w:fldCharType="end"/>
      </w:r>
      <w:r w:rsidRPr="006D2720">
        <w:rPr>
          <w:rFonts w:ascii="Times New Roman" w:hAnsi="Times New Roman" w:cs="Times New Roman"/>
        </w:rPr>
        <w:t xml:space="preserve"> to</w:t>
      </w:r>
      <w:r w:rsidR="00613926" w:rsidRPr="006D2720">
        <w:rPr>
          <w:rFonts w:ascii="Times New Roman" w:hAnsi="Times New Roman" w:cs="Times New Roman"/>
        </w:rPr>
        <w:t xml:space="preserve"> </w:t>
      </w:r>
      <w:r w:rsidR="00613926" w:rsidRPr="006D2720">
        <w:rPr>
          <w:rFonts w:ascii="Times New Roman" w:hAnsi="Times New Roman" w:cs="Times New Roman"/>
        </w:rPr>
        <w:fldChar w:fldCharType="begin"/>
      </w:r>
      <w:r w:rsidR="00613926" w:rsidRPr="006D2720">
        <w:rPr>
          <w:rFonts w:ascii="Times New Roman" w:hAnsi="Times New Roman" w:cs="Times New Roman"/>
        </w:rPr>
        <w:instrText xml:space="preserve"> PAGEREF _Ref129273622 \h </w:instrText>
      </w:r>
      <w:r w:rsidR="00613926" w:rsidRPr="006D2720">
        <w:rPr>
          <w:rFonts w:ascii="Times New Roman" w:hAnsi="Times New Roman" w:cs="Times New Roman"/>
        </w:rPr>
      </w:r>
      <w:r w:rsidR="00613926" w:rsidRPr="006D2720">
        <w:rPr>
          <w:rFonts w:ascii="Times New Roman" w:hAnsi="Times New Roman" w:cs="Times New Roman"/>
        </w:rPr>
        <w:fldChar w:fldCharType="separate"/>
      </w:r>
      <w:r w:rsidR="00E66B60">
        <w:rPr>
          <w:rFonts w:ascii="Times New Roman" w:hAnsi="Times New Roman" w:cs="Times New Roman"/>
          <w:noProof/>
        </w:rPr>
        <w:t>66</w:t>
      </w:r>
      <w:r w:rsidR="00613926" w:rsidRPr="006D2720">
        <w:rPr>
          <w:rFonts w:ascii="Times New Roman" w:hAnsi="Times New Roman" w:cs="Times New Roman"/>
        </w:rPr>
        <w:fldChar w:fldCharType="end"/>
      </w:r>
      <w:r w:rsidRPr="006D2720">
        <w:rPr>
          <w:rFonts w:ascii="Times New Roman" w:hAnsi="Times New Roman" w:cs="Times New Roman"/>
        </w:rPr>
        <w:t>) broadens the scope beyond government-held information to consider various types of privacy protections under legislation, as well as case law. It discusses legislation regulating information in the context of health services; legislation regulating surveillance (by government or otherwise); criminal laws which create offences relating to stalking and harassment and to the sharing of intimate images; and non-legislative protections in the general law. Part 4 concludes by considering the introduction of a comprehensive civil remedy for interference with privacy and sets out questions about the appropriate model for law reform.</w:t>
      </w:r>
    </w:p>
    <w:p w14:paraId="4A7C5F1D" w14:textId="3459AB03" w:rsidR="00617E79" w:rsidRPr="006D2720" w:rsidRDefault="00617E79" w:rsidP="001A371C">
      <w:pPr>
        <w:pStyle w:val="Heading2"/>
        <w:numPr>
          <w:ilvl w:val="0"/>
          <w:numId w:val="0"/>
        </w:numPr>
        <w:ind w:left="578" w:hanging="578"/>
        <w:rPr>
          <w:rFonts w:ascii="Times New Roman" w:hAnsi="Times New Roman" w:cs="Times New Roman"/>
        </w:rPr>
      </w:pPr>
      <w:bookmarkStart w:id="9" w:name="_Toc130540416"/>
      <w:r w:rsidRPr="006D2720">
        <w:rPr>
          <w:rFonts w:ascii="Times New Roman" w:hAnsi="Times New Roman" w:cs="Times New Roman"/>
        </w:rPr>
        <w:t>Summary</w:t>
      </w:r>
      <w:bookmarkEnd w:id="0"/>
      <w:bookmarkEnd w:id="9"/>
    </w:p>
    <w:p w14:paraId="2059ABB6" w14:textId="6D65C7CC" w:rsidR="00617E79" w:rsidRPr="006D2720" w:rsidRDefault="00397B88" w:rsidP="00617E79">
      <w:pPr>
        <w:rPr>
          <w:rFonts w:ascii="Times New Roman" w:hAnsi="Times New Roman" w:cs="Times New Roman"/>
        </w:rPr>
      </w:pPr>
      <w:r w:rsidRPr="006D2720">
        <w:rPr>
          <w:rFonts w:ascii="Times New Roman" w:hAnsi="Times New Roman" w:cs="Times New Roman"/>
        </w:rPr>
        <w:t xml:space="preserve">This Issues </w:t>
      </w:r>
      <w:r w:rsidR="00E64031" w:rsidRPr="006D2720">
        <w:rPr>
          <w:rFonts w:ascii="Times New Roman" w:hAnsi="Times New Roman" w:cs="Times New Roman"/>
        </w:rPr>
        <w:t>Paper provides background, context, and considerations regarding privacy laws in Tasmania</w:t>
      </w:r>
      <w:r w:rsidR="00CC2150" w:rsidRPr="006D2720">
        <w:rPr>
          <w:rFonts w:ascii="Times New Roman" w:hAnsi="Times New Roman" w:cs="Times New Roman"/>
        </w:rPr>
        <w:t>. The aim is to</w:t>
      </w:r>
      <w:r w:rsidR="00E64031" w:rsidRPr="006D2720">
        <w:rPr>
          <w:rFonts w:ascii="Times New Roman" w:hAnsi="Times New Roman" w:cs="Times New Roman"/>
        </w:rPr>
        <w:t xml:space="preserve"> facilitate informed discussion about how privacy can best be legally protected</w:t>
      </w:r>
      <w:r w:rsidR="00CC2150" w:rsidRPr="006D2720">
        <w:rPr>
          <w:rFonts w:ascii="Times New Roman" w:hAnsi="Times New Roman" w:cs="Times New Roman"/>
        </w:rPr>
        <w:t xml:space="preserve">, </w:t>
      </w:r>
      <w:r w:rsidR="003B6A8F" w:rsidRPr="006D2720">
        <w:rPr>
          <w:rFonts w:ascii="Times New Roman" w:hAnsi="Times New Roman" w:cs="Times New Roman"/>
        </w:rPr>
        <w:t>given</w:t>
      </w:r>
      <w:r w:rsidR="001A5D6E" w:rsidRPr="006D2720">
        <w:rPr>
          <w:rFonts w:ascii="Times New Roman" w:hAnsi="Times New Roman" w:cs="Times New Roman"/>
        </w:rPr>
        <w:t xml:space="preserve"> </w:t>
      </w:r>
      <w:r w:rsidR="00225568" w:rsidRPr="006D2720">
        <w:rPr>
          <w:rFonts w:ascii="Times New Roman" w:hAnsi="Times New Roman" w:cs="Times New Roman"/>
        </w:rPr>
        <w:t xml:space="preserve">the </w:t>
      </w:r>
      <w:r w:rsidR="00CC2150" w:rsidRPr="006D2720">
        <w:rPr>
          <w:rFonts w:ascii="Times New Roman" w:hAnsi="Times New Roman" w:cs="Times New Roman"/>
        </w:rPr>
        <w:t>rapid advances</w:t>
      </w:r>
      <w:r w:rsidR="00225568" w:rsidRPr="006D2720">
        <w:rPr>
          <w:rFonts w:ascii="Times New Roman" w:hAnsi="Times New Roman" w:cs="Times New Roman"/>
        </w:rPr>
        <w:t xml:space="preserve"> </w:t>
      </w:r>
      <w:r w:rsidR="00CC2150" w:rsidRPr="006D2720">
        <w:rPr>
          <w:rFonts w:ascii="Times New Roman" w:hAnsi="Times New Roman" w:cs="Times New Roman"/>
        </w:rPr>
        <w:t xml:space="preserve">in information technology, changing community perceptions about the importance of privacy, and growing </w:t>
      </w:r>
      <w:r w:rsidR="00592F82" w:rsidRPr="006D2720">
        <w:rPr>
          <w:rFonts w:ascii="Times New Roman" w:hAnsi="Times New Roman" w:cs="Times New Roman"/>
        </w:rPr>
        <w:t xml:space="preserve">legislative regulation of various </w:t>
      </w:r>
      <w:r w:rsidR="0033318E" w:rsidRPr="006D2720">
        <w:rPr>
          <w:rFonts w:ascii="Times New Roman" w:hAnsi="Times New Roman" w:cs="Times New Roman"/>
        </w:rPr>
        <w:t>matters</w:t>
      </w:r>
      <w:r w:rsidR="00592F82" w:rsidRPr="006D2720">
        <w:rPr>
          <w:rFonts w:ascii="Times New Roman" w:hAnsi="Times New Roman" w:cs="Times New Roman"/>
        </w:rPr>
        <w:t xml:space="preserve">. </w:t>
      </w:r>
    </w:p>
    <w:p w14:paraId="26670B7C" w14:textId="390E49AF" w:rsidR="00534E43" w:rsidRPr="006D2720" w:rsidRDefault="006D4391" w:rsidP="004B3887">
      <w:pPr>
        <w:rPr>
          <w:rFonts w:ascii="Times New Roman" w:hAnsi="Times New Roman" w:cs="Times New Roman"/>
        </w:rPr>
      </w:pPr>
      <w:r w:rsidRPr="006D2720">
        <w:rPr>
          <w:rFonts w:ascii="Times New Roman" w:hAnsi="Times New Roman" w:cs="Times New Roman"/>
        </w:rPr>
        <w:t xml:space="preserve">The Paper </w:t>
      </w:r>
      <w:r w:rsidR="00CC2150" w:rsidRPr="006D2720">
        <w:rPr>
          <w:rFonts w:ascii="Times New Roman" w:hAnsi="Times New Roman" w:cs="Times New Roman"/>
        </w:rPr>
        <w:t xml:space="preserve">adopts a broad working definition </w:t>
      </w:r>
      <w:r w:rsidR="00C5584C" w:rsidRPr="006D2720">
        <w:rPr>
          <w:rFonts w:ascii="Times New Roman" w:hAnsi="Times New Roman" w:cs="Times New Roman"/>
        </w:rPr>
        <w:t xml:space="preserve">of </w:t>
      </w:r>
      <w:r w:rsidR="008B7895" w:rsidRPr="006D2720">
        <w:rPr>
          <w:rFonts w:ascii="Times New Roman" w:hAnsi="Times New Roman" w:cs="Times New Roman"/>
        </w:rPr>
        <w:t>privacy</w:t>
      </w:r>
      <w:r w:rsidR="00085400" w:rsidRPr="006D2720">
        <w:rPr>
          <w:rFonts w:ascii="Times New Roman" w:hAnsi="Times New Roman" w:cs="Times New Roman"/>
        </w:rPr>
        <w:t xml:space="preserve"> </w:t>
      </w:r>
      <w:r w:rsidR="00331072" w:rsidRPr="006D2720">
        <w:rPr>
          <w:rFonts w:ascii="Times New Roman" w:hAnsi="Times New Roman" w:cs="Times New Roman"/>
        </w:rPr>
        <w:t>(</w:t>
      </w:r>
      <w:r w:rsidR="00C31501" w:rsidRPr="006D2720">
        <w:rPr>
          <w:rFonts w:ascii="Times New Roman" w:hAnsi="Times New Roman" w:cs="Times New Roman"/>
        </w:rPr>
        <w:t>[</w:t>
      </w:r>
      <w:r w:rsidR="00534E43" w:rsidRPr="006D2720">
        <w:rPr>
          <w:rFonts w:ascii="Times New Roman" w:hAnsi="Times New Roman" w:cs="Times New Roman"/>
        </w:rPr>
        <w:fldChar w:fldCharType="begin"/>
      </w:r>
      <w:r w:rsidR="00534E43" w:rsidRPr="006D2720">
        <w:rPr>
          <w:rFonts w:ascii="Times New Roman" w:hAnsi="Times New Roman" w:cs="Times New Roman"/>
        </w:rPr>
        <w:instrText xml:space="preserve"> REF _Ref91775585 \r \h </w:instrText>
      </w:r>
      <w:r w:rsidR="00A660A0" w:rsidRPr="006D2720">
        <w:rPr>
          <w:rFonts w:ascii="Times New Roman" w:hAnsi="Times New Roman" w:cs="Times New Roman"/>
        </w:rPr>
        <w:instrText xml:space="preserve"> \* MERGEFORMAT </w:instrText>
      </w:r>
      <w:r w:rsidR="00534E43" w:rsidRPr="006D2720">
        <w:rPr>
          <w:rFonts w:ascii="Times New Roman" w:hAnsi="Times New Roman" w:cs="Times New Roman"/>
        </w:rPr>
      </w:r>
      <w:r w:rsidR="00534E43" w:rsidRPr="006D2720">
        <w:rPr>
          <w:rFonts w:ascii="Times New Roman" w:hAnsi="Times New Roman" w:cs="Times New Roman"/>
        </w:rPr>
        <w:fldChar w:fldCharType="separate"/>
      </w:r>
      <w:r w:rsidR="00E66B60">
        <w:rPr>
          <w:rFonts w:ascii="Times New Roman" w:hAnsi="Times New Roman" w:cs="Times New Roman"/>
        </w:rPr>
        <w:t>1.1.2</w:t>
      </w:r>
      <w:r w:rsidR="00534E43" w:rsidRPr="006D2720">
        <w:rPr>
          <w:rFonts w:ascii="Times New Roman" w:hAnsi="Times New Roman" w:cs="Times New Roman"/>
        </w:rPr>
        <w:fldChar w:fldCharType="end"/>
      </w:r>
      <w:r w:rsidR="00C31501" w:rsidRPr="006D2720">
        <w:rPr>
          <w:rFonts w:ascii="Times New Roman" w:hAnsi="Times New Roman" w:cs="Times New Roman"/>
        </w:rPr>
        <w:t>]</w:t>
      </w:r>
      <w:r w:rsidR="00331072" w:rsidRPr="006D2720">
        <w:rPr>
          <w:rFonts w:ascii="Times New Roman" w:hAnsi="Times New Roman" w:cs="Times New Roman"/>
        </w:rPr>
        <w:t xml:space="preserve">) </w:t>
      </w:r>
      <w:r w:rsidR="00085400" w:rsidRPr="006D2720">
        <w:rPr>
          <w:rFonts w:ascii="Times New Roman" w:hAnsi="Times New Roman" w:cs="Times New Roman"/>
        </w:rPr>
        <w:t xml:space="preserve">which covers </w:t>
      </w:r>
      <w:r w:rsidR="008B7895" w:rsidRPr="006D2720">
        <w:rPr>
          <w:rFonts w:ascii="Times New Roman" w:hAnsi="Times New Roman" w:cs="Times New Roman"/>
        </w:rPr>
        <w:t>the overlapping categories of</w:t>
      </w:r>
      <w:r w:rsidR="00534E43" w:rsidRPr="006D2720">
        <w:rPr>
          <w:rFonts w:ascii="Times New Roman" w:hAnsi="Times New Roman" w:cs="Times New Roman"/>
        </w:rPr>
        <w:t xml:space="preserve"> information privacy, privacy of communications, bodily privacy, and territorial privacy. </w:t>
      </w:r>
      <w:r w:rsidR="00F52B16" w:rsidRPr="006D2720">
        <w:rPr>
          <w:rFonts w:ascii="Times New Roman" w:hAnsi="Times New Roman" w:cs="Times New Roman"/>
        </w:rPr>
        <w:t>Bodily and territorial privacy</w:t>
      </w:r>
      <w:r w:rsidR="004B3887" w:rsidRPr="006D2720">
        <w:rPr>
          <w:rFonts w:ascii="Times New Roman" w:hAnsi="Times New Roman" w:cs="Times New Roman"/>
        </w:rPr>
        <w:t xml:space="preserve"> </w:t>
      </w:r>
      <w:r w:rsidR="00F52B16" w:rsidRPr="006D2720">
        <w:rPr>
          <w:rFonts w:ascii="Times New Roman" w:hAnsi="Times New Roman" w:cs="Times New Roman"/>
        </w:rPr>
        <w:t xml:space="preserve">are </w:t>
      </w:r>
      <w:r w:rsidR="004B3887" w:rsidRPr="006D2720">
        <w:rPr>
          <w:rFonts w:ascii="Times New Roman" w:hAnsi="Times New Roman" w:cs="Times New Roman"/>
        </w:rPr>
        <w:t>collectively known as ‘rights to seclusion</w:t>
      </w:r>
      <w:r w:rsidR="00A821A5" w:rsidRPr="006D2720">
        <w:rPr>
          <w:rFonts w:ascii="Times New Roman" w:hAnsi="Times New Roman" w:cs="Times New Roman"/>
        </w:rPr>
        <w:t>’</w:t>
      </w:r>
      <w:r w:rsidR="002E28A5" w:rsidRPr="006D2720">
        <w:rPr>
          <w:rFonts w:ascii="Times New Roman" w:hAnsi="Times New Roman" w:cs="Times New Roman"/>
        </w:rPr>
        <w:t xml:space="preserve">, which </w:t>
      </w:r>
      <w:r w:rsidR="002916B0" w:rsidRPr="006D2720">
        <w:rPr>
          <w:rFonts w:ascii="Times New Roman" w:hAnsi="Times New Roman" w:cs="Times New Roman"/>
        </w:rPr>
        <w:t xml:space="preserve">is the right to have </w:t>
      </w:r>
      <w:r w:rsidR="00916404" w:rsidRPr="006D2720">
        <w:rPr>
          <w:rFonts w:ascii="Times New Roman" w:hAnsi="Times New Roman" w:cs="Times New Roman"/>
        </w:rPr>
        <w:t>one’s</w:t>
      </w:r>
      <w:r w:rsidR="000446EB" w:rsidRPr="006D2720">
        <w:rPr>
          <w:rFonts w:ascii="Times New Roman" w:hAnsi="Times New Roman" w:cs="Times New Roman"/>
        </w:rPr>
        <w:t xml:space="preserve"> physical sel</w:t>
      </w:r>
      <w:r w:rsidR="00916404" w:rsidRPr="006D2720">
        <w:rPr>
          <w:rFonts w:ascii="Times New Roman" w:hAnsi="Times New Roman" w:cs="Times New Roman"/>
        </w:rPr>
        <w:t xml:space="preserve">f </w:t>
      </w:r>
      <w:r w:rsidR="000446EB" w:rsidRPr="006D2720">
        <w:rPr>
          <w:rFonts w:ascii="Times New Roman" w:hAnsi="Times New Roman" w:cs="Times New Roman"/>
        </w:rPr>
        <w:t xml:space="preserve">and </w:t>
      </w:r>
      <w:r w:rsidR="007F2777" w:rsidRPr="006D2720">
        <w:rPr>
          <w:rFonts w:ascii="Times New Roman" w:hAnsi="Times New Roman" w:cs="Times New Roman"/>
        </w:rPr>
        <w:t xml:space="preserve">one’s </w:t>
      </w:r>
      <w:r w:rsidR="000446EB" w:rsidRPr="006D2720">
        <w:rPr>
          <w:rFonts w:ascii="Times New Roman" w:hAnsi="Times New Roman" w:cs="Times New Roman"/>
        </w:rPr>
        <w:t>environment</w:t>
      </w:r>
      <w:r w:rsidR="003079F9" w:rsidRPr="006D2720">
        <w:rPr>
          <w:rFonts w:ascii="Times New Roman" w:hAnsi="Times New Roman" w:cs="Times New Roman"/>
        </w:rPr>
        <w:t xml:space="preserve"> </w:t>
      </w:r>
      <w:r w:rsidR="002916B0" w:rsidRPr="006D2720">
        <w:rPr>
          <w:rFonts w:ascii="Times New Roman" w:hAnsi="Times New Roman" w:cs="Times New Roman"/>
        </w:rPr>
        <w:t xml:space="preserve">free from </w:t>
      </w:r>
      <w:r w:rsidR="003079F9" w:rsidRPr="006D2720">
        <w:rPr>
          <w:rFonts w:ascii="Times New Roman" w:hAnsi="Times New Roman" w:cs="Times New Roman"/>
        </w:rPr>
        <w:t xml:space="preserve">intrusion. </w:t>
      </w:r>
    </w:p>
    <w:p w14:paraId="4A750C85" w14:textId="5EDE7F25" w:rsidR="00AB5E8F" w:rsidRPr="006D2720" w:rsidRDefault="008C632D" w:rsidP="00617E79">
      <w:pPr>
        <w:rPr>
          <w:rFonts w:ascii="Times New Roman" w:hAnsi="Times New Roman" w:cs="Times New Roman"/>
          <w:iCs/>
        </w:rPr>
      </w:pPr>
      <w:r w:rsidRPr="006D2720">
        <w:rPr>
          <w:rFonts w:ascii="Times New Roman" w:hAnsi="Times New Roman" w:cs="Times New Roman"/>
        </w:rPr>
        <w:t>Currently</w:t>
      </w:r>
      <w:r w:rsidR="00EE3BB1" w:rsidRPr="006D2720">
        <w:rPr>
          <w:rFonts w:ascii="Times New Roman" w:hAnsi="Times New Roman" w:cs="Times New Roman"/>
        </w:rPr>
        <w:t>, t</w:t>
      </w:r>
      <w:r w:rsidR="00F17EDA" w:rsidRPr="006D2720">
        <w:rPr>
          <w:rFonts w:ascii="Times New Roman" w:hAnsi="Times New Roman" w:cs="Times New Roman"/>
        </w:rPr>
        <w:t xml:space="preserve">here is no comprehensive </w:t>
      </w:r>
      <w:r w:rsidR="003C56B9" w:rsidRPr="006D2720">
        <w:rPr>
          <w:rFonts w:ascii="Times New Roman" w:hAnsi="Times New Roman" w:cs="Times New Roman"/>
        </w:rPr>
        <w:t>privacy regulation in Tasmania</w:t>
      </w:r>
      <w:r w:rsidR="00AD45C9" w:rsidRPr="006D2720">
        <w:rPr>
          <w:rFonts w:ascii="Times New Roman" w:hAnsi="Times New Roman" w:cs="Times New Roman"/>
        </w:rPr>
        <w:t>.</w:t>
      </w:r>
      <w:r w:rsidR="000E45B8" w:rsidRPr="006D2720">
        <w:rPr>
          <w:rFonts w:ascii="Times New Roman" w:hAnsi="Times New Roman" w:cs="Times New Roman"/>
        </w:rPr>
        <w:t xml:space="preserve"> </w:t>
      </w:r>
      <w:r w:rsidR="00AD45C9" w:rsidRPr="006D2720">
        <w:rPr>
          <w:rFonts w:ascii="Times New Roman" w:hAnsi="Times New Roman" w:cs="Times New Roman"/>
        </w:rPr>
        <w:t xml:space="preserve">Rather, privacy protection is fragmented across different laws that protect different types of privacy in different specific circumstances </w:t>
      </w:r>
      <w:r w:rsidR="000E45B8" w:rsidRPr="006D2720">
        <w:rPr>
          <w:rFonts w:ascii="Times New Roman" w:hAnsi="Times New Roman" w:cs="Times New Roman"/>
        </w:rPr>
        <w:t>(</w:t>
      </w:r>
      <w:r w:rsidR="001A2B13" w:rsidRPr="006D2720">
        <w:rPr>
          <w:rFonts w:ascii="Times New Roman" w:hAnsi="Times New Roman" w:cs="Times New Roman"/>
        </w:rPr>
        <w:t>[</w:t>
      </w:r>
      <w:r w:rsidR="003A5009" w:rsidRPr="006D2720">
        <w:rPr>
          <w:rFonts w:ascii="Times New Roman" w:hAnsi="Times New Roman" w:cs="Times New Roman"/>
        </w:rPr>
        <w:fldChar w:fldCharType="begin"/>
      </w:r>
      <w:r w:rsidR="003A5009" w:rsidRPr="006D2720">
        <w:rPr>
          <w:rFonts w:ascii="Times New Roman" w:hAnsi="Times New Roman" w:cs="Times New Roman"/>
        </w:rPr>
        <w:instrText xml:space="preserve"> REF _Ref91776009 \r \h </w:instrText>
      </w:r>
      <w:r w:rsidR="00A660A0" w:rsidRPr="006D2720">
        <w:rPr>
          <w:rFonts w:ascii="Times New Roman" w:hAnsi="Times New Roman" w:cs="Times New Roman"/>
        </w:rPr>
        <w:instrText xml:space="preserve"> \* MERGEFORMAT </w:instrText>
      </w:r>
      <w:r w:rsidR="003A5009" w:rsidRPr="006D2720">
        <w:rPr>
          <w:rFonts w:ascii="Times New Roman" w:hAnsi="Times New Roman" w:cs="Times New Roman"/>
        </w:rPr>
      </w:r>
      <w:r w:rsidR="003A5009" w:rsidRPr="006D2720">
        <w:rPr>
          <w:rFonts w:ascii="Times New Roman" w:hAnsi="Times New Roman" w:cs="Times New Roman"/>
        </w:rPr>
        <w:fldChar w:fldCharType="separate"/>
      </w:r>
      <w:r w:rsidR="00E66B60">
        <w:rPr>
          <w:rFonts w:ascii="Times New Roman" w:hAnsi="Times New Roman" w:cs="Times New Roman"/>
        </w:rPr>
        <w:t>1.2</w:t>
      </w:r>
      <w:r w:rsidR="003A5009" w:rsidRPr="006D2720">
        <w:rPr>
          <w:rFonts w:ascii="Times New Roman" w:hAnsi="Times New Roman" w:cs="Times New Roman"/>
        </w:rPr>
        <w:fldChar w:fldCharType="end"/>
      </w:r>
      <w:r w:rsidR="001A2B13" w:rsidRPr="006D2720">
        <w:rPr>
          <w:rFonts w:ascii="Times New Roman" w:hAnsi="Times New Roman" w:cs="Times New Roman"/>
        </w:rPr>
        <w:t>]</w:t>
      </w:r>
      <w:r w:rsidR="000E45B8" w:rsidRPr="006D2720">
        <w:rPr>
          <w:rFonts w:ascii="Times New Roman" w:hAnsi="Times New Roman" w:cs="Times New Roman"/>
        </w:rPr>
        <w:t>)</w:t>
      </w:r>
      <w:r w:rsidR="00EE27DF" w:rsidRPr="006D2720">
        <w:rPr>
          <w:rFonts w:ascii="Times New Roman" w:hAnsi="Times New Roman" w:cs="Times New Roman"/>
        </w:rPr>
        <w:t>.</w:t>
      </w:r>
      <w:r w:rsidR="00EE3BB1" w:rsidRPr="006D2720">
        <w:rPr>
          <w:rFonts w:ascii="Times New Roman" w:hAnsi="Times New Roman" w:cs="Times New Roman"/>
        </w:rPr>
        <w:t xml:space="preserve"> </w:t>
      </w:r>
      <w:r w:rsidR="00D212AB" w:rsidRPr="006D2720">
        <w:rPr>
          <w:rFonts w:ascii="Times New Roman" w:hAnsi="Times New Roman" w:cs="Times New Roman"/>
        </w:rPr>
        <w:t>D</w:t>
      </w:r>
      <w:r w:rsidR="002D24B5" w:rsidRPr="006D2720">
        <w:rPr>
          <w:rFonts w:ascii="Times New Roman" w:hAnsi="Times New Roman" w:cs="Times New Roman"/>
        </w:rPr>
        <w:t>ifferent legislation</w:t>
      </w:r>
      <w:r w:rsidR="004600DC" w:rsidRPr="006D2720">
        <w:rPr>
          <w:rFonts w:ascii="Times New Roman" w:hAnsi="Times New Roman" w:cs="Times New Roman"/>
        </w:rPr>
        <w:t xml:space="preserve"> </w:t>
      </w:r>
      <w:r w:rsidR="00830339" w:rsidRPr="006D2720">
        <w:rPr>
          <w:rFonts w:ascii="Times New Roman" w:hAnsi="Times New Roman" w:cs="Times New Roman"/>
        </w:rPr>
        <w:t>may</w:t>
      </w:r>
      <w:r w:rsidR="002D24B5" w:rsidRPr="006D2720">
        <w:rPr>
          <w:rFonts w:ascii="Times New Roman" w:hAnsi="Times New Roman" w:cs="Times New Roman"/>
        </w:rPr>
        <w:t xml:space="preserve"> interact </w:t>
      </w:r>
      <w:r w:rsidR="001E4A40" w:rsidRPr="006D2720">
        <w:rPr>
          <w:rFonts w:ascii="Times New Roman" w:hAnsi="Times New Roman" w:cs="Times New Roman"/>
        </w:rPr>
        <w:t>to</w:t>
      </w:r>
      <w:r w:rsidR="00CC7D16" w:rsidRPr="006D2720">
        <w:rPr>
          <w:rFonts w:ascii="Times New Roman" w:hAnsi="Times New Roman" w:cs="Times New Roman"/>
        </w:rPr>
        <w:t xml:space="preserve"> affect privacy</w:t>
      </w:r>
      <w:r w:rsidR="00C37C98" w:rsidRPr="006D2720">
        <w:rPr>
          <w:rFonts w:ascii="Times New Roman" w:hAnsi="Times New Roman" w:cs="Times New Roman"/>
        </w:rPr>
        <w:t xml:space="preserve"> protections</w:t>
      </w:r>
      <w:r w:rsidR="00CC7D16" w:rsidRPr="006D2720">
        <w:rPr>
          <w:rFonts w:ascii="Times New Roman" w:hAnsi="Times New Roman" w:cs="Times New Roman"/>
        </w:rPr>
        <w:t xml:space="preserve"> </w:t>
      </w:r>
      <w:r w:rsidR="00660A78" w:rsidRPr="006D2720">
        <w:rPr>
          <w:rFonts w:ascii="Times New Roman" w:hAnsi="Times New Roman" w:cs="Times New Roman"/>
        </w:rPr>
        <w:t xml:space="preserve">(Part </w:t>
      </w:r>
      <w:r w:rsidR="005A78EC" w:rsidRPr="006D2720">
        <w:rPr>
          <w:rFonts w:ascii="Times New Roman" w:hAnsi="Times New Roman" w:cs="Times New Roman"/>
        </w:rPr>
        <w:fldChar w:fldCharType="begin"/>
      </w:r>
      <w:r w:rsidR="005A78EC" w:rsidRPr="006D2720">
        <w:rPr>
          <w:rFonts w:ascii="Times New Roman" w:hAnsi="Times New Roman" w:cs="Times New Roman"/>
        </w:rPr>
        <w:instrText xml:space="preserve"> REF _Ref91825727 \r \h </w:instrText>
      </w:r>
      <w:r w:rsidR="00A660A0" w:rsidRPr="006D2720">
        <w:rPr>
          <w:rFonts w:ascii="Times New Roman" w:hAnsi="Times New Roman" w:cs="Times New Roman"/>
        </w:rPr>
        <w:instrText xml:space="preserve"> \* MERGEFORMAT </w:instrText>
      </w:r>
      <w:r w:rsidR="005A78EC" w:rsidRPr="006D2720">
        <w:rPr>
          <w:rFonts w:ascii="Times New Roman" w:hAnsi="Times New Roman" w:cs="Times New Roman"/>
        </w:rPr>
      </w:r>
      <w:r w:rsidR="005A78EC" w:rsidRPr="006D2720">
        <w:rPr>
          <w:rFonts w:ascii="Times New Roman" w:hAnsi="Times New Roman" w:cs="Times New Roman"/>
        </w:rPr>
        <w:fldChar w:fldCharType="separate"/>
      </w:r>
      <w:r w:rsidR="00E66B60">
        <w:rPr>
          <w:rFonts w:ascii="Times New Roman" w:hAnsi="Times New Roman" w:cs="Times New Roman"/>
        </w:rPr>
        <w:t>3</w:t>
      </w:r>
      <w:r w:rsidR="005A78EC" w:rsidRPr="006D2720">
        <w:rPr>
          <w:rFonts w:ascii="Times New Roman" w:hAnsi="Times New Roman" w:cs="Times New Roman"/>
        </w:rPr>
        <w:fldChar w:fldCharType="end"/>
      </w:r>
      <w:r w:rsidR="005A78EC" w:rsidRPr="006D2720">
        <w:rPr>
          <w:rFonts w:ascii="Times New Roman" w:hAnsi="Times New Roman" w:cs="Times New Roman"/>
        </w:rPr>
        <w:t>)</w:t>
      </w:r>
      <w:r w:rsidR="007343B8" w:rsidRPr="006D2720">
        <w:rPr>
          <w:rFonts w:ascii="Times New Roman" w:hAnsi="Times New Roman" w:cs="Times New Roman"/>
        </w:rPr>
        <w:t>.</w:t>
      </w:r>
      <w:r w:rsidR="00431460" w:rsidRPr="006D2720">
        <w:rPr>
          <w:rFonts w:ascii="Times New Roman" w:hAnsi="Times New Roman" w:cs="Times New Roman"/>
        </w:rPr>
        <w:t xml:space="preserve"> </w:t>
      </w:r>
      <w:r w:rsidR="007343B8" w:rsidRPr="006D2720">
        <w:rPr>
          <w:rFonts w:ascii="Times New Roman" w:hAnsi="Times New Roman" w:cs="Times New Roman"/>
        </w:rPr>
        <w:t>T</w:t>
      </w:r>
      <w:r w:rsidR="001558EF" w:rsidRPr="006D2720">
        <w:rPr>
          <w:rFonts w:ascii="Times New Roman" w:hAnsi="Times New Roman" w:cs="Times New Roman"/>
        </w:rPr>
        <w:t xml:space="preserve">he applicability of </w:t>
      </w:r>
      <w:r w:rsidR="007E1374" w:rsidRPr="006D2720">
        <w:rPr>
          <w:rFonts w:ascii="Times New Roman" w:hAnsi="Times New Roman" w:cs="Times New Roman"/>
        </w:rPr>
        <w:t xml:space="preserve">regulations at the </w:t>
      </w:r>
      <w:r w:rsidR="003F4BBD" w:rsidRPr="006D2720">
        <w:rPr>
          <w:rFonts w:ascii="Times New Roman" w:hAnsi="Times New Roman" w:cs="Times New Roman"/>
        </w:rPr>
        <w:t xml:space="preserve">Australian federal </w:t>
      </w:r>
      <w:r w:rsidR="007343B8" w:rsidRPr="006D2720">
        <w:rPr>
          <w:rFonts w:ascii="Times New Roman" w:hAnsi="Times New Roman" w:cs="Times New Roman"/>
        </w:rPr>
        <w:t xml:space="preserve">level </w:t>
      </w:r>
      <w:r w:rsidR="004D72A8" w:rsidRPr="006D2720">
        <w:rPr>
          <w:rFonts w:ascii="Times New Roman" w:hAnsi="Times New Roman" w:cs="Times New Roman"/>
        </w:rPr>
        <w:t xml:space="preserve">under the </w:t>
      </w:r>
      <w:r w:rsidR="007E1374" w:rsidRPr="006D2720">
        <w:rPr>
          <w:rFonts w:ascii="Times New Roman" w:hAnsi="Times New Roman" w:cs="Times New Roman"/>
          <w:iCs/>
        </w:rPr>
        <w:t>Privacy Act</w:t>
      </w:r>
      <w:r w:rsidR="007E1374" w:rsidRPr="006D2720">
        <w:rPr>
          <w:rFonts w:ascii="Times New Roman" w:hAnsi="Times New Roman" w:cs="Times New Roman"/>
          <w:i/>
        </w:rPr>
        <w:t xml:space="preserve"> </w:t>
      </w:r>
      <w:r w:rsidR="007E1374" w:rsidRPr="006D2720">
        <w:rPr>
          <w:rFonts w:ascii="Times New Roman" w:hAnsi="Times New Roman" w:cs="Times New Roman"/>
          <w:iCs/>
        </w:rPr>
        <w:t xml:space="preserve">and </w:t>
      </w:r>
      <w:r w:rsidR="007343B8" w:rsidRPr="006D2720">
        <w:rPr>
          <w:rFonts w:ascii="Times New Roman" w:hAnsi="Times New Roman" w:cs="Times New Roman"/>
          <w:iCs/>
        </w:rPr>
        <w:t xml:space="preserve">the </w:t>
      </w:r>
      <w:r w:rsidR="007E1374" w:rsidRPr="006D2720">
        <w:rPr>
          <w:rFonts w:ascii="Times New Roman" w:hAnsi="Times New Roman" w:cs="Times New Roman"/>
          <w:iCs/>
        </w:rPr>
        <w:t xml:space="preserve">international </w:t>
      </w:r>
      <w:r w:rsidR="007A622D" w:rsidRPr="006D2720">
        <w:rPr>
          <w:rFonts w:ascii="Times New Roman" w:hAnsi="Times New Roman" w:cs="Times New Roman"/>
          <w:iCs/>
        </w:rPr>
        <w:t>level</w:t>
      </w:r>
      <w:r w:rsidR="004D72A8" w:rsidRPr="006D2720">
        <w:rPr>
          <w:rFonts w:ascii="Times New Roman" w:hAnsi="Times New Roman" w:cs="Times New Roman"/>
          <w:iCs/>
        </w:rPr>
        <w:t xml:space="preserve">, for example under </w:t>
      </w:r>
      <w:r w:rsidR="007E1374" w:rsidRPr="006D2720">
        <w:rPr>
          <w:rFonts w:ascii="Times New Roman" w:hAnsi="Times New Roman" w:cs="Times New Roman"/>
          <w:iCs/>
        </w:rPr>
        <w:t xml:space="preserve">the European Union’s </w:t>
      </w:r>
      <w:r w:rsidR="00FF21B8" w:rsidRPr="006D2720">
        <w:rPr>
          <w:rFonts w:ascii="Times New Roman" w:hAnsi="Times New Roman" w:cs="Times New Roman"/>
          <w:i/>
        </w:rPr>
        <w:t>General Data Protection Regulation</w:t>
      </w:r>
      <w:r w:rsidR="004D72A8" w:rsidRPr="006D2720">
        <w:rPr>
          <w:rFonts w:ascii="Times New Roman" w:hAnsi="Times New Roman" w:cs="Times New Roman"/>
          <w:iCs/>
        </w:rPr>
        <w:t xml:space="preserve"> </w:t>
      </w:r>
      <w:r w:rsidR="004D72A8" w:rsidRPr="006D2720">
        <w:rPr>
          <w:rFonts w:ascii="Times New Roman" w:hAnsi="Times New Roman" w:cs="Times New Roman"/>
          <w:i/>
          <w:iCs/>
        </w:rPr>
        <w:t>2016/679</w:t>
      </w:r>
      <w:r w:rsidR="004D72A8" w:rsidRPr="006D2720">
        <w:rPr>
          <w:rFonts w:ascii="Times New Roman" w:hAnsi="Times New Roman" w:cs="Times New Roman"/>
          <w:iCs/>
        </w:rPr>
        <w:t xml:space="preserve"> (‘GDPR’), </w:t>
      </w:r>
      <w:r w:rsidR="001558EF" w:rsidRPr="006D2720">
        <w:rPr>
          <w:rFonts w:ascii="Times New Roman" w:hAnsi="Times New Roman" w:cs="Times New Roman"/>
          <w:iCs/>
        </w:rPr>
        <w:t xml:space="preserve">create further </w:t>
      </w:r>
      <w:r w:rsidR="00905DBC" w:rsidRPr="006D2720">
        <w:rPr>
          <w:rFonts w:ascii="Times New Roman" w:hAnsi="Times New Roman" w:cs="Times New Roman"/>
          <w:iCs/>
        </w:rPr>
        <w:t>complexity</w:t>
      </w:r>
      <w:r w:rsidR="008F6A73" w:rsidRPr="006D2720">
        <w:rPr>
          <w:rFonts w:ascii="Times New Roman" w:hAnsi="Times New Roman" w:cs="Times New Roman"/>
          <w:iCs/>
        </w:rPr>
        <w:t xml:space="preserve"> in the landscape of privacy protection.</w:t>
      </w:r>
    </w:p>
    <w:p w14:paraId="45A3AC2B" w14:textId="5E00DEF3" w:rsidR="00B4054C" w:rsidRPr="006D2720" w:rsidRDefault="005265E4" w:rsidP="009C568C">
      <w:pPr>
        <w:rPr>
          <w:rFonts w:ascii="Times New Roman" w:hAnsi="Times New Roman" w:cs="Times New Roman"/>
        </w:rPr>
      </w:pPr>
      <w:r w:rsidRPr="006D2720">
        <w:rPr>
          <w:rFonts w:ascii="Times New Roman" w:hAnsi="Times New Roman" w:cs="Times New Roman"/>
        </w:rPr>
        <w:t>The primary</w:t>
      </w:r>
      <w:r w:rsidR="008A545D" w:rsidRPr="006D2720">
        <w:rPr>
          <w:rFonts w:ascii="Times New Roman" w:hAnsi="Times New Roman" w:cs="Times New Roman"/>
        </w:rPr>
        <w:t xml:space="preserve"> privacy</w:t>
      </w:r>
      <w:r w:rsidRPr="006D2720">
        <w:rPr>
          <w:rFonts w:ascii="Times New Roman" w:hAnsi="Times New Roman" w:cs="Times New Roman"/>
        </w:rPr>
        <w:t xml:space="preserve"> framework in Tasmania is the </w:t>
      </w:r>
      <w:r w:rsidRPr="006D2720">
        <w:rPr>
          <w:rFonts w:ascii="Times New Roman" w:hAnsi="Times New Roman" w:cs="Times New Roman"/>
          <w:i/>
          <w:iCs/>
        </w:rPr>
        <w:t xml:space="preserve">Personal Information Protection Act 2004 </w:t>
      </w:r>
      <w:r w:rsidRPr="006D2720">
        <w:rPr>
          <w:rFonts w:ascii="Times New Roman" w:hAnsi="Times New Roman" w:cs="Times New Roman"/>
        </w:rPr>
        <w:t xml:space="preserve">(Tas) </w:t>
      </w:r>
      <w:r w:rsidR="00BC5E2E" w:rsidRPr="006D2720">
        <w:rPr>
          <w:rFonts w:ascii="Times New Roman" w:hAnsi="Times New Roman" w:cs="Times New Roman"/>
        </w:rPr>
        <w:t xml:space="preserve">(‘PIPA’) </w:t>
      </w:r>
      <w:r w:rsidRPr="006D2720">
        <w:rPr>
          <w:rFonts w:ascii="Times New Roman" w:hAnsi="Times New Roman" w:cs="Times New Roman"/>
        </w:rPr>
        <w:t xml:space="preserve">which </w:t>
      </w:r>
      <w:r w:rsidR="00EE7509" w:rsidRPr="006D2720">
        <w:rPr>
          <w:rFonts w:ascii="Times New Roman" w:hAnsi="Times New Roman" w:cs="Times New Roman"/>
        </w:rPr>
        <w:t>binds government agencies and their contractors</w:t>
      </w:r>
      <w:r w:rsidR="00E237A3" w:rsidRPr="006D2720">
        <w:rPr>
          <w:rFonts w:ascii="Times New Roman" w:hAnsi="Times New Roman" w:cs="Times New Roman"/>
        </w:rPr>
        <w:t>.</w:t>
      </w:r>
      <w:r w:rsidR="00EE7509" w:rsidRPr="006D2720">
        <w:rPr>
          <w:rFonts w:ascii="Times New Roman" w:hAnsi="Times New Roman" w:cs="Times New Roman"/>
        </w:rPr>
        <w:t xml:space="preserve"> </w:t>
      </w:r>
      <w:r w:rsidR="00E237A3" w:rsidRPr="006D2720">
        <w:rPr>
          <w:rFonts w:ascii="Times New Roman" w:hAnsi="Times New Roman" w:cs="Times New Roman"/>
        </w:rPr>
        <w:t xml:space="preserve">It </w:t>
      </w:r>
      <w:r w:rsidRPr="006D2720">
        <w:rPr>
          <w:rFonts w:ascii="Times New Roman" w:hAnsi="Times New Roman" w:cs="Times New Roman"/>
        </w:rPr>
        <w:t xml:space="preserve">protects </w:t>
      </w:r>
      <w:r w:rsidR="002C3D94" w:rsidRPr="006D2720">
        <w:rPr>
          <w:rFonts w:ascii="Times New Roman" w:hAnsi="Times New Roman" w:cs="Times New Roman"/>
        </w:rPr>
        <w:t xml:space="preserve">the </w:t>
      </w:r>
      <w:r w:rsidRPr="006D2720">
        <w:rPr>
          <w:rFonts w:ascii="Times New Roman" w:hAnsi="Times New Roman" w:cs="Times New Roman"/>
        </w:rPr>
        <w:t>information privacy of government-held information</w:t>
      </w:r>
      <w:r w:rsidR="00EE3D81" w:rsidRPr="006D2720">
        <w:rPr>
          <w:rFonts w:ascii="Times New Roman" w:hAnsi="Times New Roman" w:cs="Times New Roman"/>
        </w:rPr>
        <w:t xml:space="preserve">, primarily through </w:t>
      </w:r>
      <w:r w:rsidR="00BA19D9" w:rsidRPr="006D2720">
        <w:rPr>
          <w:rFonts w:ascii="Times New Roman" w:hAnsi="Times New Roman" w:cs="Times New Roman"/>
        </w:rPr>
        <w:t>prescribing</w:t>
      </w:r>
      <w:r w:rsidR="00EE3D81" w:rsidRPr="006D2720">
        <w:rPr>
          <w:rFonts w:ascii="Times New Roman" w:hAnsi="Times New Roman" w:cs="Times New Roman"/>
        </w:rPr>
        <w:t xml:space="preserve"> </w:t>
      </w:r>
      <w:r w:rsidR="00E111EA" w:rsidRPr="006D2720">
        <w:rPr>
          <w:rFonts w:ascii="Times New Roman" w:hAnsi="Times New Roman" w:cs="Times New Roman"/>
        </w:rPr>
        <w:t>ten</w:t>
      </w:r>
      <w:r w:rsidR="00EE3D81" w:rsidRPr="006D2720">
        <w:rPr>
          <w:rFonts w:ascii="Times New Roman" w:hAnsi="Times New Roman" w:cs="Times New Roman"/>
        </w:rPr>
        <w:t xml:space="preserve"> ‘Personal Information Protection Principles’ </w:t>
      </w:r>
      <w:r w:rsidR="003734A4" w:rsidRPr="006D2720">
        <w:rPr>
          <w:rFonts w:ascii="Times New Roman" w:hAnsi="Times New Roman" w:cs="Times New Roman"/>
        </w:rPr>
        <w:t xml:space="preserve">by which the entities must abide. </w:t>
      </w:r>
      <w:r w:rsidR="001809B5" w:rsidRPr="006D2720">
        <w:rPr>
          <w:rFonts w:ascii="Times New Roman" w:hAnsi="Times New Roman" w:cs="Times New Roman"/>
        </w:rPr>
        <w:t xml:space="preserve">While a detailed </w:t>
      </w:r>
      <w:r w:rsidR="00D8332D" w:rsidRPr="006D2720">
        <w:rPr>
          <w:rFonts w:ascii="Times New Roman" w:hAnsi="Times New Roman" w:cs="Times New Roman"/>
        </w:rPr>
        <w:t xml:space="preserve">piece of </w:t>
      </w:r>
      <w:r w:rsidR="001809B5" w:rsidRPr="006D2720">
        <w:rPr>
          <w:rFonts w:ascii="Times New Roman" w:hAnsi="Times New Roman" w:cs="Times New Roman"/>
        </w:rPr>
        <w:t xml:space="preserve">legislation, </w:t>
      </w:r>
      <w:r w:rsidR="00C47CDD" w:rsidRPr="006D2720">
        <w:rPr>
          <w:rFonts w:ascii="Times New Roman" w:hAnsi="Times New Roman" w:cs="Times New Roman"/>
        </w:rPr>
        <w:t xml:space="preserve">there are multiple gaps in its scope, operation, and enforcement </w:t>
      </w:r>
      <w:r w:rsidR="00374110" w:rsidRPr="006D2720">
        <w:rPr>
          <w:rFonts w:ascii="Times New Roman" w:hAnsi="Times New Roman" w:cs="Times New Roman"/>
        </w:rPr>
        <w:t>that can jeopardise privacy.</w:t>
      </w:r>
    </w:p>
    <w:p w14:paraId="195A57F9" w14:textId="0767B124" w:rsidR="00F53ACD" w:rsidRPr="006D2720" w:rsidRDefault="00B63F94" w:rsidP="009C568C">
      <w:pPr>
        <w:rPr>
          <w:rFonts w:ascii="Times New Roman" w:hAnsi="Times New Roman" w:cs="Times New Roman"/>
        </w:rPr>
      </w:pPr>
      <w:r w:rsidRPr="006D2720">
        <w:rPr>
          <w:rFonts w:ascii="Times New Roman" w:hAnsi="Times New Roman" w:cs="Times New Roman"/>
        </w:rPr>
        <w:t>Regarding scope, f</w:t>
      </w:r>
      <w:r w:rsidR="004A61C0" w:rsidRPr="006D2720">
        <w:rPr>
          <w:rFonts w:ascii="Times New Roman" w:hAnsi="Times New Roman" w:cs="Times New Roman"/>
        </w:rPr>
        <w:t>or</w:t>
      </w:r>
      <w:r w:rsidR="00102953" w:rsidRPr="006D2720">
        <w:rPr>
          <w:rFonts w:ascii="Times New Roman" w:hAnsi="Times New Roman" w:cs="Times New Roman"/>
        </w:rPr>
        <w:t xml:space="preserve"> example</w:t>
      </w:r>
      <w:r w:rsidR="00244420" w:rsidRPr="006D2720">
        <w:rPr>
          <w:rFonts w:ascii="Times New Roman" w:hAnsi="Times New Roman" w:cs="Times New Roman"/>
        </w:rPr>
        <w:t xml:space="preserve">, </w:t>
      </w:r>
      <w:r w:rsidR="00021F8F" w:rsidRPr="006D2720">
        <w:rPr>
          <w:rFonts w:ascii="Times New Roman" w:hAnsi="Times New Roman" w:cs="Times New Roman"/>
        </w:rPr>
        <w:t>the PIPA</w:t>
      </w:r>
      <w:r w:rsidR="00154EDA" w:rsidRPr="006D2720">
        <w:rPr>
          <w:rFonts w:ascii="Times New Roman" w:hAnsi="Times New Roman" w:cs="Times New Roman"/>
        </w:rPr>
        <w:t xml:space="preserve"> does not cover non-government organisations such as for-profit businesses</w:t>
      </w:r>
      <w:r w:rsidR="006D6C2E" w:rsidRPr="006D2720">
        <w:rPr>
          <w:rFonts w:ascii="Times New Roman" w:hAnsi="Times New Roman" w:cs="Times New Roman"/>
        </w:rPr>
        <w:t xml:space="preserve"> (</w:t>
      </w:r>
      <w:r w:rsidR="00415AF0" w:rsidRPr="006D2720">
        <w:rPr>
          <w:rFonts w:ascii="Times New Roman" w:hAnsi="Times New Roman" w:cs="Times New Roman"/>
        </w:rPr>
        <w:t>[</w:t>
      </w:r>
      <w:r w:rsidR="00415AF0" w:rsidRPr="006D2720">
        <w:rPr>
          <w:rFonts w:ascii="Times New Roman" w:hAnsi="Times New Roman" w:cs="Times New Roman"/>
        </w:rPr>
        <w:softHyphen/>
      </w:r>
      <w:r w:rsidR="00415AF0" w:rsidRPr="006D2720">
        <w:rPr>
          <w:rFonts w:ascii="Times New Roman" w:hAnsi="Times New Roman" w:cs="Times New Roman"/>
        </w:rPr>
        <w:fldChar w:fldCharType="begin"/>
      </w:r>
      <w:r w:rsidR="00415AF0" w:rsidRPr="006D2720">
        <w:rPr>
          <w:rFonts w:ascii="Times New Roman" w:hAnsi="Times New Roman" w:cs="Times New Roman"/>
        </w:rPr>
        <w:instrText xml:space="preserve"> REF _Ref91826897 \r \h </w:instrText>
      </w:r>
      <w:r w:rsidR="00A660A0" w:rsidRPr="006D2720">
        <w:rPr>
          <w:rFonts w:ascii="Times New Roman" w:hAnsi="Times New Roman" w:cs="Times New Roman"/>
        </w:rPr>
        <w:instrText xml:space="preserve"> \* MERGEFORMAT </w:instrText>
      </w:r>
      <w:r w:rsidR="00415AF0" w:rsidRPr="006D2720">
        <w:rPr>
          <w:rFonts w:ascii="Times New Roman" w:hAnsi="Times New Roman" w:cs="Times New Roman"/>
        </w:rPr>
      </w:r>
      <w:r w:rsidR="00415AF0" w:rsidRPr="006D2720">
        <w:rPr>
          <w:rFonts w:ascii="Times New Roman" w:hAnsi="Times New Roman" w:cs="Times New Roman"/>
        </w:rPr>
        <w:fldChar w:fldCharType="separate"/>
      </w:r>
      <w:r w:rsidR="00E66B60">
        <w:rPr>
          <w:rFonts w:ascii="Times New Roman" w:hAnsi="Times New Roman" w:cs="Times New Roman"/>
        </w:rPr>
        <w:t>2.2.3</w:t>
      </w:r>
      <w:r w:rsidR="00415AF0" w:rsidRPr="006D2720">
        <w:rPr>
          <w:rFonts w:ascii="Times New Roman" w:hAnsi="Times New Roman" w:cs="Times New Roman"/>
        </w:rPr>
        <w:fldChar w:fldCharType="end"/>
      </w:r>
      <w:r w:rsidR="00415AF0" w:rsidRPr="006D2720">
        <w:rPr>
          <w:rFonts w:ascii="Times New Roman" w:hAnsi="Times New Roman" w:cs="Times New Roman"/>
        </w:rPr>
        <w:t>]</w:t>
      </w:r>
      <w:r w:rsidR="006D6C2E" w:rsidRPr="006D2720">
        <w:rPr>
          <w:rFonts w:ascii="Times New Roman" w:hAnsi="Times New Roman" w:cs="Times New Roman"/>
        </w:rPr>
        <w:t>)</w:t>
      </w:r>
      <w:r w:rsidR="00224BFD" w:rsidRPr="006D2720">
        <w:rPr>
          <w:rFonts w:ascii="Times New Roman" w:hAnsi="Times New Roman" w:cs="Times New Roman"/>
        </w:rPr>
        <w:t>;</w:t>
      </w:r>
      <w:r w:rsidR="00F6183D" w:rsidRPr="006D2720">
        <w:rPr>
          <w:rFonts w:ascii="Times New Roman" w:hAnsi="Times New Roman" w:cs="Times New Roman"/>
        </w:rPr>
        <w:t xml:space="preserve"> it does not</w:t>
      </w:r>
      <w:r w:rsidR="007935A9" w:rsidRPr="006D2720">
        <w:rPr>
          <w:rFonts w:ascii="Times New Roman" w:hAnsi="Times New Roman" w:cs="Times New Roman"/>
        </w:rPr>
        <w:t xml:space="preserve"> contemplate the possibility of de-identified information being re-identified with the help of additional information ([</w:t>
      </w:r>
      <w:r w:rsidR="00EF43FD" w:rsidRPr="006D2720">
        <w:rPr>
          <w:rFonts w:ascii="Times New Roman" w:hAnsi="Times New Roman" w:cs="Times New Roman"/>
        </w:rPr>
        <w:fldChar w:fldCharType="begin"/>
      </w:r>
      <w:r w:rsidR="00EF43FD" w:rsidRPr="006D2720">
        <w:rPr>
          <w:rFonts w:ascii="Times New Roman" w:hAnsi="Times New Roman" w:cs="Times New Roman"/>
        </w:rPr>
        <w:instrText xml:space="preserve"> REF _Ref91829188 \r \h </w:instrText>
      </w:r>
      <w:r w:rsidR="00A660A0" w:rsidRPr="006D2720">
        <w:rPr>
          <w:rFonts w:ascii="Times New Roman" w:hAnsi="Times New Roman" w:cs="Times New Roman"/>
        </w:rPr>
        <w:instrText xml:space="preserve"> \* MERGEFORMAT </w:instrText>
      </w:r>
      <w:r w:rsidR="00EF43FD" w:rsidRPr="006D2720">
        <w:rPr>
          <w:rFonts w:ascii="Times New Roman" w:hAnsi="Times New Roman" w:cs="Times New Roman"/>
        </w:rPr>
      </w:r>
      <w:r w:rsidR="00EF43FD" w:rsidRPr="006D2720">
        <w:rPr>
          <w:rFonts w:ascii="Times New Roman" w:hAnsi="Times New Roman" w:cs="Times New Roman"/>
        </w:rPr>
        <w:fldChar w:fldCharType="separate"/>
      </w:r>
      <w:r w:rsidR="00E66B60">
        <w:rPr>
          <w:rFonts w:ascii="Times New Roman" w:hAnsi="Times New Roman" w:cs="Times New Roman"/>
        </w:rPr>
        <w:t>2.2.22</w:t>
      </w:r>
      <w:r w:rsidR="00EF43FD" w:rsidRPr="006D2720">
        <w:rPr>
          <w:rFonts w:ascii="Times New Roman" w:hAnsi="Times New Roman" w:cs="Times New Roman"/>
        </w:rPr>
        <w:fldChar w:fldCharType="end"/>
      </w:r>
      <w:r w:rsidR="00EF43FD" w:rsidRPr="006D2720">
        <w:rPr>
          <w:rFonts w:ascii="Times New Roman" w:hAnsi="Times New Roman" w:cs="Times New Roman"/>
        </w:rPr>
        <w:t>]–[</w:t>
      </w:r>
      <w:r w:rsidR="00EF43FD" w:rsidRPr="006D2720">
        <w:rPr>
          <w:rFonts w:ascii="Times New Roman" w:hAnsi="Times New Roman" w:cs="Times New Roman"/>
        </w:rPr>
        <w:fldChar w:fldCharType="begin"/>
      </w:r>
      <w:r w:rsidR="00EF43FD" w:rsidRPr="006D2720">
        <w:rPr>
          <w:rFonts w:ascii="Times New Roman" w:hAnsi="Times New Roman" w:cs="Times New Roman"/>
        </w:rPr>
        <w:instrText xml:space="preserve"> REF _Ref91829190 \r \h </w:instrText>
      </w:r>
      <w:r w:rsidR="00A660A0" w:rsidRPr="006D2720">
        <w:rPr>
          <w:rFonts w:ascii="Times New Roman" w:hAnsi="Times New Roman" w:cs="Times New Roman"/>
        </w:rPr>
        <w:instrText xml:space="preserve"> \* MERGEFORMAT </w:instrText>
      </w:r>
      <w:r w:rsidR="00EF43FD" w:rsidRPr="006D2720">
        <w:rPr>
          <w:rFonts w:ascii="Times New Roman" w:hAnsi="Times New Roman" w:cs="Times New Roman"/>
        </w:rPr>
      </w:r>
      <w:r w:rsidR="00EF43FD" w:rsidRPr="006D2720">
        <w:rPr>
          <w:rFonts w:ascii="Times New Roman" w:hAnsi="Times New Roman" w:cs="Times New Roman"/>
        </w:rPr>
        <w:fldChar w:fldCharType="separate"/>
      </w:r>
      <w:r w:rsidR="00E66B60">
        <w:rPr>
          <w:rFonts w:ascii="Times New Roman" w:hAnsi="Times New Roman" w:cs="Times New Roman"/>
        </w:rPr>
        <w:t>2.2.28</w:t>
      </w:r>
      <w:r w:rsidR="00EF43FD" w:rsidRPr="006D2720">
        <w:rPr>
          <w:rFonts w:ascii="Times New Roman" w:hAnsi="Times New Roman" w:cs="Times New Roman"/>
        </w:rPr>
        <w:fldChar w:fldCharType="end"/>
      </w:r>
      <w:r w:rsidR="007935A9" w:rsidRPr="006D2720">
        <w:rPr>
          <w:rFonts w:ascii="Times New Roman" w:hAnsi="Times New Roman" w:cs="Times New Roman"/>
        </w:rPr>
        <w:t>]);</w:t>
      </w:r>
      <w:r w:rsidR="00357A51" w:rsidRPr="006D2720">
        <w:rPr>
          <w:rFonts w:ascii="Times New Roman" w:hAnsi="Times New Roman" w:cs="Times New Roman"/>
        </w:rPr>
        <w:t xml:space="preserve"> it </w:t>
      </w:r>
      <w:r w:rsidR="006C5CD9" w:rsidRPr="006D2720">
        <w:rPr>
          <w:rFonts w:ascii="Times New Roman" w:hAnsi="Times New Roman" w:cs="Times New Roman"/>
        </w:rPr>
        <w:t xml:space="preserve">does </w:t>
      </w:r>
      <w:r w:rsidR="00357A51" w:rsidRPr="006D2720">
        <w:rPr>
          <w:rFonts w:ascii="Times New Roman" w:hAnsi="Times New Roman" w:cs="Times New Roman"/>
        </w:rPr>
        <w:t xml:space="preserve">not </w:t>
      </w:r>
      <w:r w:rsidR="00305D3B" w:rsidRPr="006D2720">
        <w:rPr>
          <w:rFonts w:ascii="Times New Roman" w:hAnsi="Times New Roman" w:cs="Times New Roman"/>
        </w:rPr>
        <w:t>protect unsolicited personal information</w:t>
      </w:r>
      <w:r w:rsidR="00076F4E" w:rsidRPr="006D2720">
        <w:rPr>
          <w:rFonts w:ascii="Times New Roman" w:hAnsi="Times New Roman" w:cs="Times New Roman"/>
        </w:rPr>
        <w:t xml:space="preserve">—information that comes into the </w:t>
      </w:r>
      <w:r w:rsidR="000665D3" w:rsidRPr="006D2720">
        <w:rPr>
          <w:rFonts w:ascii="Times New Roman" w:hAnsi="Times New Roman" w:cs="Times New Roman"/>
        </w:rPr>
        <w:t>hands</w:t>
      </w:r>
      <w:r w:rsidR="009A5917" w:rsidRPr="006D2720">
        <w:rPr>
          <w:rFonts w:ascii="Times New Roman" w:hAnsi="Times New Roman" w:cs="Times New Roman"/>
        </w:rPr>
        <w:t xml:space="preserve"> </w:t>
      </w:r>
      <w:r w:rsidR="00076F4E" w:rsidRPr="006D2720">
        <w:rPr>
          <w:rFonts w:ascii="Times New Roman" w:hAnsi="Times New Roman" w:cs="Times New Roman"/>
        </w:rPr>
        <w:t>of government agencies or their contractors</w:t>
      </w:r>
      <w:r w:rsidR="002355FA" w:rsidRPr="006D2720">
        <w:rPr>
          <w:rFonts w:ascii="Times New Roman" w:hAnsi="Times New Roman" w:cs="Times New Roman"/>
        </w:rPr>
        <w:t xml:space="preserve"> without a deliberate effort on their part</w:t>
      </w:r>
      <w:r w:rsidR="00FD3AAA" w:rsidRPr="006D2720">
        <w:rPr>
          <w:rFonts w:ascii="Times New Roman" w:hAnsi="Times New Roman" w:cs="Times New Roman"/>
        </w:rPr>
        <w:t xml:space="preserve"> to collect it</w:t>
      </w:r>
      <w:r w:rsidR="00415AF0" w:rsidRPr="006D2720">
        <w:rPr>
          <w:rFonts w:ascii="Times New Roman" w:hAnsi="Times New Roman" w:cs="Times New Roman"/>
        </w:rPr>
        <w:t xml:space="preserve"> ([</w:t>
      </w:r>
      <w:r w:rsidR="00415AF0" w:rsidRPr="006D2720">
        <w:rPr>
          <w:rFonts w:ascii="Times New Roman" w:hAnsi="Times New Roman" w:cs="Times New Roman"/>
        </w:rPr>
        <w:fldChar w:fldCharType="begin"/>
      </w:r>
      <w:r w:rsidR="00415AF0" w:rsidRPr="006D2720">
        <w:rPr>
          <w:rFonts w:ascii="Times New Roman" w:hAnsi="Times New Roman" w:cs="Times New Roman"/>
        </w:rPr>
        <w:instrText xml:space="preserve"> REF _Ref91826956 \r \h </w:instrText>
      </w:r>
      <w:r w:rsidR="00A660A0" w:rsidRPr="006D2720">
        <w:rPr>
          <w:rFonts w:ascii="Times New Roman" w:hAnsi="Times New Roman" w:cs="Times New Roman"/>
        </w:rPr>
        <w:instrText xml:space="preserve"> \* MERGEFORMAT </w:instrText>
      </w:r>
      <w:r w:rsidR="00415AF0" w:rsidRPr="006D2720">
        <w:rPr>
          <w:rFonts w:ascii="Times New Roman" w:hAnsi="Times New Roman" w:cs="Times New Roman"/>
        </w:rPr>
      </w:r>
      <w:r w:rsidR="00415AF0" w:rsidRPr="006D2720">
        <w:rPr>
          <w:rFonts w:ascii="Times New Roman" w:hAnsi="Times New Roman" w:cs="Times New Roman"/>
        </w:rPr>
        <w:fldChar w:fldCharType="separate"/>
      </w:r>
      <w:r w:rsidR="00E66B60">
        <w:rPr>
          <w:rFonts w:ascii="Times New Roman" w:hAnsi="Times New Roman" w:cs="Times New Roman"/>
        </w:rPr>
        <w:t>2.3.51</w:t>
      </w:r>
      <w:r w:rsidR="00415AF0" w:rsidRPr="006D2720">
        <w:rPr>
          <w:rFonts w:ascii="Times New Roman" w:hAnsi="Times New Roman" w:cs="Times New Roman"/>
        </w:rPr>
        <w:fldChar w:fldCharType="end"/>
      </w:r>
      <w:r w:rsidR="00415AF0" w:rsidRPr="006D2720">
        <w:rPr>
          <w:rFonts w:ascii="Times New Roman" w:hAnsi="Times New Roman" w:cs="Times New Roman"/>
        </w:rPr>
        <w:t>])</w:t>
      </w:r>
      <w:r w:rsidR="00224BFD" w:rsidRPr="006D2720">
        <w:rPr>
          <w:rFonts w:ascii="Times New Roman" w:hAnsi="Times New Roman" w:cs="Times New Roman"/>
        </w:rPr>
        <w:t>;</w:t>
      </w:r>
      <w:r w:rsidR="00A257D6" w:rsidRPr="006D2720">
        <w:rPr>
          <w:rFonts w:ascii="Times New Roman" w:hAnsi="Times New Roman" w:cs="Times New Roman"/>
        </w:rPr>
        <w:t xml:space="preserve"> </w:t>
      </w:r>
      <w:r w:rsidR="00322181" w:rsidRPr="006D2720">
        <w:rPr>
          <w:rFonts w:ascii="Times New Roman" w:hAnsi="Times New Roman" w:cs="Times New Roman"/>
        </w:rPr>
        <w:t xml:space="preserve">and </w:t>
      </w:r>
      <w:r w:rsidR="008569CA" w:rsidRPr="006D2720">
        <w:rPr>
          <w:rFonts w:ascii="Times New Roman" w:hAnsi="Times New Roman" w:cs="Times New Roman"/>
        </w:rPr>
        <w:t>it does not grant special protections for biometric information</w:t>
      </w:r>
      <w:r w:rsidR="00506F39" w:rsidRPr="006D2720">
        <w:rPr>
          <w:rFonts w:ascii="Times New Roman" w:hAnsi="Times New Roman" w:cs="Times New Roman"/>
        </w:rPr>
        <w:t>, unlike the Commonwealth law</w:t>
      </w:r>
      <w:r w:rsidR="008569CA" w:rsidRPr="006D2720">
        <w:rPr>
          <w:rFonts w:ascii="Times New Roman" w:hAnsi="Times New Roman" w:cs="Times New Roman"/>
        </w:rPr>
        <w:t xml:space="preserve"> ([</w:t>
      </w:r>
      <w:r w:rsidR="000F2C99" w:rsidRPr="006D2720">
        <w:rPr>
          <w:rFonts w:ascii="Times New Roman" w:hAnsi="Times New Roman" w:cs="Times New Roman"/>
        </w:rPr>
        <w:fldChar w:fldCharType="begin"/>
      </w:r>
      <w:r w:rsidR="000F2C99" w:rsidRPr="006D2720">
        <w:rPr>
          <w:rFonts w:ascii="Times New Roman" w:hAnsi="Times New Roman" w:cs="Times New Roman"/>
        </w:rPr>
        <w:instrText xml:space="preserve"> REF _Ref91828812 \r \h </w:instrText>
      </w:r>
      <w:r w:rsidR="00A660A0" w:rsidRPr="006D2720">
        <w:rPr>
          <w:rFonts w:ascii="Times New Roman" w:hAnsi="Times New Roman" w:cs="Times New Roman"/>
        </w:rPr>
        <w:instrText xml:space="preserve"> \* MERGEFORMAT </w:instrText>
      </w:r>
      <w:r w:rsidR="000F2C99" w:rsidRPr="006D2720">
        <w:rPr>
          <w:rFonts w:ascii="Times New Roman" w:hAnsi="Times New Roman" w:cs="Times New Roman"/>
        </w:rPr>
      </w:r>
      <w:r w:rsidR="000F2C99" w:rsidRPr="006D2720">
        <w:rPr>
          <w:rFonts w:ascii="Times New Roman" w:hAnsi="Times New Roman" w:cs="Times New Roman"/>
        </w:rPr>
        <w:fldChar w:fldCharType="separate"/>
      </w:r>
      <w:r w:rsidR="00E66B60">
        <w:rPr>
          <w:rFonts w:ascii="Times New Roman" w:hAnsi="Times New Roman" w:cs="Times New Roman"/>
        </w:rPr>
        <w:t>2.2.43</w:t>
      </w:r>
      <w:r w:rsidR="000F2C99" w:rsidRPr="006D2720">
        <w:rPr>
          <w:rFonts w:ascii="Times New Roman" w:hAnsi="Times New Roman" w:cs="Times New Roman"/>
        </w:rPr>
        <w:fldChar w:fldCharType="end"/>
      </w:r>
      <w:r w:rsidR="008569CA" w:rsidRPr="006D2720">
        <w:rPr>
          <w:rFonts w:ascii="Times New Roman" w:hAnsi="Times New Roman" w:cs="Times New Roman"/>
        </w:rPr>
        <w:t>]).</w:t>
      </w:r>
    </w:p>
    <w:p w14:paraId="6D89CB0A" w14:textId="0DFD861F" w:rsidR="00C61A27" w:rsidRPr="006D2720" w:rsidRDefault="00747A75" w:rsidP="009C568C">
      <w:pPr>
        <w:rPr>
          <w:rFonts w:ascii="Times New Roman" w:hAnsi="Times New Roman" w:cs="Times New Roman"/>
        </w:rPr>
      </w:pPr>
      <w:r w:rsidRPr="006D2720">
        <w:rPr>
          <w:rFonts w:ascii="Times New Roman" w:hAnsi="Times New Roman" w:cs="Times New Roman"/>
        </w:rPr>
        <w:t>A</w:t>
      </w:r>
      <w:r w:rsidR="00755DFB" w:rsidRPr="006D2720">
        <w:rPr>
          <w:rFonts w:ascii="Times New Roman" w:hAnsi="Times New Roman" w:cs="Times New Roman"/>
        </w:rPr>
        <w:t>dvances in technolog</w:t>
      </w:r>
      <w:r w:rsidR="00775BD6" w:rsidRPr="006D2720">
        <w:rPr>
          <w:rFonts w:ascii="Times New Roman" w:hAnsi="Times New Roman" w:cs="Times New Roman"/>
        </w:rPr>
        <w:t xml:space="preserve">y </w:t>
      </w:r>
      <w:r w:rsidRPr="006D2720">
        <w:rPr>
          <w:rFonts w:ascii="Times New Roman" w:hAnsi="Times New Roman" w:cs="Times New Roman"/>
        </w:rPr>
        <w:t>can exacerbate the impact of these gaps</w:t>
      </w:r>
      <w:r w:rsidR="00755DFB" w:rsidRPr="006D2720">
        <w:rPr>
          <w:rFonts w:ascii="Times New Roman" w:hAnsi="Times New Roman" w:cs="Times New Roman"/>
        </w:rPr>
        <w:t xml:space="preserve">. For example, </w:t>
      </w:r>
      <w:r w:rsidR="00775BD6" w:rsidRPr="006D2720">
        <w:rPr>
          <w:rFonts w:ascii="Times New Roman" w:hAnsi="Times New Roman" w:cs="Times New Roman"/>
        </w:rPr>
        <w:t xml:space="preserve">the lack of special protection for biometric information may </w:t>
      </w:r>
      <w:r w:rsidR="00294AFF" w:rsidRPr="006D2720">
        <w:rPr>
          <w:rFonts w:ascii="Times New Roman" w:hAnsi="Times New Roman" w:cs="Times New Roman"/>
        </w:rPr>
        <w:t>pose</w:t>
      </w:r>
      <w:r w:rsidR="00775BD6" w:rsidRPr="006D2720">
        <w:rPr>
          <w:rFonts w:ascii="Times New Roman" w:hAnsi="Times New Roman" w:cs="Times New Roman"/>
        </w:rPr>
        <w:t xml:space="preserve"> a greater risk to individuals as </w:t>
      </w:r>
      <w:r w:rsidR="00D418AA" w:rsidRPr="006D2720">
        <w:rPr>
          <w:rFonts w:ascii="Times New Roman" w:hAnsi="Times New Roman" w:cs="Times New Roman"/>
        </w:rPr>
        <w:t>technologies</w:t>
      </w:r>
      <w:r w:rsidR="00294AFF" w:rsidRPr="006D2720">
        <w:rPr>
          <w:rFonts w:ascii="Times New Roman" w:hAnsi="Times New Roman" w:cs="Times New Roman"/>
        </w:rPr>
        <w:t xml:space="preserve"> </w:t>
      </w:r>
      <w:r w:rsidR="00583490" w:rsidRPr="006D2720">
        <w:rPr>
          <w:rFonts w:ascii="Times New Roman" w:hAnsi="Times New Roman" w:cs="Times New Roman"/>
        </w:rPr>
        <w:t xml:space="preserve">increase in sophistication, </w:t>
      </w:r>
      <w:r w:rsidR="00D418AA" w:rsidRPr="006D2720">
        <w:rPr>
          <w:rFonts w:ascii="Times New Roman" w:hAnsi="Times New Roman" w:cs="Times New Roman"/>
        </w:rPr>
        <w:t>such as facial recognition</w:t>
      </w:r>
      <w:r w:rsidR="00775BD6" w:rsidRPr="006D2720">
        <w:rPr>
          <w:rFonts w:ascii="Times New Roman" w:hAnsi="Times New Roman" w:cs="Times New Roman"/>
        </w:rPr>
        <w:t xml:space="preserve">. </w:t>
      </w:r>
    </w:p>
    <w:p w14:paraId="0582D9DA" w14:textId="4ADF9730" w:rsidR="00441832" w:rsidRPr="006D2720" w:rsidRDefault="00441832" w:rsidP="009C568C">
      <w:pPr>
        <w:rPr>
          <w:rFonts w:ascii="Times New Roman" w:hAnsi="Times New Roman" w:cs="Times New Roman"/>
        </w:rPr>
      </w:pPr>
      <w:r w:rsidRPr="006D2720">
        <w:rPr>
          <w:rFonts w:ascii="Times New Roman" w:hAnsi="Times New Roman" w:cs="Times New Roman"/>
        </w:rPr>
        <w:t xml:space="preserve">This Paper </w:t>
      </w:r>
      <w:r w:rsidR="00E160B9" w:rsidRPr="006D2720">
        <w:rPr>
          <w:rFonts w:ascii="Times New Roman" w:hAnsi="Times New Roman" w:cs="Times New Roman"/>
        </w:rPr>
        <w:t>suggests potential reforms</w:t>
      </w:r>
      <w:r w:rsidRPr="006D2720">
        <w:rPr>
          <w:rFonts w:ascii="Times New Roman" w:hAnsi="Times New Roman" w:cs="Times New Roman"/>
        </w:rPr>
        <w:t xml:space="preserve"> </w:t>
      </w:r>
      <w:r w:rsidR="00E160B9" w:rsidRPr="006D2720">
        <w:rPr>
          <w:rFonts w:ascii="Times New Roman" w:hAnsi="Times New Roman" w:cs="Times New Roman"/>
        </w:rPr>
        <w:t xml:space="preserve">to </w:t>
      </w:r>
      <w:r w:rsidRPr="006D2720">
        <w:rPr>
          <w:rFonts w:ascii="Times New Roman" w:hAnsi="Times New Roman" w:cs="Times New Roman"/>
        </w:rPr>
        <w:t xml:space="preserve">the PIPA </w:t>
      </w:r>
      <w:r w:rsidR="00E160B9" w:rsidRPr="006D2720">
        <w:rPr>
          <w:rFonts w:ascii="Times New Roman" w:hAnsi="Times New Roman" w:cs="Times New Roman"/>
        </w:rPr>
        <w:t xml:space="preserve">aimed at </w:t>
      </w:r>
      <w:r w:rsidR="00F46EFE" w:rsidRPr="006D2720">
        <w:rPr>
          <w:rFonts w:ascii="Times New Roman" w:hAnsi="Times New Roman" w:cs="Times New Roman"/>
        </w:rPr>
        <w:t>improv</w:t>
      </w:r>
      <w:r w:rsidR="00E160B9" w:rsidRPr="006D2720">
        <w:rPr>
          <w:rFonts w:ascii="Times New Roman" w:hAnsi="Times New Roman" w:cs="Times New Roman"/>
        </w:rPr>
        <w:t>ing</w:t>
      </w:r>
      <w:r w:rsidR="00F46EFE" w:rsidRPr="006D2720">
        <w:rPr>
          <w:rFonts w:ascii="Times New Roman" w:hAnsi="Times New Roman" w:cs="Times New Roman"/>
        </w:rPr>
        <w:t xml:space="preserve"> privacy protection, such as by allowing individuals to have a right to object to their information being processed, and a right to request their information be erased</w:t>
      </w:r>
      <w:r w:rsidR="00613926" w:rsidRPr="006D2720">
        <w:rPr>
          <w:rFonts w:ascii="Times New Roman" w:hAnsi="Times New Roman" w:cs="Times New Roman"/>
        </w:rPr>
        <w:t xml:space="preserve"> ([</w:t>
      </w:r>
      <w:r w:rsidR="00613926" w:rsidRPr="006D2720">
        <w:rPr>
          <w:rFonts w:ascii="Times New Roman" w:hAnsi="Times New Roman" w:cs="Times New Roman"/>
        </w:rPr>
        <w:fldChar w:fldCharType="begin"/>
      </w:r>
      <w:r w:rsidR="00613926" w:rsidRPr="006D2720">
        <w:rPr>
          <w:rFonts w:ascii="Times New Roman" w:hAnsi="Times New Roman" w:cs="Times New Roman"/>
        </w:rPr>
        <w:instrText xml:space="preserve"> REF _Ref91827966 \r \h </w:instrText>
      </w:r>
      <w:r w:rsidR="006D2720">
        <w:rPr>
          <w:rFonts w:ascii="Times New Roman" w:hAnsi="Times New Roman" w:cs="Times New Roman"/>
        </w:rPr>
        <w:instrText xml:space="preserve"> \* MERGEFORMAT </w:instrText>
      </w:r>
      <w:r w:rsidR="00613926" w:rsidRPr="006D2720">
        <w:rPr>
          <w:rFonts w:ascii="Times New Roman" w:hAnsi="Times New Roman" w:cs="Times New Roman"/>
        </w:rPr>
      </w:r>
      <w:r w:rsidR="00613926" w:rsidRPr="006D2720">
        <w:rPr>
          <w:rFonts w:ascii="Times New Roman" w:hAnsi="Times New Roman" w:cs="Times New Roman"/>
        </w:rPr>
        <w:fldChar w:fldCharType="separate"/>
      </w:r>
      <w:r w:rsidR="00E66B60">
        <w:rPr>
          <w:rFonts w:ascii="Times New Roman" w:hAnsi="Times New Roman" w:cs="Times New Roman"/>
        </w:rPr>
        <w:t>2.3.60</w:t>
      </w:r>
      <w:r w:rsidR="00613926" w:rsidRPr="006D2720">
        <w:rPr>
          <w:rFonts w:ascii="Times New Roman" w:hAnsi="Times New Roman" w:cs="Times New Roman"/>
        </w:rPr>
        <w:fldChar w:fldCharType="end"/>
      </w:r>
      <w:r w:rsidR="00613926" w:rsidRPr="006D2720">
        <w:rPr>
          <w:rFonts w:ascii="Times New Roman" w:hAnsi="Times New Roman" w:cs="Times New Roman"/>
        </w:rPr>
        <w:t>]–[</w:t>
      </w:r>
      <w:r w:rsidR="00613926" w:rsidRPr="006D2720">
        <w:rPr>
          <w:rFonts w:ascii="Times New Roman" w:hAnsi="Times New Roman" w:cs="Times New Roman"/>
        </w:rPr>
        <w:fldChar w:fldCharType="begin"/>
      </w:r>
      <w:r w:rsidR="00613926" w:rsidRPr="006D2720">
        <w:rPr>
          <w:rFonts w:ascii="Times New Roman" w:hAnsi="Times New Roman" w:cs="Times New Roman"/>
        </w:rPr>
        <w:instrText xml:space="preserve"> REF _Ref91660118 \r \h </w:instrText>
      </w:r>
      <w:r w:rsidR="006D2720">
        <w:rPr>
          <w:rFonts w:ascii="Times New Roman" w:hAnsi="Times New Roman" w:cs="Times New Roman"/>
        </w:rPr>
        <w:instrText xml:space="preserve"> \* MERGEFORMAT </w:instrText>
      </w:r>
      <w:r w:rsidR="00613926" w:rsidRPr="006D2720">
        <w:rPr>
          <w:rFonts w:ascii="Times New Roman" w:hAnsi="Times New Roman" w:cs="Times New Roman"/>
        </w:rPr>
      </w:r>
      <w:r w:rsidR="00613926" w:rsidRPr="006D2720">
        <w:rPr>
          <w:rFonts w:ascii="Times New Roman" w:hAnsi="Times New Roman" w:cs="Times New Roman"/>
        </w:rPr>
        <w:fldChar w:fldCharType="separate"/>
      </w:r>
      <w:r w:rsidR="00E66B60">
        <w:rPr>
          <w:rFonts w:ascii="Times New Roman" w:hAnsi="Times New Roman" w:cs="Times New Roman"/>
        </w:rPr>
        <w:t>2.3.90</w:t>
      </w:r>
      <w:r w:rsidR="00613926" w:rsidRPr="006D2720">
        <w:rPr>
          <w:rFonts w:ascii="Times New Roman" w:hAnsi="Times New Roman" w:cs="Times New Roman"/>
        </w:rPr>
        <w:fldChar w:fldCharType="end"/>
      </w:r>
      <w:r w:rsidR="00613926" w:rsidRPr="006D2720">
        <w:rPr>
          <w:rFonts w:ascii="Times New Roman" w:hAnsi="Times New Roman" w:cs="Times New Roman"/>
        </w:rPr>
        <w:t>])</w:t>
      </w:r>
      <w:r w:rsidR="00F46EFE" w:rsidRPr="006D2720">
        <w:rPr>
          <w:rFonts w:ascii="Times New Roman" w:hAnsi="Times New Roman" w:cs="Times New Roman"/>
        </w:rPr>
        <w:t>.</w:t>
      </w:r>
    </w:p>
    <w:p w14:paraId="1BB63AA1" w14:textId="1D7D08F9" w:rsidR="000F2C99" w:rsidRPr="006D2720" w:rsidRDefault="00514F1B" w:rsidP="009C568C">
      <w:pPr>
        <w:rPr>
          <w:rFonts w:ascii="Times New Roman" w:hAnsi="Times New Roman" w:cs="Times New Roman"/>
        </w:rPr>
      </w:pPr>
      <w:r w:rsidRPr="006D2720">
        <w:rPr>
          <w:rFonts w:ascii="Times New Roman" w:hAnsi="Times New Roman" w:cs="Times New Roman"/>
        </w:rPr>
        <w:t>However, s</w:t>
      </w:r>
      <w:r w:rsidR="00322181" w:rsidRPr="006D2720">
        <w:rPr>
          <w:rFonts w:ascii="Times New Roman" w:hAnsi="Times New Roman" w:cs="Times New Roman"/>
        </w:rPr>
        <w:t xml:space="preserve">ome of the </w:t>
      </w:r>
      <w:r w:rsidR="00294AFF" w:rsidRPr="006D2720">
        <w:rPr>
          <w:rFonts w:ascii="Times New Roman" w:hAnsi="Times New Roman" w:cs="Times New Roman"/>
        </w:rPr>
        <w:t xml:space="preserve">most important </w:t>
      </w:r>
      <w:r w:rsidR="004431F4" w:rsidRPr="006D2720">
        <w:rPr>
          <w:rFonts w:ascii="Times New Roman" w:hAnsi="Times New Roman" w:cs="Times New Roman"/>
        </w:rPr>
        <w:t xml:space="preserve">gaps </w:t>
      </w:r>
      <w:r w:rsidR="00294AFF" w:rsidRPr="006D2720">
        <w:rPr>
          <w:rFonts w:ascii="Times New Roman" w:hAnsi="Times New Roman" w:cs="Times New Roman"/>
        </w:rPr>
        <w:t xml:space="preserve">relate to the enforcement of the </w:t>
      </w:r>
      <w:r w:rsidR="00294AFF" w:rsidRPr="006D2720">
        <w:rPr>
          <w:rFonts w:ascii="Times New Roman" w:hAnsi="Times New Roman" w:cs="Times New Roman"/>
          <w:iCs/>
        </w:rPr>
        <w:t>PIPA, rather than its scope</w:t>
      </w:r>
      <w:r w:rsidR="003A6471" w:rsidRPr="006D2720">
        <w:rPr>
          <w:rFonts w:ascii="Times New Roman" w:hAnsi="Times New Roman" w:cs="Times New Roman"/>
        </w:rPr>
        <w:t xml:space="preserve">. </w:t>
      </w:r>
      <w:r w:rsidR="00294AFF" w:rsidRPr="006D2720">
        <w:rPr>
          <w:rFonts w:ascii="Times New Roman" w:hAnsi="Times New Roman" w:cs="Times New Roman"/>
        </w:rPr>
        <w:t>In particular</w:t>
      </w:r>
      <w:r w:rsidR="00C000B6" w:rsidRPr="006D2720">
        <w:rPr>
          <w:rFonts w:ascii="Times New Roman" w:hAnsi="Times New Roman" w:cs="Times New Roman"/>
        </w:rPr>
        <w:t xml:space="preserve">, </w:t>
      </w:r>
      <w:r w:rsidR="003B6FEF" w:rsidRPr="006D2720">
        <w:rPr>
          <w:rFonts w:ascii="Times New Roman" w:hAnsi="Times New Roman" w:cs="Times New Roman"/>
        </w:rPr>
        <w:t xml:space="preserve">there is </w:t>
      </w:r>
      <w:r w:rsidR="00583EBC" w:rsidRPr="006D2720">
        <w:rPr>
          <w:rFonts w:ascii="Times New Roman" w:hAnsi="Times New Roman" w:cs="Times New Roman"/>
        </w:rPr>
        <w:t xml:space="preserve">limited ability for </w:t>
      </w:r>
      <w:r w:rsidR="001C34A5" w:rsidRPr="006D2720">
        <w:rPr>
          <w:rFonts w:ascii="Times New Roman" w:hAnsi="Times New Roman" w:cs="Times New Roman"/>
        </w:rPr>
        <w:t xml:space="preserve">an aggrieved individual to seek review </w:t>
      </w:r>
      <w:r w:rsidR="000E2A1E" w:rsidRPr="006D2720">
        <w:rPr>
          <w:rFonts w:ascii="Times New Roman" w:hAnsi="Times New Roman" w:cs="Times New Roman"/>
        </w:rPr>
        <w:t xml:space="preserve">of decisions </w:t>
      </w:r>
      <w:r w:rsidR="00A45F7B" w:rsidRPr="006D2720">
        <w:rPr>
          <w:rFonts w:ascii="Times New Roman" w:hAnsi="Times New Roman" w:cs="Times New Roman"/>
        </w:rPr>
        <w:t xml:space="preserve">about whether or not there has been a breach </w:t>
      </w:r>
      <w:r w:rsidR="006914B0" w:rsidRPr="006D2720">
        <w:rPr>
          <w:rFonts w:ascii="Times New Roman" w:hAnsi="Times New Roman" w:cs="Times New Roman"/>
        </w:rPr>
        <w:t>([</w:t>
      </w:r>
      <w:r w:rsidR="00D13A29" w:rsidRPr="006D2720">
        <w:rPr>
          <w:rFonts w:ascii="Times New Roman" w:hAnsi="Times New Roman" w:cs="Times New Roman"/>
        </w:rPr>
        <w:fldChar w:fldCharType="begin"/>
      </w:r>
      <w:r w:rsidR="00D13A29" w:rsidRPr="006D2720">
        <w:rPr>
          <w:rFonts w:ascii="Times New Roman" w:hAnsi="Times New Roman" w:cs="Times New Roman"/>
        </w:rPr>
        <w:instrText xml:space="preserve"> REF _Ref91827370 \r \h </w:instrText>
      </w:r>
      <w:r w:rsidR="00A660A0" w:rsidRPr="006D2720">
        <w:rPr>
          <w:rFonts w:ascii="Times New Roman" w:hAnsi="Times New Roman" w:cs="Times New Roman"/>
        </w:rPr>
        <w:instrText xml:space="preserve"> \* MERGEFORMAT </w:instrText>
      </w:r>
      <w:r w:rsidR="00D13A29" w:rsidRPr="006D2720">
        <w:rPr>
          <w:rFonts w:ascii="Times New Roman" w:hAnsi="Times New Roman" w:cs="Times New Roman"/>
        </w:rPr>
      </w:r>
      <w:r w:rsidR="00D13A29" w:rsidRPr="006D2720">
        <w:rPr>
          <w:rFonts w:ascii="Times New Roman" w:hAnsi="Times New Roman" w:cs="Times New Roman"/>
        </w:rPr>
        <w:fldChar w:fldCharType="separate"/>
      </w:r>
      <w:r w:rsidR="00E66B60">
        <w:rPr>
          <w:rFonts w:ascii="Times New Roman" w:hAnsi="Times New Roman" w:cs="Times New Roman"/>
        </w:rPr>
        <w:t>2.4.7</w:t>
      </w:r>
      <w:r w:rsidR="00D13A29" w:rsidRPr="006D2720">
        <w:rPr>
          <w:rFonts w:ascii="Times New Roman" w:hAnsi="Times New Roman" w:cs="Times New Roman"/>
        </w:rPr>
        <w:fldChar w:fldCharType="end"/>
      </w:r>
      <w:r w:rsidR="00D13A29" w:rsidRPr="006D2720">
        <w:rPr>
          <w:rFonts w:ascii="Times New Roman" w:hAnsi="Times New Roman" w:cs="Times New Roman"/>
        </w:rPr>
        <w:t>], [</w:t>
      </w:r>
      <w:r w:rsidR="00D13A29" w:rsidRPr="006D2720">
        <w:rPr>
          <w:rFonts w:ascii="Times New Roman" w:hAnsi="Times New Roman" w:cs="Times New Roman"/>
        </w:rPr>
        <w:fldChar w:fldCharType="begin"/>
      </w:r>
      <w:r w:rsidR="00D13A29" w:rsidRPr="006D2720">
        <w:rPr>
          <w:rFonts w:ascii="Times New Roman" w:hAnsi="Times New Roman" w:cs="Times New Roman"/>
        </w:rPr>
        <w:instrText xml:space="preserve"> REF _Ref91664140 \r \h </w:instrText>
      </w:r>
      <w:r w:rsidR="00A660A0" w:rsidRPr="006D2720">
        <w:rPr>
          <w:rFonts w:ascii="Times New Roman" w:hAnsi="Times New Roman" w:cs="Times New Roman"/>
        </w:rPr>
        <w:instrText xml:space="preserve"> \* MERGEFORMAT </w:instrText>
      </w:r>
      <w:r w:rsidR="00D13A29" w:rsidRPr="006D2720">
        <w:rPr>
          <w:rFonts w:ascii="Times New Roman" w:hAnsi="Times New Roman" w:cs="Times New Roman"/>
        </w:rPr>
      </w:r>
      <w:r w:rsidR="00D13A29" w:rsidRPr="006D2720">
        <w:rPr>
          <w:rFonts w:ascii="Times New Roman" w:hAnsi="Times New Roman" w:cs="Times New Roman"/>
        </w:rPr>
        <w:fldChar w:fldCharType="separate"/>
      </w:r>
      <w:r w:rsidR="00E66B60">
        <w:rPr>
          <w:rFonts w:ascii="Times New Roman" w:hAnsi="Times New Roman" w:cs="Times New Roman"/>
        </w:rPr>
        <w:t>2.4.14</w:t>
      </w:r>
      <w:r w:rsidR="00D13A29" w:rsidRPr="006D2720">
        <w:rPr>
          <w:rFonts w:ascii="Times New Roman" w:hAnsi="Times New Roman" w:cs="Times New Roman"/>
        </w:rPr>
        <w:fldChar w:fldCharType="end"/>
      </w:r>
      <w:r w:rsidR="006914B0" w:rsidRPr="006D2720">
        <w:rPr>
          <w:rFonts w:ascii="Times New Roman" w:hAnsi="Times New Roman" w:cs="Times New Roman"/>
        </w:rPr>
        <w:t>])</w:t>
      </w:r>
      <w:r w:rsidR="00F85FED" w:rsidRPr="006D2720">
        <w:rPr>
          <w:rFonts w:ascii="Times New Roman" w:hAnsi="Times New Roman" w:cs="Times New Roman"/>
        </w:rPr>
        <w:t xml:space="preserve">; </w:t>
      </w:r>
      <w:r w:rsidR="00854704" w:rsidRPr="006D2720">
        <w:rPr>
          <w:rFonts w:ascii="Times New Roman" w:hAnsi="Times New Roman" w:cs="Times New Roman"/>
        </w:rPr>
        <w:t xml:space="preserve">there are no penalties </w:t>
      </w:r>
      <w:r w:rsidR="00A92714" w:rsidRPr="006D2720">
        <w:rPr>
          <w:rFonts w:ascii="Times New Roman" w:hAnsi="Times New Roman" w:cs="Times New Roman"/>
        </w:rPr>
        <w:t xml:space="preserve">imposed </w:t>
      </w:r>
      <w:r w:rsidR="003C2E94" w:rsidRPr="006D2720">
        <w:rPr>
          <w:rFonts w:ascii="Times New Roman" w:hAnsi="Times New Roman" w:cs="Times New Roman"/>
        </w:rPr>
        <w:t xml:space="preserve">for breaching </w:t>
      </w:r>
      <w:r w:rsidR="00A92714" w:rsidRPr="006D2720">
        <w:rPr>
          <w:rFonts w:ascii="Times New Roman" w:hAnsi="Times New Roman" w:cs="Times New Roman"/>
        </w:rPr>
        <w:t>obligations</w:t>
      </w:r>
      <w:r w:rsidR="00417817" w:rsidRPr="006D2720">
        <w:rPr>
          <w:rFonts w:ascii="Times New Roman" w:hAnsi="Times New Roman" w:cs="Times New Roman"/>
        </w:rPr>
        <w:t xml:space="preserve"> (</w:t>
      </w:r>
      <w:r w:rsidR="00C66B31" w:rsidRPr="006D2720">
        <w:rPr>
          <w:rFonts w:ascii="Times New Roman" w:hAnsi="Times New Roman" w:cs="Times New Roman"/>
        </w:rPr>
        <w:t>[</w:t>
      </w:r>
      <w:r w:rsidR="00235ABE" w:rsidRPr="006D2720">
        <w:rPr>
          <w:rFonts w:ascii="Times New Roman" w:hAnsi="Times New Roman" w:cs="Times New Roman"/>
        </w:rPr>
        <w:fldChar w:fldCharType="begin"/>
      </w:r>
      <w:r w:rsidR="00235ABE" w:rsidRPr="006D2720">
        <w:rPr>
          <w:rFonts w:ascii="Times New Roman" w:hAnsi="Times New Roman" w:cs="Times New Roman"/>
        </w:rPr>
        <w:instrText xml:space="preserve"> REF _Ref91827540 \r \h </w:instrText>
      </w:r>
      <w:r w:rsidR="00A660A0" w:rsidRPr="006D2720">
        <w:rPr>
          <w:rFonts w:ascii="Times New Roman" w:hAnsi="Times New Roman" w:cs="Times New Roman"/>
        </w:rPr>
        <w:instrText xml:space="preserve"> \* MERGEFORMAT </w:instrText>
      </w:r>
      <w:r w:rsidR="00235ABE" w:rsidRPr="006D2720">
        <w:rPr>
          <w:rFonts w:ascii="Times New Roman" w:hAnsi="Times New Roman" w:cs="Times New Roman"/>
        </w:rPr>
      </w:r>
      <w:r w:rsidR="00235ABE" w:rsidRPr="006D2720">
        <w:rPr>
          <w:rFonts w:ascii="Times New Roman" w:hAnsi="Times New Roman" w:cs="Times New Roman"/>
        </w:rPr>
        <w:fldChar w:fldCharType="separate"/>
      </w:r>
      <w:r w:rsidR="00E66B60">
        <w:rPr>
          <w:rFonts w:ascii="Times New Roman" w:hAnsi="Times New Roman" w:cs="Times New Roman"/>
        </w:rPr>
        <w:t>2.4.10</w:t>
      </w:r>
      <w:r w:rsidR="00235ABE" w:rsidRPr="006D2720">
        <w:rPr>
          <w:rFonts w:ascii="Times New Roman" w:hAnsi="Times New Roman" w:cs="Times New Roman"/>
        </w:rPr>
        <w:fldChar w:fldCharType="end"/>
      </w:r>
      <w:r w:rsidR="00C66B31" w:rsidRPr="006D2720">
        <w:rPr>
          <w:rFonts w:ascii="Times New Roman" w:hAnsi="Times New Roman" w:cs="Times New Roman"/>
        </w:rPr>
        <w:t>]</w:t>
      </w:r>
      <w:r w:rsidR="00417817" w:rsidRPr="006D2720">
        <w:rPr>
          <w:rFonts w:ascii="Times New Roman" w:hAnsi="Times New Roman" w:cs="Times New Roman"/>
        </w:rPr>
        <w:t>)</w:t>
      </w:r>
      <w:r w:rsidR="00A92714" w:rsidRPr="006D2720">
        <w:rPr>
          <w:rFonts w:ascii="Times New Roman" w:hAnsi="Times New Roman" w:cs="Times New Roman"/>
        </w:rPr>
        <w:t xml:space="preserve">; </w:t>
      </w:r>
      <w:r w:rsidR="008E58CE" w:rsidRPr="006D2720">
        <w:rPr>
          <w:rFonts w:ascii="Times New Roman" w:hAnsi="Times New Roman" w:cs="Times New Roman"/>
        </w:rPr>
        <w:t xml:space="preserve">there is no mandatory data breach notification scheme that </w:t>
      </w:r>
      <w:r w:rsidR="003850EC" w:rsidRPr="006D2720">
        <w:rPr>
          <w:rFonts w:ascii="Times New Roman" w:hAnsi="Times New Roman" w:cs="Times New Roman"/>
        </w:rPr>
        <w:t>compels information handlers to notify an individual where a breach of their privacy has occurred</w:t>
      </w:r>
      <w:r w:rsidR="008C632D" w:rsidRPr="006D2720">
        <w:rPr>
          <w:rFonts w:ascii="Times New Roman" w:hAnsi="Times New Roman" w:cs="Times New Roman"/>
        </w:rPr>
        <w:t xml:space="preserve"> ([</w:t>
      </w:r>
      <w:r w:rsidR="008C632D" w:rsidRPr="006D2720">
        <w:rPr>
          <w:rFonts w:ascii="Times New Roman" w:hAnsi="Times New Roman" w:cs="Times New Roman"/>
        </w:rPr>
        <w:fldChar w:fldCharType="begin"/>
      </w:r>
      <w:r w:rsidR="008C632D" w:rsidRPr="006D2720">
        <w:rPr>
          <w:rFonts w:ascii="Times New Roman" w:hAnsi="Times New Roman" w:cs="Times New Roman"/>
        </w:rPr>
        <w:instrText xml:space="preserve"> REF _Ref91827650 \r \h </w:instrText>
      </w:r>
      <w:r w:rsidR="00A660A0" w:rsidRPr="006D2720">
        <w:rPr>
          <w:rFonts w:ascii="Times New Roman" w:hAnsi="Times New Roman" w:cs="Times New Roman"/>
        </w:rPr>
        <w:instrText xml:space="preserve"> \* MERGEFORMAT </w:instrText>
      </w:r>
      <w:r w:rsidR="008C632D" w:rsidRPr="006D2720">
        <w:rPr>
          <w:rFonts w:ascii="Times New Roman" w:hAnsi="Times New Roman" w:cs="Times New Roman"/>
        </w:rPr>
      </w:r>
      <w:r w:rsidR="008C632D" w:rsidRPr="006D2720">
        <w:rPr>
          <w:rFonts w:ascii="Times New Roman" w:hAnsi="Times New Roman" w:cs="Times New Roman"/>
        </w:rPr>
        <w:fldChar w:fldCharType="separate"/>
      </w:r>
      <w:r w:rsidR="00E66B60">
        <w:rPr>
          <w:rFonts w:ascii="Times New Roman" w:hAnsi="Times New Roman" w:cs="Times New Roman"/>
        </w:rPr>
        <w:t>2.4.21</w:t>
      </w:r>
      <w:r w:rsidR="008C632D" w:rsidRPr="006D2720">
        <w:rPr>
          <w:rFonts w:ascii="Times New Roman" w:hAnsi="Times New Roman" w:cs="Times New Roman"/>
        </w:rPr>
        <w:fldChar w:fldCharType="end"/>
      </w:r>
      <w:r w:rsidR="008C632D" w:rsidRPr="006D2720">
        <w:rPr>
          <w:rFonts w:ascii="Times New Roman" w:hAnsi="Times New Roman" w:cs="Times New Roman"/>
        </w:rPr>
        <w:t>])</w:t>
      </w:r>
      <w:r w:rsidR="003850EC" w:rsidRPr="006D2720">
        <w:rPr>
          <w:rFonts w:ascii="Times New Roman" w:hAnsi="Times New Roman" w:cs="Times New Roman"/>
        </w:rPr>
        <w:t xml:space="preserve">; </w:t>
      </w:r>
      <w:r w:rsidR="00E859BE" w:rsidRPr="006D2720">
        <w:rPr>
          <w:rFonts w:ascii="Times New Roman" w:hAnsi="Times New Roman" w:cs="Times New Roman"/>
        </w:rPr>
        <w:t>there is no ability for</w:t>
      </w:r>
      <w:r w:rsidR="003F14E5" w:rsidRPr="006D2720">
        <w:rPr>
          <w:rFonts w:ascii="Times New Roman" w:hAnsi="Times New Roman" w:cs="Times New Roman"/>
        </w:rPr>
        <w:t xml:space="preserve"> those handling complaints </w:t>
      </w:r>
      <w:r w:rsidR="00E859BE" w:rsidRPr="006D2720">
        <w:rPr>
          <w:rFonts w:ascii="Times New Roman" w:hAnsi="Times New Roman" w:cs="Times New Roman"/>
        </w:rPr>
        <w:t xml:space="preserve">to </w:t>
      </w:r>
      <w:r w:rsidR="003F14E5" w:rsidRPr="006D2720">
        <w:rPr>
          <w:rFonts w:ascii="Times New Roman" w:hAnsi="Times New Roman" w:cs="Times New Roman"/>
        </w:rPr>
        <w:t xml:space="preserve">order </w:t>
      </w:r>
      <w:r w:rsidR="00E859BE" w:rsidRPr="006D2720">
        <w:rPr>
          <w:rFonts w:ascii="Times New Roman" w:hAnsi="Times New Roman" w:cs="Times New Roman"/>
        </w:rPr>
        <w:t>compensation (</w:t>
      </w:r>
      <w:r w:rsidR="00C247F4" w:rsidRPr="006D2720">
        <w:rPr>
          <w:rFonts w:ascii="Times New Roman" w:hAnsi="Times New Roman" w:cs="Times New Roman"/>
        </w:rPr>
        <w:t>[</w:t>
      </w:r>
      <w:r w:rsidR="00C247F4" w:rsidRPr="006D2720">
        <w:rPr>
          <w:rFonts w:ascii="Times New Roman" w:hAnsi="Times New Roman" w:cs="Times New Roman"/>
        </w:rPr>
        <w:fldChar w:fldCharType="begin"/>
      </w:r>
      <w:r w:rsidR="00C247F4" w:rsidRPr="006D2720">
        <w:rPr>
          <w:rFonts w:ascii="Times New Roman" w:hAnsi="Times New Roman" w:cs="Times New Roman"/>
        </w:rPr>
        <w:instrText xml:space="preserve"> REF _Ref91827433 \r \h </w:instrText>
      </w:r>
      <w:r w:rsidR="00A660A0" w:rsidRPr="006D2720">
        <w:rPr>
          <w:rFonts w:ascii="Times New Roman" w:hAnsi="Times New Roman" w:cs="Times New Roman"/>
        </w:rPr>
        <w:instrText xml:space="preserve"> \* MERGEFORMAT </w:instrText>
      </w:r>
      <w:r w:rsidR="00C247F4" w:rsidRPr="006D2720">
        <w:rPr>
          <w:rFonts w:ascii="Times New Roman" w:hAnsi="Times New Roman" w:cs="Times New Roman"/>
        </w:rPr>
      </w:r>
      <w:r w:rsidR="00C247F4" w:rsidRPr="006D2720">
        <w:rPr>
          <w:rFonts w:ascii="Times New Roman" w:hAnsi="Times New Roman" w:cs="Times New Roman"/>
        </w:rPr>
        <w:fldChar w:fldCharType="separate"/>
      </w:r>
      <w:r w:rsidR="00E66B60">
        <w:rPr>
          <w:rFonts w:ascii="Times New Roman" w:hAnsi="Times New Roman" w:cs="Times New Roman"/>
        </w:rPr>
        <w:t>2.4.8</w:t>
      </w:r>
      <w:r w:rsidR="00C247F4" w:rsidRPr="006D2720">
        <w:rPr>
          <w:rFonts w:ascii="Times New Roman" w:hAnsi="Times New Roman" w:cs="Times New Roman"/>
        </w:rPr>
        <w:fldChar w:fldCharType="end"/>
      </w:r>
      <w:r w:rsidR="00C247F4" w:rsidRPr="006D2720">
        <w:rPr>
          <w:rFonts w:ascii="Times New Roman" w:hAnsi="Times New Roman" w:cs="Times New Roman"/>
        </w:rPr>
        <w:t>]</w:t>
      </w:r>
      <w:r w:rsidR="00E859BE" w:rsidRPr="006D2720">
        <w:rPr>
          <w:rFonts w:ascii="Times New Roman" w:hAnsi="Times New Roman" w:cs="Times New Roman"/>
        </w:rPr>
        <w:t>)</w:t>
      </w:r>
      <w:r w:rsidR="00F87102" w:rsidRPr="006D2720">
        <w:rPr>
          <w:rFonts w:ascii="Times New Roman" w:hAnsi="Times New Roman" w:cs="Times New Roman"/>
        </w:rPr>
        <w:t xml:space="preserve">; </w:t>
      </w:r>
      <w:r w:rsidR="00235ABE" w:rsidRPr="006D2720">
        <w:rPr>
          <w:rFonts w:ascii="Times New Roman" w:hAnsi="Times New Roman" w:cs="Times New Roman"/>
        </w:rPr>
        <w:t xml:space="preserve">and there is no </w:t>
      </w:r>
      <w:r w:rsidR="00F3683D" w:rsidRPr="006D2720">
        <w:rPr>
          <w:rFonts w:ascii="Times New Roman" w:hAnsi="Times New Roman" w:cs="Times New Roman"/>
        </w:rPr>
        <w:t>private right of action that allows an individual to go to court</w:t>
      </w:r>
      <w:r w:rsidR="00756533" w:rsidRPr="006D2720">
        <w:rPr>
          <w:rFonts w:ascii="Times New Roman" w:hAnsi="Times New Roman" w:cs="Times New Roman"/>
        </w:rPr>
        <w:t xml:space="preserve"> to seek damages for </w:t>
      </w:r>
      <w:r w:rsidR="00F87102" w:rsidRPr="006D2720">
        <w:rPr>
          <w:rFonts w:ascii="Times New Roman" w:hAnsi="Times New Roman" w:cs="Times New Roman"/>
        </w:rPr>
        <w:t>financial or non-financial harm suffered as a result of the breach</w:t>
      </w:r>
      <w:r w:rsidR="00A40867" w:rsidRPr="006D2720">
        <w:rPr>
          <w:rFonts w:ascii="Times New Roman" w:hAnsi="Times New Roman" w:cs="Times New Roman"/>
        </w:rPr>
        <w:t>.</w:t>
      </w:r>
    </w:p>
    <w:p w14:paraId="0706A1B6" w14:textId="37C64DB4" w:rsidR="00AF399A" w:rsidRPr="006D2720" w:rsidRDefault="001A5D99" w:rsidP="008569CA">
      <w:pPr>
        <w:rPr>
          <w:rFonts w:ascii="Times New Roman" w:hAnsi="Times New Roman" w:cs="Times New Roman"/>
        </w:rPr>
      </w:pPr>
      <w:r w:rsidRPr="006D2720">
        <w:rPr>
          <w:rFonts w:ascii="Times New Roman" w:hAnsi="Times New Roman" w:cs="Times New Roman"/>
        </w:rPr>
        <w:t xml:space="preserve">These gaps, </w:t>
      </w:r>
      <w:r w:rsidR="00C63130" w:rsidRPr="006D2720">
        <w:rPr>
          <w:rFonts w:ascii="Times New Roman" w:hAnsi="Times New Roman" w:cs="Times New Roman"/>
        </w:rPr>
        <w:t>together</w:t>
      </w:r>
      <w:r w:rsidR="00AF399A" w:rsidRPr="006D2720">
        <w:rPr>
          <w:rFonts w:ascii="Times New Roman" w:hAnsi="Times New Roman" w:cs="Times New Roman"/>
        </w:rPr>
        <w:t xml:space="preserve"> with </w:t>
      </w:r>
      <w:r w:rsidR="000E5049" w:rsidRPr="006D2720">
        <w:rPr>
          <w:rFonts w:ascii="Times New Roman" w:hAnsi="Times New Roman" w:cs="Times New Roman"/>
        </w:rPr>
        <w:t xml:space="preserve">the fragmented landscape of protections </w:t>
      </w:r>
      <w:r w:rsidR="00992EC1" w:rsidRPr="006D2720">
        <w:rPr>
          <w:rFonts w:ascii="Times New Roman" w:hAnsi="Times New Roman" w:cs="Times New Roman"/>
        </w:rPr>
        <w:t>under</w:t>
      </w:r>
      <w:r w:rsidR="009C5422" w:rsidRPr="006D2720">
        <w:rPr>
          <w:rFonts w:ascii="Times New Roman" w:hAnsi="Times New Roman" w:cs="Times New Roman"/>
        </w:rPr>
        <w:t xml:space="preserve"> both legislation and general law</w:t>
      </w:r>
      <w:r w:rsidR="00470751" w:rsidRPr="006D2720">
        <w:rPr>
          <w:rFonts w:ascii="Times New Roman" w:hAnsi="Times New Roman" w:cs="Times New Roman"/>
        </w:rPr>
        <w:t xml:space="preserve">, </w:t>
      </w:r>
      <w:r w:rsidR="00C404EF" w:rsidRPr="006D2720">
        <w:rPr>
          <w:rFonts w:ascii="Times New Roman" w:hAnsi="Times New Roman" w:cs="Times New Roman"/>
        </w:rPr>
        <w:t xml:space="preserve">means </w:t>
      </w:r>
      <w:r w:rsidR="0030738B" w:rsidRPr="006D2720">
        <w:rPr>
          <w:rFonts w:ascii="Times New Roman" w:hAnsi="Times New Roman" w:cs="Times New Roman"/>
        </w:rPr>
        <w:t xml:space="preserve">that some </w:t>
      </w:r>
      <w:r w:rsidR="00C404EF" w:rsidRPr="006D2720">
        <w:rPr>
          <w:rFonts w:ascii="Times New Roman" w:hAnsi="Times New Roman" w:cs="Times New Roman"/>
        </w:rPr>
        <w:t>circumstances</w:t>
      </w:r>
      <w:r w:rsidR="00D110C5" w:rsidRPr="006D2720">
        <w:rPr>
          <w:rFonts w:ascii="Times New Roman" w:hAnsi="Times New Roman" w:cs="Times New Roman"/>
        </w:rPr>
        <w:t xml:space="preserve"> </w:t>
      </w:r>
      <w:r w:rsidR="00992EC1" w:rsidRPr="006D2720">
        <w:rPr>
          <w:rFonts w:ascii="Times New Roman" w:hAnsi="Times New Roman" w:cs="Times New Roman"/>
        </w:rPr>
        <w:t>that</w:t>
      </w:r>
      <w:r w:rsidR="00D110C5" w:rsidRPr="006D2720">
        <w:rPr>
          <w:rFonts w:ascii="Times New Roman" w:hAnsi="Times New Roman" w:cs="Times New Roman"/>
        </w:rPr>
        <w:t xml:space="preserve"> endanger privacy </w:t>
      </w:r>
      <w:r w:rsidR="0030738B" w:rsidRPr="006D2720">
        <w:rPr>
          <w:rFonts w:ascii="Times New Roman" w:hAnsi="Times New Roman" w:cs="Times New Roman"/>
        </w:rPr>
        <w:t xml:space="preserve">may </w:t>
      </w:r>
      <w:r w:rsidR="00C404EF" w:rsidRPr="006D2720">
        <w:rPr>
          <w:rFonts w:ascii="Times New Roman" w:hAnsi="Times New Roman" w:cs="Times New Roman"/>
        </w:rPr>
        <w:t xml:space="preserve">fall </w:t>
      </w:r>
      <w:r w:rsidR="009A2A36" w:rsidRPr="006D2720">
        <w:rPr>
          <w:rFonts w:ascii="Times New Roman" w:hAnsi="Times New Roman" w:cs="Times New Roman"/>
        </w:rPr>
        <w:t>between the cracks of legal regulation</w:t>
      </w:r>
      <w:r w:rsidR="007A1E63" w:rsidRPr="006D2720">
        <w:rPr>
          <w:rFonts w:ascii="Times New Roman" w:hAnsi="Times New Roman" w:cs="Times New Roman"/>
        </w:rPr>
        <w:t xml:space="preserve"> (</w:t>
      </w:r>
      <w:r w:rsidR="000C2174" w:rsidRPr="006D2720">
        <w:rPr>
          <w:rFonts w:ascii="Times New Roman" w:hAnsi="Times New Roman" w:cs="Times New Roman"/>
        </w:rPr>
        <w:t>[</w:t>
      </w:r>
      <w:r w:rsidR="006035BF" w:rsidRPr="006D2720">
        <w:rPr>
          <w:rFonts w:ascii="Times New Roman" w:hAnsi="Times New Roman" w:cs="Times New Roman"/>
        </w:rPr>
        <w:fldChar w:fldCharType="begin"/>
      </w:r>
      <w:r w:rsidR="006035BF" w:rsidRPr="006D2720">
        <w:rPr>
          <w:rFonts w:ascii="Times New Roman" w:hAnsi="Times New Roman" w:cs="Times New Roman"/>
        </w:rPr>
        <w:instrText xml:space="preserve"> REF _Ref91828460 \r \h </w:instrText>
      </w:r>
      <w:r w:rsidR="00A660A0" w:rsidRPr="006D2720">
        <w:rPr>
          <w:rFonts w:ascii="Times New Roman" w:hAnsi="Times New Roman" w:cs="Times New Roman"/>
        </w:rPr>
        <w:instrText xml:space="preserve"> \* MERGEFORMAT </w:instrText>
      </w:r>
      <w:r w:rsidR="006035BF" w:rsidRPr="006D2720">
        <w:rPr>
          <w:rFonts w:ascii="Times New Roman" w:hAnsi="Times New Roman" w:cs="Times New Roman"/>
        </w:rPr>
      </w:r>
      <w:r w:rsidR="006035BF" w:rsidRPr="006D2720">
        <w:rPr>
          <w:rFonts w:ascii="Times New Roman" w:hAnsi="Times New Roman" w:cs="Times New Roman"/>
        </w:rPr>
        <w:fldChar w:fldCharType="separate"/>
      </w:r>
      <w:r w:rsidR="00E66B60">
        <w:rPr>
          <w:rFonts w:ascii="Times New Roman" w:hAnsi="Times New Roman" w:cs="Times New Roman"/>
        </w:rPr>
        <w:t>4.4.3</w:t>
      </w:r>
      <w:r w:rsidR="006035BF" w:rsidRPr="006D2720">
        <w:rPr>
          <w:rFonts w:ascii="Times New Roman" w:hAnsi="Times New Roman" w:cs="Times New Roman"/>
        </w:rPr>
        <w:fldChar w:fldCharType="end"/>
      </w:r>
      <w:r w:rsidR="000C2174" w:rsidRPr="006D2720">
        <w:rPr>
          <w:rFonts w:ascii="Times New Roman" w:hAnsi="Times New Roman" w:cs="Times New Roman"/>
        </w:rPr>
        <w:t>]</w:t>
      </w:r>
      <w:r w:rsidR="007A1E63" w:rsidRPr="006D2720">
        <w:rPr>
          <w:rFonts w:ascii="Times New Roman" w:hAnsi="Times New Roman" w:cs="Times New Roman"/>
        </w:rPr>
        <w:t>)</w:t>
      </w:r>
      <w:r w:rsidR="009A2A36" w:rsidRPr="006D2720">
        <w:rPr>
          <w:rFonts w:ascii="Times New Roman" w:hAnsi="Times New Roman" w:cs="Times New Roman"/>
        </w:rPr>
        <w:t>.</w:t>
      </w:r>
      <w:r w:rsidR="0084017B" w:rsidRPr="006D2720">
        <w:rPr>
          <w:rFonts w:ascii="Times New Roman" w:hAnsi="Times New Roman" w:cs="Times New Roman"/>
        </w:rPr>
        <w:t xml:space="preserve"> </w:t>
      </w:r>
      <w:r w:rsidR="001E1485" w:rsidRPr="006D2720">
        <w:rPr>
          <w:rFonts w:ascii="Times New Roman" w:hAnsi="Times New Roman" w:cs="Times New Roman"/>
        </w:rPr>
        <w:t>This raises questions as to whether there may be</w:t>
      </w:r>
      <w:r w:rsidR="003969BD" w:rsidRPr="006D2720">
        <w:rPr>
          <w:rFonts w:ascii="Times New Roman" w:hAnsi="Times New Roman" w:cs="Times New Roman"/>
        </w:rPr>
        <w:t xml:space="preserve"> a </w:t>
      </w:r>
      <w:r w:rsidR="001E5249" w:rsidRPr="006D2720">
        <w:rPr>
          <w:rFonts w:ascii="Times New Roman" w:hAnsi="Times New Roman" w:cs="Times New Roman"/>
        </w:rPr>
        <w:t xml:space="preserve">case for </w:t>
      </w:r>
      <w:r w:rsidR="00F44C7A" w:rsidRPr="006D2720">
        <w:rPr>
          <w:rFonts w:ascii="Times New Roman" w:hAnsi="Times New Roman" w:cs="Times New Roman"/>
        </w:rPr>
        <w:t xml:space="preserve">creating a civil </w:t>
      </w:r>
      <w:r w:rsidR="009B6968" w:rsidRPr="006D2720">
        <w:rPr>
          <w:rFonts w:ascii="Times New Roman" w:hAnsi="Times New Roman" w:cs="Times New Roman"/>
        </w:rPr>
        <w:t xml:space="preserve">statutory cause of action </w:t>
      </w:r>
      <w:r w:rsidR="00CA5B3E">
        <w:rPr>
          <w:rFonts w:ascii="Times New Roman" w:hAnsi="Times New Roman" w:cs="Times New Roman"/>
        </w:rPr>
        <w:t xml:space="preserve">(and remedy) </w:t>
      </w:r>
      <w:r w:rsidR="00E55A1C" w:rsidRPr="006D2720">
        <w:rPr>
          <w:rFonts w:ascii="Times New Roman" w:hAnsi="Times New Roman" w:cs="Times New Roman"/>
        </w:rPr>
        <w:t>for interference with privacy</w:t>
      </w:r>
      <w:r w:rsidR="00484839" w:rsidRPr="006D2720">
        <w:rPr>
          <w:rFonts w:ascii="Times New Roman" w:hAnsi="Times New Roman" w:cs="Times New Roman"/>
        </w:rPr>
        <w:t xml:space="preserve"> (</w:t>
      </w:r>
      <w:r w:rsidR="009B6968" w:rsidRPr="006D2720">
        <w:rPr>
          <w:rFonts w:ascii="Times New Roman" w:hAnsi="Times New Roman" w:cs="Times New Roman"/>
        </w:rPr>
        <w:t>[</w:t>
      </w:r>
      <w:r w:rsidR="006F60C4" w:rsidRPr="006D2720">
        <w:rPr>
          <w:rFonts w:ascii="Times New Roman" w:hAnsi="Times New Roman" w:cs="Times New Roman"/>
        </w:rPr>
        <w:fldChar w:fldCharType="begin"/>
      </w:r>
      <w:r w:rsidR="006F60C4" w:rsidRPr="006D2720">
        <w:rPr>
          <w:rFonts w:ascii="Times New Roman" w:hAnsi="Times New Roman" w:cs="Times New Roman"/>
        </w:rPr>
        <w:instrText xml:space="preserve"> REF _Ref91828612 \r \h </w:instrText>
      </w:r>
      <w:r w:rsidR="00A660A0" w:rsidRPr="006D2720">
        <w:rPr>
          <w:rFonts w:ascii="Times New Roman" w:hAnsi="Times New Roman" w:cs="Times New Roman"/>
        </w:rPr>
        <w:instrText xml:space="preserve"> \* MERGEFORMAT </w:instrText>
      </w:r>
      <w:r w:rsidR="006F60C4" w:rsidRPr="006D2720">
        <w:rPr>
          <w:rFonts w:ascii="Times New Roman" w:hAnsi="Times New Roman" w:cs="Times New Roman"/>
        </w:rPr>
      </w:r>
      <w:r w:rsidR="006F60C4" w:rsidRPr="006D2720">
        <w:rPr>
          <w:rFonts w:ascii="Times New Roman" w:hAnsi="Times New Roman" w:cs="Times New Roman"/>
        </w:rPr>
        <w:fldChar w:fldCharType="separate"/>
      </w:r>
      <w:r w:rsidR="00E66B60">
        <w:rPr>
          <w:rFonts w:ascii="Times New Roman" w:hAnsi="Times New Roman" w:cs="Times New Roman"/>
        </w:rPr>
        <w:t>4.4</w:t>
      </w:r>
      <w:r w:rsidR="006F60C4" w:rsidRPr="006D2720">
        <w:rPr>
          <w:rFonts w:ascii="Times New Roman" w:hAnsi="Times New Roman" w:cs="Times New Roman"/>
        </w:rPr>
        <w:fldChar w:fldCharType="end"/>
      </w:r>
      <w:r w:rsidR="009B6968" w:rsidRPr="006D2720">
        <w:rPr>
          <w:rFonts w:ascii="Times New Roman" w:hAnsi="Times New Roman" w:cs="Times New Roman"/>
        </w:rPr>
        <w:t>]</w:t>
      </w:r>
      <w:r w:rsidR="006F60C4" w:rsidRPr="006D2720">
        <w:rPr>
          <w:rFonts w:ascii="Times New Roman" w:hAnsi="Times New Roman" w:cs="Times New Roman"/>
        </w:rPr>
        <w:t>)</w:t>
      </w:r>
      <w:r w:rsidR="00E55A1C" w:rsidRPr="006D2720">
        <w:rPr>
          <w:rFonts w:ascii="Times New Roman" w:hAnsi="Times New Roman" w:cs="Times New Roman"/>
        </w:rPr>
        <w:t xml:space="preserve">. </w:t>
      </w:r>
      <w:r w:rsidR="00294AFF" w:rsidRPr="006D2720">
        <w:rPr>
          <w:rFonts w:ascii="Times New Roman" w:hAnsi="Times New Roman" w:cs="Times New Roman"/>
        </w:rPr>
        <w:t>I</w:t>
      </w:r>
      <w:r w:rsidR="00781D02" w:rsidRPr="006D2720">
        <w:rPr>
          <w:rFonts w:ascii="Times New Roman" w:hAnsi="Times New Roman" w:cs="Times New Roman"/>
        </w:rPr>
        <w:t xml:space="preserve">f such a remedy were to be created, </w:t>
      </w:r>
      <w:r w:rsidR="009B6968" w:rsidRPr="006D2720">
        <w:rPr>
          <w:rFonts w:ascii="Times New Roman" w:hAnsi="Times New Roman" w:cs="Times New Roman"/>
        </w:rPr>
        <w:t xml:space="preserve">consideration is given to whether </w:t>
      </w:r>
      <w:r w:rsidR="00781D02" w:rsidRPr="006D2720">
        <w:rPr>
          <w:rFonts w:ascii="Times New Roman" w:hAnsi="Times New Roman" w:cs="Times New Roman"/>
        </w:rPr>
        <w:t xml:space="preserve">it </w:t>
      </w:r>
      <w:r w:rsidR="009B6968" w:rsidRPr="006D2720">
        <w:rPr>
          <w:rFonts w:ascii="Times New Roman" w:hAnsi="Times New Roman" w:cs="Times New Roman"/>
        </w:rPr>
        <w:t xml:space="preserve">should </w:t>
      </w:r>
      <w:r w:rsidR="00781D02" w:rsidRPr="006D2720">
        <w:rPr>
          <w:rFonts w:ascii="Times New Roman" w:hAnsi="Times New Roman" w:cs="Times New Roman"/>
        </w:rPr>
        <w:t xml:space="preserve">be </w:t>
      </w:r>
      <w:r w:rsidR="00E55A1C" w:rsidRPr="006D2720">
        <w:rPr>
          <w:rFonts w:ascii="Times New Roman" w:hAnsi="Times New Roman" w:cs="Times New Roman"/>
        </w:rPr>
        <w:t>comprehensive</w:t>
      </w:r>
      <w:r w:rsidR="006A628A" w:rsidRPr="006D2720">
        <w:rPr>
          <w:rFonts w:ascii="Times New Roman" w:hAnsi="Times New Roman" w:cs="Times New Roman"/>
        </w:rPr>
        <w:t xml:space="preserve"> (</w:t>
      </w:r>
      <w:r w:rsidR="00E55A1C" w:rsidRPr="006D2720">
        <w:rPr>
          <w:rFonts w:ascii="Times New Roman" w:hAnsi="Times New Roman" w:cs="Times New Roman"/>
        </w:rPr>
        <w:t xml:space="preserve">applying </w:t>
      </w:r>
      <w:r w:rsidR="0099724A" w:rsidRPr="006D2720">
        <w:rPr>
          <w:rFonts w:ascii="Times New Roman" w:hAnsi="Times New Roman" w:cs="Times New Roman"/>
        </w:rPr>
        <w:t>independent</w:t>
      </w:r>
      <w:r w:rsidR="004343CE" w:rsidRPr="006D2720">
        <w:rPr>
          <w:rFonts w:ascii="Times New Roman" w:hAnsi="Times New Roman" w:cs="Times New Roman"/>
        </w:rPr>
        <w:t>ly</w:t>
      </w:r>
      <w:r w:rsidR="0099724A" w:rsidRPr="006D2720">
        <w:rPr>
          <w:rFonts w:ascii="Times New Roman" w:hAnsi="Times New Roman" w:cs="Times New Roman"/>
        </w:rPr>
        <w:t xml:space="preserve"> of the context in which the interference occurs</w:t>
      </w:r>
      <w:r w:rsidR="006A628A" w:rsidRPr="006D2720">
        <w:rPr>
          <w:rFonts w:ascii="Times New Roman" w:hAnsi="Times New Roman" w:cs="Times New Roman"/>
        </w:rPr>
        <w:t xml:space="preserve">), </w:t>
      </w:r>
      <w:r w:rsidR="002151BD" w:rsidRPr="006D2720">
        <w:rPr>
          <w:rFonts w:ascii="Times New Roman" w:hAnsi="Times New Roman" w:cs="Times New Roman"/>
        </w:rPr>
        <w:t xml:space="preserve">apply in </w:t>
      </w:r>
      <w:r w:rsidR="009B6968" w:rsidRPr="006D2720">
        <w:rPr>
          <w:rFonts w:ascii="Times New Roman" w:hAnsi="Times New Roman" w:cs="Times New Roman"/>
        </w:rPr>
        <w:t xml:space="preserve">place of or in </w:t>
      </w:r>
      <w:r w:rsidR="002151BD" w:rsidRPr="006D2720">
        <w:rPr>
          <w:rFonts w:ascii="Times New Roman" w:hAnsi="Times New Roman" w:cs="Times New Roman"/>
        </w:rPr>
        <w:t xml:space="preserve">addition to the existing </w:t>
      </w:r>
      <w:r w:rsidR="00294AFF" w:rsidRPr="006D2720">
        <w:rPr>
          <w:rFonts w:ascii="Times New Roman" w:hAnsi="Times New Roman" w:cs="Times New Roman"/>
        </w:rPr>
        <w:t xml:space="preserve">suite </w:t>
      </w:r>
      <w:r w:rsidR="002151BD" w:rsidRPr="006D2720">
        <w:rPr>
          <w:rFonts w:ascii="Times New Roman" w:hAnsi="Times New Roman" w:cs="Times New Roman"/>
        </w:rPr>
        <w:t>of remedies</w:t>
      </w:r>
      <w:r w:rsidR="006A628A" w:rsidRPr="006D2720">
        <w:rPr>
          <w:rFonts w:ascii="Times New Roman" w:hAnsi="Times New Roman" w:cs="Times New Roman"/>
        </w:rPr>
        <w:t>,</w:t>
      </w:r>
      <w:r w:rsidR="002151BD" w:rsidRPr="006D2720">
        <w:rPr>
          <w:rFonts w:ascii="Times New Roman" w:hAnsi="Times New Roman" w:cs="Times New Roman"/>
        </w:rPr>
        <w:t xml:space="preserve"> and </w:t>
      </w:r>
      <w:r w:rsidR="00A362FB" w:rsidRPr="006D2720">
        <w:rPr>
          <w:rFonts w:ascii="Times New Roman" w:hAnsi="Times New Roman" w:cs="Times New Roman"/>
        </w:rPr>
        <w:t xml:space="preserve">allow individuals </w:t>
      </w:r>
      <w:r w:rsidR="00AF613E" w:rsidRPr="006D2720">
        <w:rPr>
          <w:rFonts w:ascii="Times New Roman" w:hAnsi="Times New Roman" w:cs="Times New Roman"/>
        </w:rPr>
        <w:t xml:space="preserve">to seek redress in court </w:t>
      </w:r>
      <w:r w:rsidR="00F93132" w:rsidRPr="006D2720">
        <w:rPr>
          <w:rFonts w:ascii="Times New Roman" w:hAnsi="Times New Roman" w:cs="Times New Roman"/>
        </w:rPr>
        <w:t>when</w:t>
      </w:r>
      <w:r w:rsidR="00AF613E" w:rsidRPr="006D2720">
        <w:rPr>
          <w:rFonts w:ascii="Times New Roman" w:hAnsi="Times New Roman" w:cs="Times New Roman"/>
        </w:rPr>
        <w:t xml:space="preserve"> they have suffered </w:t>
      </w:r>
      <w:r w:rsidR="00E94A9B" w:rsidRPr="006D2720">
        <w:rPr>
          <w:rFonts w:ascii="Times New Roman" w:hAnsi="Times New Roman" w:cs="Times New Roman"/>
        </w:rPr>
        <w:t>harm</w:t>
      </w:r>
      <w:r w:rsidR="00D30901" w:rsidRPr="006D2720">
        <w:rPr>
          <w:rFonts w:ascii="Times New Roman" w:hAnsi="Times New Roman" w:cs="Times New Roman"/>
        </w:rPr>
        <w:t>.</w:t>
      </w:r>
    </w:p>
    <w:p w14:paraId="616FCC56" w14:textId="1A400979" w:rsidR="00781D02" w:rsidRPr="006D2720" w:rsidRDefault="00FE3EE3">
      <w:pPr>
        <w:rPr>
          <w:rFonts w:ascii="Times New Roman" w:hAnsi="Times New Roman" w:cs="Times New Roman"/>
        </w:rPr>
      </w:pPr>
      <w:r w:rsidRPr="006D2720">
        <w:rPr>
          <w:rFonts w:ascii="Times New Roman" w:hAnsi="Times New Roman" w:cs="Times New Roman"/>
        </w:rPr>
        <w:t xml:space="preserve">In discussing </w:t>
      </w:r>
      <w:r w:rsidR="004343CE" w:rsidRPr="006D2720">
        <w:rPr>
          <w:rFonts w:ascii="Times New Roman" w:hAnsi="Times New Roman" w:cs="Times New Roman"/>
        </w:rPr>
        <w:t>the strengths and weaknesses</w:t>
      </w:r>
      <w:r w:rsidRPr="006D2720">
        <w:rPr>
          <w:rFonts w:ascii="Times New Roman" w:hAnsi="Times New Roman" w:cs="Times New Roman"/>
        </w:rPr>
        <w:t xml:space="preserve"> of the PIPA </w:t>
      </w:r>
      <w:r w:rsidR="004343CE" w:rsidRPr="006D2720">
        <w:rPr>
          <w:rFonts w:ascii="Times New Roman" w:hAnsi="Times New Roman" w:cs="Times New Roman"/>
        </w:rPr>
        <w:t xml:space="preserve">and </w:t>
      </w:r>
      <w:r w:rsidRPr="006D2720">
        <w:rPr>
          <w:rFonts w:ascii="Times New Roman" w:hAnsi="Times New Roman" w:cs="Times New Roman"/>
        </w:rPr>
        <w:t xml:space="preserve">privacy laws more generally, </w:t>
      </w:r>
      <w:r w:rsidR="00781D02" w:rsidRPr="006D2720">
        <w:rPr>
          <w:rFonts w:ascii="Times New Roman" w:hAnsi="Times New Roman" w:cs="Times New Roman"/>
        </w:rPr>
        <w:t xml:space="preserve">this Paper seeks input from the community on </w:t>
      </w:r>
      <w:r w:rsidR="004343CE" w:rsidRPr="006D2720">
        <w:rPr>
          <w:rFonts w:ascii="Times New Roman" w:hAnsi="Times New Roman" w:cs="Times New Roman"/>
        </w:rPr>
        <w:t>several</w:t>
      </w:r>
      <w:r w:rsidR="00781D02" w:rsidRPr="006D2720">
        <w:rPr>
          <w:rFonts w:ascii="Times New Roman" w:hAnsi="Times New Roman" w:cs="Times New Roman"/>
        </w:rPr>
        <w:t xml:space="preserve"> issues,</w:t>
      </w:r>
      <w:r w:rsidRPr="006D2720">
        <w:rPr>
          <w:rFonts w:ascii="Times New Roman" w:hAnsi="Times New Roman" w:cs="Times New Roman"/>
        </w:rPr>
        <w:t xml:space="preserve"> includ</w:t>
      </w:r>
      <w:r w:rsidR="00781D02" w:rsidRPr="006D2720">
        <w:rPr>
          <w:rFonts w:ascii="Times New Roman" w:hAnsi="Times New Roman" w:cs="Times New Roman"/>
        </w:rPr>
        <w:t>ing whether</w:t>
      </w:r>
      <w:r w:rsidRPr="006D2720">
        <w:rPr>
          <w:rFonts w:ascii="Times New Roman" w:hAnsi="Times New Roman" w:cs="Times New Roman"/>
        </w:rPr>
        <w:t>:</w:t>
      </w:r>
      <w:r w:rsidR="0008680C" w:rsidRPr="006D2720">
        <w:rPr>
          <w:rFonts w:ascii="Times New Roman" w:hAnsi="Times New Roman" w:cs="Times New Roman"/>
        </w:rPr>
        <w:t xml:space="preserve"> </w:t>
      </w:r>
    </w:p>
    <w:p w14:paraId="25A3A4F2" w14:textId="3ABED15F" w:rsidR="00781D02" w:rsidRPr="006D2720" w:rsidRDefault="00BE4756">
      <w:pPr>
        <w:pStyle w:val="ListParagraph"/>
        <w:numPr>
          <w:ilvl w:val="0"/>
          <w:numId w:val="35"/>
        </w:numPr>
        <w:rPr>
          <w:rFonts w:ascii="Times New Roman" w:hAnsi="Times New Roman" w:cs="Times New Roman"/>
        </w:rPr>
      </w:pPr>
      <w:r w:rsidRPr="006D2720">
        <w:rPr>
          <w:rFonts w:ascii="Times New Roman" w:hAnsi="Times New Roman" w:cs="Times New Roman"/>
        </w:rPr>
        <w:t>certain entities should be covered by the PIPA</w:t>
      </w:r>
      <w:r w:rsidR="00E4377A" w:rsidRPr="006D2720">
        <w:rPr>
          <w:rFonts w:ascii="Times New Roman" w:hAnsi="Times New Roman" w:cs="Times New Roman"/>
        </w:rPr>
        <w:t>;</w:t>
      </w:r>
      <w:r w:rsidR="00977D17" w:rsidRPr="006D2720">
        <w:rPr>
          <w:rFonts w:ascii="Times New Roman" w:hAnsi="Times New Roman" w:cs="Times New Roman"/>
        </w:rPr>
        <w:t xml:space="preserve"> </w:t>
      </w:r>
    </w:p>
    <w:p w14:paraId="771108B9" w14:textId="77777777" w:rsidR="004343CE" w:rsidRPr="006D2720" w:rsidRDefault="00243040">
      <w:pPr>
        <w:pStyle w:val="ListParagraph"/>
        <w:numPr>
          <w:ilvl w:val="0"/>
          <w:numId w:val="35"/>
        </w:numPr>
        <w:rPr>
          <w:rFonts w:ascii="Times New Roman" w:hAnsi="Times New Roman" w:cs="Times New Roman"/>
        </w:rPr>
      </w:pPr>
      <w:r w:rsidRPr="006D2720">
        <w:rPr>
          <w:rFonts w:ascii="Times New Roman" w:hAnsi="Times New Roman" w:cs="Times New Roman"/>
        </w:rPr>
        <w:t>a greater range of remedies should be available for those affected by a breach of the PIPA</w:t>
      </w:r>
      <w:r w:rsidR="00E4377A" w:rsidRPr="006D2720">
        <w:rPr>
          <w:rFonts w:ascii="Times New Roman" w:hAnsi="Times New Roman" w:cs="Times New Roman"/>
        </w:rPr>
        <w:t>;</w:t>
      </w:r>
    </w:p>
    <w:p w14:paraId="45492000" w14:textId="2129F8E0" w:rsidR="00781D02" w:rsidRPr="006D2720" w:rsidRDefault="009E6D5F">
      <w:pPr>
        <w:pStyle w:val="ListParagraph"/>
        <w:numPr>
          <w:ilvl w:val="0"/>
          <w:numId w:val="35"/>
        </w:numPr>
        <w:rPr>
          <w:rFonts w:ascii="Times New Roman" w:hAnsi="Times New Roman" w:cs="Times New Roman"/>
        </w:rPr>
      </w:pPr>
      <w:r w:rsidRPr="006D2720">
        <w:rPr>
          <w:rFonts w:ascii="Times New Roman" w:hAnsi="Times New Roman" w:cs="Times New Roman"/>
        </w:rPr>
        <w:t>a data breach notification requirement should be introduced</w:t>
      </w:r>
      <w:r w:rsidR="00E4377A" w:rsidRPr="006D2720">
        <w:rPr>
          <w:rFonts w:ascii="Times New Roman" w:hAnsi="Times New Roman" w:cs="Times New Roman"/>
        </w:rPr>
        <w:t>;</w:t>
      </w:r>
      <w:r w:rsidRPr="006D2720">
        <w:rPr>
          <w:rFonts w:ascii="Times New Roman" w:hAnsi="Times New Roman" w:cs="Times New Roman"/>
        </w:rPr>
        <w:t xml:space="preserve"> </w:t>
      </w:r>
    </w:p>
    <w:p w14:paraId="06124A58" w14:textId="69FDD23A" w:rsidR="00781D02" w:rsidRPr="006D2720" w:rsidRDefault="00D76E2D">
      <w:pPr>
        <w:pStyle w:val="ListParagraph"/>
        <w:numPr>
          <w:ilvl w:val="0"/>
          <w:numId w:val="35"/>
        </w:numPr>
        <w:rPr>
          <w:rFonts w:ascii="Times New Roman" w:hAnsi="Times New Roman" w:cs="Times New Roman"/>
        </w:rPr>
      </w:pPr>
      <w:r w:rsidRPr="006D2720">
        <w:rPr>
          <w:rFonts w:ascii="Times New Roman" w:hAnsi="Times New Roman" w:cs="Times New Roman"/>
        </w:rPr>
        <w:t xml:space="preserve">new rights </w:t>
      </w:r>
      <w:r w:rsidR="00EE071E" w:rsidRPr="006D2720">
        <w:rPr>
          <w:rFonts w:ascii="Times New Roman" w:hAnsi="Times New Roman" w:cs="Times New Roman"/>
        </w:rPr>
        <w:t>to</w:t>
      </w:r>
      <w:r w:rsidRPr="006D2720">
        <w:rPr>
          <w:rFonts w:ascii="Times New Roman" w:hAnsi="Times New Roman" w:cs="Times New Roman"/>
        </w:rPr>
        <w:t xml:space="preserve"> object</w:t>
      </w:r>
      <w:r w:rsidR="00EE071E" w:rsidRPr="006D2720">
        <w:rPr>
          <w:rFonts w:ascii="Times New Roman" w:hAnsi="Times New Roman" w:cs="Times New Roman"/>
        </w:rPr>
        <w:t xml:space="preserve"> </w:t>
      </w:r>
      <w:r w:rsidRPr="006D2720">
        <w:rPr>
          <w:rFonts w:ascii="Times New Roman" w:hAnsi="Times New Roman" w:cs="Times New Roman"/>
        </w:rPr>
        <w:t xml:space="preserve">and </w:t>
      </w:r>
      <w:r w:rsidR="00EE071E" w:rsidRPr="006D2720">
        <w:rPr>
          <w:rFonts w:ascii="Times New Roman" w:hAnsi="Times New Roman" w:cs="Times New Roman"/>
        </w:rPr>
        <w:t>to erasure</w:t>
      </w:r>
      <w:r w:rsidRPr="006D2720">
        <w:rPr>
          <w:rFonts w:ascii="Times New Roman" w:hAnsi="Times New Roman" w:cs="Times New Roman"/>
        </w:rPr>
        <w:t xml:space="preserve"> should be introduced</w:t>
      </w:r>
      <w:r w:rsidR="00E4377A" w:rsidRPr="006D2720">
        <w:rPr>
          <w:rFonts w:ascii="Times New Roman" w:hAnsi="Times New Roman" w:cs="Times New Roman"/>
        </w:rPr>
        <w:t>;</w:t>
      </w:r>
      <w:r w:rsidRPr="006D2720">
        <w:rPr>
          <w:rFonts w:ascii="Times New Roman" w:hAnsi="Times New Roman" w:cs="Times New Roman"/>
        </w:rPr>
        <w:t xml:space="preserve"> </w:t>
      </w:r>
    </w:p>
    <w:p w14:paraId="37EA6AA1" w14:textId="623D5F79" w:rsidR="00781D02" w:rsidRPr="006D2720" w:rsidRDefault="00D76E2D">
      <w:pPr>
        <w:pStyle w:val="ListParagraph"/>
        <w:numPr>
          <w:ilvl w:val="0"/>
          <w:numId w:val="35"/>
        </w:numPr>
        <w:rPr>
          <w:rFonts w:ascii="Times New Roman" w:hAnsi="Times New Roman" w:cs="Times New Roman"/>
        </w:rPr>
      </w:pPr>
      <w:r w:rsidRPr="006D2720">
        <w:rPr>
          <w:rFonts w:ascii="Times New Roman" w:hAnsi="Times New Roman" w:cs="Times New Roman"/>
        </w:rPr>
        <w:t xml:space="preserve">there should be privacy regulation on </w:t>
      </w:r>
      <w:r w:rsidR="00990AB3" w:rsidRPr="006D2720">
        <w:rPr>
          <w:rFonts w:ascii="Times New Roman" w:hAnsi="Times New Roman" w:cs="Times New Roman"/>
        </w:rPr>
        <w:t>specific technology such as drones</w:t>
      </w:r>
      <w:r w:rsidR="00DB411B" w:rsidRPr="006D2720">
        <w:rPr>
          <w:rFonts w:ascii="Times New Roman" w:hAnsi="Times New Roman" w:cs="Times New Roman"/>
        </w:rPr>
        <w:t>;</w:t>
      </w:r>
      <w:r w:rsidRPr="006D2720">
        <w:rPr>
          <w:rFonts w:ascii="Times New Roman" w:hAnsi="Times New Roman" w:cs="Times New Roman"/>
        </w:rPr>
        <w:t xml:space="preserve"> </w:t>
      </w:r>
    </w:p>
    <w:p w14:paraId="09B167D0" w14:textId="76CFC3C8" w:rsidR="00781D02" w:rsidRPr="006D2720" w:rsidRDefault="00A37F86">
      <w:pPr>
        <w:pStyle w:val="ListParagraph"/>
        <w:numPr>
          <w:ilvl w:val="0"/>
          <w:numId w:val="35"/>
        </w:numPr>
        <w:rPr>
          <w:rFonts w:ascii="Times New Roman" w:hAnsi="Times New Roman" w:cs="Times New Roman"/>
        </w:rPr>
      </w:pPr>
      <w:r w:rsidRPr="006D2720">
        <w:rPr>
          <w:rFonts w:ascii="Times New Roman" w:hAnsi="Times New Roman" w:cs="Times New Roman"/>
        </w:rPr>
        <w:t xml:space="preserve">existing judicial recognition of privacy </w:t>
      </w:r>
      <w:r w:rsidR="00C63322" w:rsidRPr="006D2720">
        <w:rPr>
          <w:rFonts w:ascii="Times New Roman" w:hAnsi="Times New Roman" w:cs="Times New Roman"/>
        </w:rPr>
        <w:t>affords</w:t>
      </w:r>
      <w:r w:rsidRPr="006D2720">
        <w:rPr>
          <w:rFonts w:ascii="Times New Roman" w:hAnsi="Times New Roman" w:cs="Times New Roman"/>
        </w:rPr>
        <w:t xml:space="preserve"> adequate protection</w:t>
      </w:r>
      <w:r w:rsidR="00E42131" w:rsidRPr="006D2720">
        <w:rPr>
          <w:rFonts w:ascii="Times New Roman" w:hAnsi="Times New Roman" w:cs="Times New Roman"/>
        </w:rPr>
        <w:t>;</w:t>
      </w:r>
      <w:r w:rsidRPr="006D2720">
        <w:rPr>
          <w:rFonts w:ascii="Times New Roman" w:hAnsi="Times New Roman" w:cs="Times New Roman"/>
        </w:rPr>
        <w:t xml:space="preserve"> </w:t>
      </w:r>
      <w:r w:rsidR="00A259F5" w:rsidRPr="006D2720">
        <w:rPr>
          <w:rFonts w:ascii="Times New Roman" w:hAnsi="Times New Roman" w:cs="Times New Roman"/>
        </w:rPr>
        <w:t xml:space="preserve">and </w:t>
      </w:r>
    </w:p>
    <w:p w14:paraId="1850795B" w14:textId="7F46C0E2" w:rsidR="00617E79" w:rsidRPr="006D2720" w:rsidRDefault="00A37F86">
      <w:pPr>
        <w:pStyle w:val="ListParagraph"/>
        <w:numPr>
          <w:ilvl w:val="0"/>
          <w:numId w:val="35"/>
        </w:numPr>
        <w:rPr>
          <w:rFonts w:ascii="Times New Roman" w:hAnsi="Times New Roman" w:cs="Times New Roman"/>
        </w:rPr>
      </w:pPr>
      <w:r w:rsidRPr="006D2720">
        <w:rPr>
          <w:rFonts w:ascii="Times New Roman" w:hAnsi="Times New Roman" w:cs="Times New Roman"/>
        </w:rPr>
        <w:t xml:space="preserve">there should be a civil </w:t>
      </w:r>
      <w:r w:rsidR="009B6968" w:rsidRPr="006D2720">
        <w:rPr>
          <w:rFonts w:ascii="Times New Roman" w:hAnsi="Times New Roman" w:cs="Times New Roman"/>
        </w:rPr>
        <w:t xml:space="preserve">cause of action </w:t>
      </w:r>
      <w:r w:rsidRPr="006D2720">
        <w:rPr>
          <w:rFonts w:ascii="Times New Roman" w:hAnsi="Times New Roman" w:cs="Times New Roman"/>
        </w:rPr>
        <w:t>for privacy</w:t>
      </w:r>
      <w:r w:rsidR="00C73F15" w:rsidRPr="006D2720">
        <w:rPr>
          <w:rFonts w:ascii="Times New Roman" w:hAnsi="Times New Roman" w:cs="Times New Roman"/>
        </w:rPr>
        <w:t xml:space="preserve"> and, if so, </w:t>
      </w:r>
      <w:r w:rsidR="00EA3543" w:rsidRPr="006D2720">
        <w:rPr>
          <w:rFonts w:ascii="Times New Roman" w:hAnsi="Times New Roman" w:cs="Times New Roman"/>
        </w:rPr>
        <w:t xml:space="preserve">what </w:t>
      </w:r>
      <w:r w:rsidR="00C73F15" w:rsidRPr="006D2720">
        <w:rPr>
          <w:rFonts w:ascii="Times New Roman" w:hAnsi="Times New Roman" w:cs="Times New Roman"/>
        </w:rPr>
        <w:t xml:space="preserve">its </w:t>
      </w:r>
      <w:r w:rsidR="00EA3543" w:rsidRPr="006D2720">
        <w:rPr>
          <w:rFonts w:ascii="Times New Roman" w:hAnsi="Times New Roman" w:cs="Times New Roman"/>
        </w:rPr>
        <w:t xml:space="preserve">scope </w:t>
      </w:r>
      <w:r w:rsidR="00C73F15" w:rsidRPr="006D2720">
        <w:rPr>
          <w:rFonts w:ascii="Times New Roman" w:hAnsi="Times New Roman" w:cs="Times New Roman"/>
        </w:rPr>
        <w:t xml:space="preserve">should </w:t>
      </w:r>
      <w:r w:rsidR="00EA3543" w:rsidRPr="006D2720">
        <w:rPr>
          <w:rFonts w:ascii="Times New Roman" w:hAnsi="Times New Roman" w:cs="Times New Roman"/>
        </w:rPr>
        <w:t>be.</w:t>
      </w:r>
      <w:r w:rsidRPr="006D2720">
        <w:rPr>
          <w:rFonts w:ascii="Times New Roman" w:hAnsi="Times New Roman" w:cs="Times New Roman"/>
        </w:rPr>
        <w:t xml:space="preserve"> </w:t>
      </w:r>
      <w:r w:rsidR="00617E79" w:rsidRPr="006D2720">
        <w:rPr>
          <w:rFonts w:ascii="Times New Roman" w:hAnsi="Times New Roman" w:cs="Times New Roman"/>
        </w:rPr>
        <w:br w:type="page"/>
      </w:r>
    </w:p>
    <w:p w14:paraId="6A53EA4F" w14:textId="01C0100F" w:rsidR="005D6FAE" w:rsidRPr="006D2720" w:rsidRDefault="005D6FAE" w:rsidP="005D6FAE">
      <w:pPr>
        <w:pStyle w:val="Heading1"/>
        <w:numPr>
          <w:ilvl w:val="0"/>
          <w:numId w:val="0"/>
        </w:numPr>
        <w:spacing w:before="0"/>
        <w:rPr>
          <w:rFonts w:ascii="Times New Roman" w:hAnsi="Times New Roman" w:cs="Times New Roman"/>
        </w:rPr>
      </w:pPr>
      <w:bookmarkStart w:id="10" w:name="_Toc130540417"/>
      <w:r w:rsidRPr="006D2720">
        <w:rPr>
          <w:rFonts w:ascii="Times New Roman" w:hAnsi="Times New Roman" w:cs="Times New Roman"/>
        </w:rPr>
        <w:t xml:space="preserve">List of </w:t>
      </w:r>
      <w:r w:rsidR="001304AB" w:rsidRPr="006D2720">
        <w:rPr>
          <w:rFonts w:ascii="Times New Roman" w:hAnsi="Times New Roman" w:cs="Times New Roman"/>
        </w:rPr>
        <w:t>a</w:t>
      </w:r>
      <w:r w:rsidRPr="006D2720">
        <w:rPr>
          <w:rFonts w:ascii="Times New Roman" w:hAnsi="Times New Roman" w:cs="Times New Roman"/>
        </w:rPr>
        <w:t xml:space="preserve">cronyms and </w:t>
      </w:r>
      <w:r w:rsidR="001304AB" w:rsidRPr="006D2720">
        <w:rPr>
          <w:rFonts w:ascii="Times New Roman" w:hAnsi="Times New Roman" w:cs="Times New Roman"/>
        </w:rPr>
        <w:t>a</w:t>
      </w:r>
      <w:r w:rsidRPr="006D2720">
        <w:rPr>
          <w:rFonts w:ascii="Times New Roman" w:hAnsi="Times New Roman" w:cs="Times New Roman"/>
        </w:rPr>
        <w:t>bbreviations</w:t>
      </w:r>
      <w:bookmarkEnd w:id="10"/>
    </w:p>
    <w:p w14:paraId="3050BD7B" w14:textId="5862A6EB" w:rsidR="005D6FAE" w:rsidRPr="006D2720" w:rsidRDefault="005D6FAE" w:rsidP="005D6FAE">
      <w:pPr>
        <w:rPr>
          <w:rFonts w:ascii="Times New Roman" w:hAnsi="Times New Roman" w:cs="Times New Roman"/>
        </w:rPr>
      </w:pPr>
      <w:r w:rsidRPr="006D2720">
        <w:rPr>
          <w:rFonts w:ascii="Times New Roman" w:hAnsi="Times New Roman" w:cs="Times New Roman"/>
        </w:rPr>
        <w:t>In this Issues Paper, language that is consistent with relevant Acts is used wherever possible. The following is a complete list of acronyms, abbreviations, and key terms used:</w:t>
      </w:r>
    </w:p>
    <w:p w14:paraId="7CF3CBF2" w14:textId="77777777" w:rsidR="00F15C65" w:rsidRPr="006D2720" w:rsidRDefault="00F15C65" w:rsidP="005D6FAE">
      <w:pPr>
        <w:rPr>
          <w:rFonts w:ascii="Times New Roman" w:hAnsi="Times New Roman" w:cs="Times New Roman"/>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954"/>
      </w:tblGrid>
      <w:tr w:rsidR="0024533F" w:rsidRPr="006D2720" w14:paraId="103FD67B" w14:textId="77777777" w:rsidTr="00814D71">
        <w:trPr>
          <w:trHeight w:val="397"/>
        </w:trPr>
        <w:tc>
          <w:tcPr>
            <w:tcW w:w="2551" w:type="dxa"/>
            <w:shd w:val="clear" w:color="auto" w:fill="auto"/>
          </w:tcPr>
          <w:p w14:paraId="444EBBF3" w14:textId="5281157D" w:rsidR="0024533F" w:rsidRPr="006D2720" w:rsidRDefault="0024533F" w:rsidP="003C46EC">
            <w:pPr>
              <w:rPr>
                <w:rFonts w:ascii="Times New Roman" w:hAnsi="Times New Roman" w:cs="Times New Roman"/>
              </w:rPr>
            </w:pPr>
            <w:r w:rsidRPr="006D2720">
              <w:rPr>
                <w:rFonts w:ascii="Times New Roman" w:hAnsi="Times New Roman" w:cs="Times New Roman"/>
              </w:rPr>
              <w:t>A</w:t>
            </w:r>
            <w:r w:rsidR="00241563" w:rsidRPr="006D2720">
              <w:rPr>
                <w:rFonts w:ascii="Times New Roman" w:hAnsi="Times New Roman" w:cs="Times New Roman"/>
              </w:rPr>
              <w:t>CCC</w:t>
            </w:r>
          </w:p>
        </w:tc>
        <w:tc>
          <w:tcPr>
            <w:tcW w:w="5954" w:type="dxa"/>
            <w:shd w:val="clear" w:color="auto" w:fill="auto"/>
          </w:tcPr>
          <w:p w14:paraId="1B8D2136" w14:textId="617FCED4" w:rsidR="0024533F" w:rsidRPr="006D2720" w:rsidRDefault="0024533F" w:rsidP="003C46EC">
            <w:pPr>
              <w:rPr>
                <w:rFonts w:ascii="Times New Roman" w:hAnsi="Times New Roman" w:cs="Times New Roman"/>
              </w:rPr>
            </w:pPr>
            <w:r w:rsidRPr="006D2720">
              <w:rPr>
                <w:rFonts w:ascii="Times New Roman" w:hAnsi="Times New Roman" w:cs="Times New Roman"/>
              </w:rPr>
              <w:t xml:space="preserve">Australian </w:t>
            </w:r>
            <w:r w:rsidR="00241563" w:rsidRPr="006D2720">
              <w:rPr>
                <w:rFonts w:ascii="Times New Roman" w:hAnsi="Times New Roman" w:cs="Times New Roman"/>
              </w:rPr>
              <w:t>Competition &amp; Consumer Commission</w:t>
            </w:r>
          </w:p>
        </w:tc>
      </w:tr>
      <w:tr w:rsidR="005D6FAE" w:rsidRPr="006D2720" w14:paraId="548045E6" w14:textId="77777777" w:rsidTr="00814D71">
        <w:trPr>
          <w:trHeight w:val="397"/>
        </w:trPr>
        <w:tc>
          <w:tcPr>
            <w:tcW w:w="2551" w:type="dxa"/>
            <w:shd w:val="clear" w:color="auto" w:fill="auto"/>
          </w:tcPr>
          <w:p w14:paraId="2481D6ED"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ACT </w:t>
            </w:r>
          </w:p>
        </w:tc>
        <w:tc>
          <w:tcPr>
            <w:tcW w:w="5954" w:type="dxa"/>
            <w:shd w:val="clear" w:color="auto" w:fill="auto"/>
          </w:tcPr>
          <w:p w14:paraId="241F0144"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Australian Capital Territory</w:t>
            </w:r>
          </w:p>
        </w:tc>
      </w:tr>
      <w:tr w:rsidR="0036674F" w:rsidRPr="006D2720" w14:paraId="57F0EA3F" w14:textId="77777777" w:rsidTr="00814D71">
        <w:trPr>
          <w:trHeight w:val="397"/>
        </w:trPr>
        <w:tc>
          <w:tcPr>
            <w:tcW w:w="2551" w:type="dxa"/>
            <w:shd w:val="clear" w:color="auto" w:fill="auto"/>
          </w:tcPr>
          <w:p w14:paraId="2B933BA0" w14:textId="11F876E5" w:rsidR="0036674F" w:rsidRPr="006D2720" w:rsidRDefault="0036674F" w:rsidP="003C46EC">
            <w:pPr>
              <w:rPr>
                <w:rFonts w:ascii="Times New Roman" w:hAnsi="Times New Roman" w:cs="Times New Roman"/>
              </w:rPr>
            </w:pPr>
            <w:r w:rsidRPr="006D2720">
              <w:rPr>
                <w:rFonts w:ascii="Times New Roman" w:hAnsi="Times New Roman" w:cs="Times New Roman"/>
              </w:rPr>
              <w:t>ADEPT</w:t>
            </w:r>
          </w:p>
        </w:tc>
        <w:tc>
          <w:tcPr>
            <w:tcW w:w="5954" w:type="dxa"/>
            <w:shd w:val="clear" w:color="auto" w:fill="auto"/>
          </w:tcPr>
          <w:p w14:paraId="4A6320DF" w14:textId="73A14FA2" w:rsidR="0036674F" w:rsidRPr="006D2720" w:rsidRDefault="0036674F" w:rsidP="003C46EC">
            <w:pPr>
              <w:rPr>
                <w:rFonts w:ascii="Times New Roman" w:hAnsi="Times New Roman" w:cs="Times New Roman"/>
              </w:rPr>
            </w:pPr>
            <w:r w:rsidRPr="006D2720">
              <w:rPr>
                <w:rFonts w:ascii="Times New Roman" w:hAnsi="Times New Roman" w:cs="Times New Roman"/>
              </w:rPr>
              <w:t>Administrative Data Exchange Protocol for Tasmania</w:t>
            </w:r>
          </w:p>
        </w:tc>
      </w:tr>
      <w:tr w:rsidR="008C498B" w:rsidRPr="006D2720" w14:paraId="63CF8C2B" w14:textId="77777777" w:rsidTr="00814D71">
        <w:trPr>
          <w:trHeight w:val="397"/>
        </w:trPr>
        <w:tc>
          <w:tcPr>
            <w:tcW w:w="2551" w:type="dxa"/>
            <w:shd w:val="clear" w:color="auto" w:fill="auto"/>
          </w:tcPr>
          <w:p w14:paraId="0A27891F" w14:textId="57A4EDA1" w:rsidR="008C498B" w:rsidRPr="006D2720" w:rsidRDefault="008C498B" w:rsidP="003C46EC">
            <w:pPr>
              <w:rPr>
                <w:rFonts w:ascii="Times New Roman" w:hAnsi="Times New Roman" w:cs="Times New Roman"/>
              </w:rPr>
            </w:pPr>
            <w:r w:rsidRPr="006D2720">
              <w:rPr>
                <w:rFonts w:ascii="Times New Roman" w:hAnsi="Times New Roman" w:cs="Times New Roman"/>
              </w:rPr>
              <w:t>AHRC</w:t>
            </w:r>
          </w:p>
        </w:tc>
        <w:tc>
          <w:tcPr>
            <w:tcW w:w="5954" w:type="dxa"/>
            <w:shd w:val="clear" w:color="auto" w:fill="auto"/>
          </w:tcPr>
          <w:p w14:paraId="29C41E6A" w14:textId="6A34F5B5" w:rsidR="008C498B" w:rsidRPr="006D2720" w:rsidRDefault="008C498B" w:rsidP="003C46EC">
            <w:pPr>
              <w:rPr>
                <w:rFonts w:ascii="Times New Roman" w:hAnsi="Times New Roman" w:cs="Times New Roman"/>
              </w:rPr>
            </w:pPr>
            <w:r w:rsidRPr="006D2720">
              <w:rPr>
                <w:rFonts w:ascii="Times New Roman" w:hAnsi="Times New Roman" w:cs="Times New Roman"/>
              </w:rPr>
              <w:t>Australian Human Rights Commission</w:t>
            </w:r>
          </w:p>
        </w:tc>
      </w:tr>
      <w:tr w:rsidR="005D6FAE" w:rsidRPr="006D2720" w14:paraId="604C2E45" w14:textId="77777777" w:rsidTr="00814D71">
        <w:trPr>
          <w:trHeight w:val="397"/>
        </w:trPr>
        <w:tc>
          <w:tcPr>
            <w:tcW w:w="2551" w:type="dxa"/>
            <w:shd w:val="clear" w:color="auto" w:fill="auto"/>
          </w:tcPr>
          <w:p w14:paraId="58066B3C"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ALRC </w:t>
            </w:r>
          </w:p>
        </w:tc>
        <w:tc>
          <w:tcPr>
            <w:tcW w:w="5954" w:type="dxa"/>
            <w:shd w:val="clear" w:color="auto" w:fill="auto"/>
          </w:tcPr>
          <w:p w14:paraId="094CBF1B"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Australian Law Reform Commission</w:t>
            </w:r>
          </w:p>
        </w:tc>
      </w:tr>
      <w:tr w:rsidR="005D6FAE" w:rsidRPr="006D2720" w14:paraId="70500F77" w14:textId="77777777" w:rsidTr="00814D71">
        <w:trPr>
          <w:trHeight w:val="397"/>
        </w:trPr>
        <w:tc>
          <w:tcPr>
            <w:tcW w:w="2551" w:type="dxa"/>
            <w:shd w:val="clear" w:color="auto" w:fill="auto"/>
          </w:tcPr>
          <w:p w14:paraId="6598077F"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APPs </w:t>
            </w:r>
          </w:p>
        </w:tc>
        <w:tc>
          <w:tcPr>
            <w:tcW w:w="5954" w:type="dxa"/>
            <w:shd w:val="clear" w:color="auto" w:fill="auto"/>
          </w:tcPr>
          <w:p w14:paraId="14648BB3" w14:textId="77777777" w:rsidR="005D6FAE" w:rsidRPr="006D2720" w:rsidRDefault="005D6FAE" w:rsidP="003C46EC">
            <w:pPr>
              <w:spacing w:after="160"/>
              <w:rPr>
                <w:rFonts w:ascii="Times New Roman" w:hAnsi="Times New Roman" w:cs="Times New Roman"/>
                <w:i/>
                <w:iCs/>
                <w:sz w:val="22"/>
                <w:szCs w:val="22"/>
              </w:rPr>
            </w:pPr>
            <w:r w:rsidRPr="006D2720">
              <w:rPr>
                <w:rFonts w:ascii="Times New Roman" w:hAnsi="Times New Roman" w:cs="Times New Roman"/>
              </w:rPr>
              <w:t>Australian Privacy Principles</w:t>
            </w:r>
          </w:p>
        </w:tc>
      </w:tr>
      <w:tr w:rsidR="005D6FAE" w:rsidRPr="006D2720" w14:paraId="6C5601FB" w14:textId="77777777" w:rsidTr="00814D71">
        <w:trPr>
          <w:trHeight w:val="397"/>
        </w:trPr>
        <w:tc>
          <w:tcPr>
            <w:tcW w:w="2551" w:type="dxa"/>
            <w:shd w:val="clear" w:color="auto" w:fill="auto"/>
          </w:tcPr>
          <w:p w14:paraId="4A6E4656" w14:textId="77777777" w:rsidR="005D6FAE" w:rsidRPr="006D2720" w:rsidRDefault="005D6FAE" w:rsidP="003C46EC">
            <w:pPr>
              <w:rPr>
                <w:rFonts w:ascii="Times New Roman" w:hAnsi="Times New Roman" w:cs="Times New Roman"/>
              </w:rPr>
            </w:pPr>
            <w:r w:rsidRPr="006D2720">
              <w:rPr>
                <w:rFonts w:ascii="Times New Roman" w:hAnsi="Times New Roman" w:cs="Times New Roman"/>
              </w:rPr>
              <w:t>ICCPR</w:t>
            </w:r>
          </w:p>
        </w:tc>
        <w:tc>
          <w:tcPr>
            <w:tcW w:w="5954" w:type="dxa"/>
            <w:shd w:val="clear" w:color="auto" w:fill="auto"/>
          </w:tcPr>
          <w:p w14:paraId="5805A9F5" w14:textId="38B11FA7" w:rsidR="005D6FAE" w:rsidRPr="006D2720" w:rsidRDefault="005D6FAE" w:rsidP="00814D71">
            <w:pPr>
              <w:rPr>
                <w:rFonts w:ascii="Times New Roman" w:hAnsi="Times New Roman" w:cs="Times New Roman"/>
              </w:rPr>
            </w:pPr>
            <w:r w:rsidRPr="006D2720">
              <w:rPr>
                <w:rFonts w:ascii="Times New Roman" w:hAnsi="Times New Roman" w:cs="Times New Roman"/>
                <w:i/>
                <w:iCs/>
              </w:rPr>
              <w:t>International Covenant on Civil and Political Rights</w:t>
            </w:r>
          </w:p>
        </w:tc>
      </w:tr>
      <w:tr w:rsidR="005D6FAE" w:rsidRPr="006D2720" w14:paraId="733E89AA" w14:textId="77777777" w:rsidTr="00814D71">
        <w:trPr>
          <w:trHeight w:val="397"/>
        </w:trPr>
        <w:tc>
          <w:tcPr>
            <w:tcW w:w="2551" w:type="dxa"/>
            <w:shd w:val="clear" w:color="auto" w:fill="auto"/>
          </w:tcPr>
          <w:p w14:paraId="3A96DC31"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GDPR </w:t>
            </w:r>
          </w:p>
        </w:tc>
        <w:tc>
          <w:tcPr>
            <w:tcW w:w="5954" w:type="dxa"/>
            <w:shd w:val="clear" w:color="auto" w:fill="auto"/>
          </w:tcPr>
          <w:p w14:paraId="488A0DC1"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European Union’s </w:t>
            </w:r>
            <w:r w:rsidRPr="006D2720">
              <w:rPr>
                <w:rFonts w:ascii="Times New Roman" w:hAnsi="Times New Roman" w:cs="Times New Roman"/>
                <w:i/>
                <w:iCs/>
              </w:rPr>
              <w:t>General Data Protection Regulation 2016/679</w:t>
            </w:r>
          </w:p>
        </w:tc>
      </w:tr>
      <w:tr w:rsidR="005D6FAE" w:rsidRPr="006D2720" w14:paraId="5454033B" w14:textId="77777777" w:rsidTr="00814D71">
        <w:trPr>
          <w:trHeight w:val="397"/>
        </w:trPr>
        <w:tc>
          <w:tcPr>
            <w:tcW w:w="2551" w:type="dxa"/>
            <w:shd w:val="clear" w:color="auto" w:fill="auto"/>
          </w:tcPr>
          <w:p w14:paraId="413435D2"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NSW</w:t>
            </w:r>
          </w:p>
        </w:tc>
        <w:tc>
          <w:tcPr>
            <w:tcW w:w="5954" w:type="dxa"/>
            <w:shd w:val="clear" w:color="auto" w:fill="auto"/>
          </w:tcPr>
          <w:p w14:paraId="0B0184E5"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New South Wales</w:t>
            </w:r>
          </w:p>
        </w:tc>
      </w:tr>
      <w:tr w:rsidR="005D6FAE" w:rsidRPr="006D2720" w14:paraId="600FDB87" w14:textId="77777777" w:rsidTr="00814D71">
        <w:trPr>
          <w:trHeight w:val="397"/>
        </w:trPr>
        <w:tc>
          <w:tcPr>
            <w:tcW w:w="2551" w:type="dxa"/>
            <w:shd w:val="clear" w:color="auto" w:fill="auto"/>
          </w:tcPr>
          <w:p w14:paraId="360CD78F"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OAIC </w:t>
            </w:r>
          </w:p>
        </w:tc>
        <w:tc>
          <w:tcPr>
            <w:tcW w:w="5954" w:type="dxa"/>
            <w:shd w:val="clear" w:color="auto" w:fill="auto"/>
          </w:tcPr>
          <w:p w14:paraId="25B65CB9"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Office of the Australian Information Commissioner</w:t>
            </w:r>
          </w:p>
        </w:tc>
      </w:tr>
      <w:tr w:rsidR="005D6FAE" w:rsidRPr="006D2720" w14:paraId="615616B9" w14:textId="77777777" w:rsidTr="00814D71">
        <w:trPr>
          <w:trHeight w:val="397"/>
        </w:trPr>
        <w:tc>
          <w:tcPr>
            <w:tcW w:w="2551" w:type="dxa"/>
            <w:shd w:val="clear" w:color="auto" w:fill="auto"/>
          </w:tcPr>
          <w:p w14:paraId="5B65BE55"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PIPA</w:t>
            </w:r>
          </w:p>
        </w:tc>
        <w:tc>
          <w:tcPr>
            <w:tcW w:w="5954" w:type="dxa"/>
            <w:shd w:val="clear" w:color="auto" w:fill="auto"/>
          </w:tcPr>
          <w:p w14:paraId="6943991F"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i/>
                <w:iCs/>
              </w:rPr>
              <w:t>Personal Information Protection Act 2004</w:t>
            </w:r>
            <w:r w:rsidRPr="006D2720">
              <w:rPr>
                <w:rFonts w:ascii="Times New Roman" w:hAnsi="Times New Roman" w:cs="Times New Roman"/>
              </w:rPr>
              <w:t xml:space="preserve"> (Tas)</w:t>
            </w:r>
          </w:p>
        </w:tc>
      </w:tr>
      <w:tr w:rsidR="005D6FAE" w:rsidRPr="006D2720" w14:paraId="21EE9FD7" w14:textId="77777777" w:rsidTr="00814D71">
        <w:trPr>
          <w:trHeight w:val="397"/>
        </w:trPr>
        <w:tc>
          <w:tcPr>
            <w:tcW w:w="2551" w:type="dxa"/>
            <w:shd w:val="clear" w:color="auto" w:fill="auto"/>
          </w:tcPr>
          <w:p w14:paraId="3EB29697" w14:textId="77777777" w:rsidR="005D6FAE" w:rsidRPr="006D2720" w:rsidRDefault="005D6FAE" w:rsidP="003C46EC">
            <w:pPr>
              <w:rPr>
                <w:rFonts w:ascii="Times New Roman" w:hAnsi="Times New Roman" w:cs="Times New Roman"/>
              </w:rPr>
            </w:pPr>
            <w:r w:rsidRPr="006D2720">
              <w:rPr>
                <w:rFonts w:ascii="Times New Roman" w:hAnsi="Times New Roman" w:cs="Times New Roman"/>
              </w:rPr>
              <w:t>Privacy Act</w:t>
            </w:r>
          </w:p>
        </w:tc>
        <w:tc>
          <w:tcPr>
            <w:tcW w:w="5954" w:type="dxa"/>
            <w:shd w:val="clear" w:color="auto" w:fill="auto"/>
          </w:tcPr>
          <w:p w14:paraId="396CE735" w14:textId="53062487" w:rsidR="005D6FAE" w:rsidRPr="006D2720" w:rsidRDefault="005D6FAE" w:rsidP="00814D71">
            <w:pPr>
              <w:rPr>
                <w:rFonts w:ascii="Times New Roman" w:hAnsi="Times New Roman" w:cs="Times New Roman"/>
              </w:rPr>
            </w:pPr>
            <w:r w:rsidRPr="006D2720">
              <w:rPr>
                <w:rFonts w:ascii="Times New Roman" w:hAnsi="Times New Roman" w:cs="Times New Roman"/>
                <w:i/>
                <w:iCs/>
              </w:rPr>
              <w:t>Privacy Act 1988</w:t>
            </w:r>
            <w:r w:rsidRPr="006D2720">
              <w:rPr>
                <w:rFonts w:ascii="Times New Roman" w:hAnsi="Times New Roman" w:cs="Times New Roman"/>
              </w:rPr>
              <w:t xml:space="preserve"> (Cth)</w:t>
            </w:r>
          </w:p>
        </w:tc>
      </w:tr>
      <w:tr w:rsidR="005D6FAE" w:rsidRPr="006D2720" w14:paraId="60587DD8" w14:textId="77777777" w:rsidTr="00814D71">
        <w:trPr>
          <w:trHeight w:val="397"/>
        </w:trPr>
        <w:tc>
          <w:tcPr>
            <w:tcW w:w="2551" w:type="dxa"/>
            <w:shd w:val="clear" w:color="auto" w:fill="auto"/>
          </w:tcPr>
          <w:p w14:paraId="5A76CECD"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PIPPs </w:t>
            </w:r>
          </w:p>
        </w:tc>
        <w:tc>
          <w:tcPr>
            <w:tcW w:w="5954" w:type="dxa"/>
            <w:shd w:val="clear" w:color="auto" w:fill="auto"/>
          </w:tcPr>
          <w:p w14:paraId="1AE86431"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Personal Information Protection Principles</w:t>
            </w:r>
          </w:p>
        </w:tc>
      </w:tr>
      <w:tr w:rsidR="00233915" w:rsidRPr="006D2720" w14:paraId="4EDA6777" w14:textId="77777777" w:rsidTr="00814D71">
        <w:trPr>
          <w:trHeight w:val="397"/>
        </w:trPr>
        <w:tc>
          <w:tcPr>
            <w:tcW w:w="2551" w:type="dxa"/>
            <w:shd w:val="clear" w:color="auto" w:fill="auto"/>
          </w:tcPr>
          <w:p w14:paraId="0A47B96D" w14:textId="2C36BE95" w:rsidR="00233915" w:rsidRPr="006D2720" w:rsidRDefault="00233915" w:rsidP="003C46EC">
            <w:pPr>
              <w:rPr>
                <w:rFonts w:ascii="Times New Roman" w:hAnsi="Times New Roman" w:cs="Times New Roman"/>
              </w:rPr>
            </w:pPr>
            <w:r w:rsidRPr="006D2720">
              <w:rPr>
                <w:rFonts w:ascii="Times New Roman" w:hAnsi="Times New Roman" w:cs="Times New Roman"/>
              </w:rPr>
              <w:t>RPA</w:t>
            </w:r>
          </w:p>
        </w:tc>
        <w:tc>
          <w:tcPr>
            <w:tcW w:w="5954" w:type="dxa"/>
            <w:shd w:val="clear" w:color="auto" w:fill="auto"/>
          </w:tcPr>
          <w:p w14:paraId="7CA130CF" w14:textId="078047DA" w:rsidR="00233915" w:rsidRPr="006D2720" w:rsidRDefault="00233915" w:rsidP="003C46EC">
            <w:pPr>
              <w:rPr>
                <w:rFonts w:ascii="Times New Roman" w:hAnsi="Times New Roman" w:cs="Times New Roman"/>
              </w:rPr>
            </w:pPr>
            <w:r w:rsidRPr="006D2720">
              <w:rPr>
                <w:rFonts w:ascii="Times New Roman" w:hAnsi="Times New Roman" w:cs="Times New Roman"/>
              </w:rPr>
              <w:t>Remotely Piloted Aircraft</w:t>
            </w:r>
          </w:p>
        </w:tc>
      </w:tr>
      <w:tr w:rsidR="005D6FAE" w:rsidRPr="006D2720" w14:paraId="5F7B62B7" w14:textId="77777777" w:rsidTr="00814D71">
        <w:trPr>
          <w:trHeight w:val="397"/>
        </w:trPr>
        <w:tc>
          <w:tcPr>
            <w:tcW w:w="2551" w:type="dxa"/>
            <w:shd w:val="clear" w:color="auto" w:fill="auto"/>
          </w:tcPr>
          <w:p w14:paraId="3DE0C3B3"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 xml:space="preserve">TLRI </w:t>
            </w:r>
          </w:p>
        </w:tc>
        <w:tc>
          <w:tcPr>
            <w:tcW w:w="5954" w:type="dxa"/>
            <w:shd w:val="clear" w:color="auto" w:fill="auto"/>
          </w:tcPr>
          <w:p w14:paraId="72C08A02" w14:textId="77777777" w:rsidR="005D6FAE" w:rsidRPr="006D2720" w:rsidRDefault="005D6FAE" w:rsidP="003C46EC">
            <w:pPr>
              <w:spacing w:after="160"/>
              <w:rPr>
                <w:rFonts w:ascii="Times New Roman" w:hAnsi="Times New Roman" w:cs="Times New Roman"/>
                <w:sz w:val="22"/>
                <w:szCs w:val="22"/>
              </w:rPr>
            </w:pPr>
            <w:r w:rsidRPr="006D2720">
              <w:rPr>
                <w:rFonts w:ascii="Times New Roman" w:hAnsi="Times New Roman" w:cs="Times New Roman"/>
              </w:rPr>
              <w:t>Tasmania Law Reform Institute</w:t>
            </w:r>
          </w:p>
        </w:tc>
      </w:tr>
      <w:tr w:rsidR="00233915" w:rsidRPr="006D2720" w14:paraId="7B780989" w14:textId="77777777" w:rsidTr="00814D71">
        <w:trPr>
          <w:trHeight w:val="397"/>
        </w:trPr>
        <w:tc>
          <w:tcPr>
            <w:tcW w:w="2551" w:type="dxa"/>
            <w:shd w:val="clear" w:color="auto" w:fill="auto"/>
          </w:tcPr>
          <w:p w14:paraId="57D9B6A2" w14:textId="17C87563" w:rsidR="00233915" w:rsidRPr="006D2720" w:rsidRDefault="00233915" w:rsidP="003C46EC">
            <w:pPr>
              <w:rPr>
                <w:rFonts w:ascii="Times New Roman" w:hAnsi="Times New Roman" w:cs="Times New Roman"/>
              </w:rPr>
            </w:pPr>
            <w:r w:rsidRPr="006D2720">
              <w:rPr>
                <w:rFonts w:ascii="Times New Roman" w:hAnsi="Times New Roman" w:cs="Times New Roman"/>
              </w:rPr>
              <w:t>UAV</w:t>
            </w:r>
          </w:p>
        </w:tc>
        <w:tc>
          <w:tcPr>
            <w:tcW w:w="5954" w:type="dxa"/>
            <w:shd w:val="clear" w:color="auto" w:fill="auto"/>
          </w:tcPr>
          <w:p w14:paraId="56404A87" w14:textId="2650CF57" w:rsidR="00233915" w:rsidRPr="006D2720" w:rsidRDefault="00233915" w:rsidP="003C46EC">
            <w:pPr>
              <w:rPr>
                <w:rFonts w:ascii="Times New Roman" w:hAnsi="Times New Roman" w:cs="Times New Roman"/>
              </w:rPr>
            </w:pPr>
            <w:r w:rsidRPr="006D2720">
              <w:rPr>
                <w:rFonts w:ascii="Times New Roman" w:hAnsi="Times New Roman" w:cs="Times New Roman"/>
              </w:rPr>
              <w:t>Unmanned Aerial Vehicles</w:t>
            </w:r>
          </w:p>
        </w:tc>
      </w:tr>
    </w:tbl>
    <w:p w14:paraId="6BAE36BF" w14:textId="77777777" w:rsidR="00A42491" w:rsidRPr="002517D6" w:rsidRDefault="00A42491" w:rsidP="002517D6">
      <w:bookmarkStart w:id="11" w:name="_Toc501136014"/>
    </w:p>
    <w:p w14:paraId="177A7E86" w14:textId="77777777" w:rsidR="00A42491" w:rsidRDefault="00A42491">
      <w:pPr>
        <w:rPr>
          <w:rFonts w:ascii="Times New Roman" w:eastAsiaTheme="majorEastAsia" w:hAnsi="Times New Roman" w:cs="Times New Roman"/>
          <w:b/>
          <w:color w:val="262626" w:themeColor="text1" w:themeTint="D9"/>
          <w:sz w:val="32"/>
          <w:szCs w:val="32"/>
        </w:rPr>
      </w:pPr>
      <w:r>
        <w:rPr>
          <w:rFonts w:ascii="Times New Roman" w:hAnsi="Times New Roman" w:cs="Times New Roman"/>
        </w:rPr>
        <w:br w:type="page"/>
      </w:r>
    </w:p>
    <w:p w14:paraId="4C12E499" w14:textId="1577295C" w:rsidR="005C0CF4" w:rsidRPr="006D2720" w:rsidRDefault="0061264A" w:rsidP="0052660D">
      <w:pPr>
        <w:pStyle w:val="Heading1"/>
        <w:numPr>
          <w:ilvl w:val="0"/>
          <w:numId w:val="0"/>
        </w:numPr>
        <w:spacing w:before="0"/>
        <w:rPr>
          <w:rFonts w:ascii="Times New Roman" w:hAnsi="Times New Roman" w:cs="Times New Roman"/>
        </w:rPr>
      </w:pPr>
      <w:bookmarkStart w:id="12" w:name="_Toc130540418"/>
      <w:r w:rsidRPr="006D2720">
        <w:rPr>
          <w:rFonts w:ascii="Times New Roman" w:hAnsi="Times New Roman" w:cs="Times New Roman"/>
        </w:rPr>
        <w:t>List</w:t>
      </w:r>
      <w:r w:rsidR="005C0CF4" w:rsidRPr="006D2720">
        <w:rPr>
          <w:rFonts w:ascii="Times New Roman" w:hAnsi="Times New Roman" w:cs="Times New Roman"/>
        </w:rPr>
        <w:t xml:space="preserve"> of questions</w:t>
      </w:r>
      <w:bookmarkEnd w:id="11"/>
      <w:bookmarkEnd w:id="12"/>
    </w:p>
    <w:p w14:paraId="0BD8A0BF" w14:textId="5DD14FDC" w:rsidR="005C0CF4" w:rsidRDefault="005C0CF4" w:rsidP="005C0CF4">
      <w:pPr>
        <w:rPr>
          <w:rFonts w:ascii="Times New Roman" w:hAnsi="Times New Roman" w:cs="Times New Roman"/>
        </w:rPr>
      </w:pPr>
      <w:r w:rsidRPr="006D2720">
        <w:rPr>
          <w:rFonts w:ascii="Times New Roman" w:hAnsi="Times New Roman" w:cs="Times New Roman"/>
        </w:rPr>
        <w:t xml:space="preserve">The </w:t>
      </w:r>
      <w:r w:rsidR="008A30FE" w:rsidRPr="006D2720">
        <w:rPr>
          <w:rFonts w:ascii="Times New Roman" w:hAnsi="Times New Roman" w:cs="Times New Roman"/>
        </w:rPr>
        <w:t xml:space="preserve">TLRI </w:t>
      </w:r>
      <w:r w:rsidRPr="006D2720">
        <w:rPr>
          <w:rFonts w:ascii="Times New Roman" w:hAnsi="Times New Roman" w:cs="Times New Roman"/>
        </w:rPr>
        <w:t xml:space="preserve">welcomes your response to any individual question or to all questions contained within this paper. A full list of the consultation questions is contained below with page references for questions that relate to different parts of the Issues Paper. </w:t>
      </w:r>
    </w:p>
    <w:p w14:paraId="34DE3AB2" w14:textId="77777777" w:rsidR="00A42491" w:rsidRPr="006D2720" w:rsidRDefault="00A42491" w:rsidP="005C0CF4">
      <w:pPr>
        <w:rPr>
          <w:rFonts w:ascii="Times New Roman" w:hAnsi="Times New Roman" w:cs="Times New Roman"/>
        </w:rPr>
      </w:pPr>
    </w:p>
    <w:tbl>
      <w:tblPr>
        <w:tblStyle w:val="TableGrid"/>
        <w:tblW w:w="0" w:type="auto"/>
        <w:tblLook w:val="04A0" w:firstRow="1" w:lastRow="0" w:firstColumn="1" w:lastColumn="0" w:noHBand="0" w:noVBand="1"/>
      </w:tblPr>
      <w:tblGrid>
        <w:gridCol w:w="746"/>
        <w:gridCol w:w="32"/>
        <w:gridCol w:w="8238"/>
      </w:tblGrid>
      <w:tr w:rsidR="008A30FE" w:rsidRPr="009D1907" w14:paraId="5E67E01D" w14:textId="77777777" w:rsidTr="00951B41">
        <w:trPr>
          <w:trHeight w:val="752"/>
        </w:trPr>
        <w:tc>
          <w:tcPr>
            <w:tcW w:w="0" w:type="auto"/>
            <w:gridSpan w:val="3"/>
            <w:shd w:val="clear" w:color="auto" w:fill="A6A6A6" w:themeFill="background1" w:themeFillShade="A6"/>
          </w:tcPr>
          <w:p w14:paraId="65D60417" w14:textId="3A28F867" w:rsidR="008A30FE" w:rsidRPr="009D1907" w:rsidRDefault="008A30FE" w:rsidP="00951B41">
            <w:pPr>
              <w:spacing w:before="240" w:after="240"/>
              <w:rPr>
                <w:rFonts w:ascii="Times New Roman" w:hAnsi="Times New Roman" w:cs="Times New Roman"/>
                <w:b/>
                <w:bCs/>
                <w:sz w:val="22"/>
                <w:szCs w:val="22"/>
              </w:rPr>
            </w:pPr>
            <w:r w:rsidRPr="009D1907">
              <w:rPr>
                <w:rFonts w:ascii="Times New Roman" w:hAnsi="Times New Roman" w:cs="Times New Roman"/>
                <w:b/>
                <w:bCs/>
                <w:sz w:val="22"/>
                <w:szCs w:val="22"/>
              </w:rPr>
              <w:t>Chapter 2</w:t>
            </w:r>
            <w:r w:rsidR="006A628A" w:rsidRPr="009D1907">
              <w:rPr>
                <w:rFonts w:ascii="Times New Roman" w:hAnsi="Times New Roman" w:cs="Times New Roman"/>
                <w:b/>
                <w:bCs/>
                <w:sz w:val="22"/>
                <w:szCs w:val="22"/>
              </w:rPr>
              <w:t>—</w:t>
            </w:r>
            <w:r w:rsidRPr="009D1907">
              <w:rPr>
                <w:rFonts w:ascii="Times New Roman" w:hAnsi="Times New Roman" w:cs="Times New Roman"/>
                <w:b/>
                <w:bCs/>
                <w:sz w:val="22"/>
                <w:szCs w:val="22"/>
              </w:rPr>
              <w:t xml:space="preserve">Privacy protection: Scope and application of the </w:t>
            </w:r>
            <w:r w:rsidR="00AD45C7" w:rsidRPr="009D1907">
              <w:rPr>
                <w:rFonts w:ascii="Times New Roman" w:hAnsi="Times New Roman" w:cs="Times New Roman"/>
                <w:b/>
                <w:bCs/>
                <w:sz w:val="22"/>
                <w:szCs w:val="22"/>
              </w:rPr>
              <w:t xml:space="preserve">PIPA </w:t>
            </w:r>
            <w:r w:rsidRPr="009D1907">
              <w:rPr>
                <w:rFonts w:ascii="Times New Roman" w:hAnsi="Times New Roman" w:cs="Times New Roman"/>
                <w:b/>
                <w:bCs/>
                <w:sz w:val="22"/>
                <w:szCs w:val="22"/>
              </w:rPr>
              <w:t>(p</w:t>
            </w:r>
            <w:r w:rsidR="006A628A" w:rsidRPr="009D1907">
              <w:rPr>
                <w:rFonts w:ascii="Times New Roman" w:hAnsi="Times New Roman" w:cs="Times New Roman"/>
                <w:b/>
                <w:bCs/>
                <w:sz w:val="22"/>
                <w:szCs w:val="22"/>
              </w:rPr>
              <w:t>p</w:t>
            </w:r>
            <w:r w:rsidRPr="009D1907">
              <w:rPr>
                <w:rFonts w:ascii="Times New Roman" w:hAnsi="Times New Roman" w:cs="Times New Roman"/>
                <w:b/>
                <w:bCs/>
                <w:sz w:val="22"/>
                <w:szCs w:val="22"/>
              </w:rPr>
              <w:t xml:space="preserve">. </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_Ref129273170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7</w:t>
            </w:r>
            <w:r w:rsidR="006A628A" w:rsidRPr="009D1907">
              <w:rPr>
                <w:rFonts w:ascii="Times New Roman" w:hAnsi="Times New Roman" w:cs="Times New Roman"/>
                <w:b/>
                <w:bCs/>
              </w:rPr>
              <w:fldChar w:fldCharType="end"/>
            </w:r>
            <w:r w:rsidR="006A628A" w:rsidRPr="009D1907">
              <w:rPr>
                <w:rFonts w:ascii="Times New Roman" w:hAnsi="Times New Roman" w:cs="Times New Roman"/>
                <w:b/>
                <w:bCs/>
                <w:sz w:val="22"/>
                <w:szCs w:val="22"/>
              </w:rPr>
              <w:t>–</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_Ref129273415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22</w:t>
            </w:r>
            <w:r w:rsidR="006A628A" w:rsidRPr="009D1907">
              <w:rPr>
                <w:rFonts w:ascii="Times New Roman" w:hAnsi="Times New Roman" w:cs="Times New Roman"/>
                <w:b/>
                <w:bCs/>
              </w:rPr>
              <w:fldChar w:fldCharType="end"/>
            </w:r>
            <w:r w:rsidRPr="009D1907">
              <w:rPr>
                <w:rFonts w:ascii="Times New Roman" w:hAnsi="Times New Roman" w:cs="Times New Roman"/>
                <w:b/>
                <w:bCs/>
                <w:sz w:val="22"/>
                <w:szCs w:val="22"/>
              </w:rPr>
              <w:t>)</w:t>
            </w:r>
          </w:p>
        </w:tc>
      </w:tr>
      <w:tr w:rsidR="00AD45C7" w:rsidRPr="009D1907" w14:paraId="7A8E82F4" w14:textId="77777777" w:rsidTr="00951B41">
        <w:tc>
          <w:tcPr>
            <w:tcW w:w="0" w:type="auto"/>
            <w:gridSpan w:val="2"/>
          </w:tcPr>
          <w:p w14:paraId="520D98BE"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w:t>
            </w:r>
          </w:p>
        </w:tc>
        <w:tc>
          <w:tcPr>
            <w:tcW w:w="0" w:type="auto"/>
          </w:tcPr>
          <w:p w14:paraId="6EA9938D" w14:textId="2C33F0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Are there Tasmanian public sector agencies or organisations not sufficiently covered by the PIPA</w:t>
            </w:r>
            <w:r w:rsidR="00AD45C7" w:rsidRPr="009D1907">
              <w:rPr>
                <w:rFonts w:ascii="Times New Roman" w:hAnsi="Times New Roman" w:cs="Times New Roman"/>
                <w:sz w:val="22"/>
                <w:szCs w:val="22"/>
              </w:rPr>
              <w:t>,</w:t>
            </w:r>
            <w:r w:rsidRPr="009D1907">
              <w:rPr>
                <w:rFonts w:ascii="Times New Roman" w:hAnsi="Times New Roman" w:cs="Times New Roman"/>
                <w:sz w:val="22"/>
                <w:szCs w:val="22"/>
              </w:rPr>
              <w:t xml:space="preserve"> or which should otherwise be included in the definition of ‘personal information custodian’?</w:t>
            </w:r>
          </w:p>
        </w:tc>
      </w:tr>
      <w:tr w:rsidR="00AD45C7" w:rsidRPr="009D1907" w14:paraId="0F2EE295" w14:textId="77777777" w:rsidTr="00951B41">
        <w:tc>
          <w:tcPr>
            <w:tcW w:w="0" w:type="auto"/>
            <w:gridSpan w:val="2"/>
          </w:tcPr>
          <w:p w14:paraId="4842B8DC"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2.2</w:t>
            </w:r>
          </w:p>
        </w:tc>
        <w:tc>
          <w:tcPr>
            <w:tcW w:w="0" w:type="auto"/>
          </w:tcPr>
          <w:p w14:paraId="42BAB141"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non-government organisations, such as for-profit businesses, charities, or political parties registered in Tasmania, be subject to privacy regulation in addition to any obligations under the Privacy Act?</w:t>
            </w:r>
          </w:p>
        </w:tc>
      </w:tr>
      <w:tr w:rsidR="00AD45C7" w:rsidRPr="009D1907" w14:paraId="2DBA7CCC" w14:textId="77777777" w:rsidTr="00951B41">
        <w:tc>
          <w:tcPr>
            <w:tcW w:w="0" w:type="auto"/>
            <w:gridSpan w:val="2"/>
          </w:tcPr>
          <w:p w14:paraId="14B72B0C"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2.3</w:t>
            </w:r>
          </w:p>
        </w:tc>
        <w:tc>
          <w:tcPr>
            <w:tcW w:w="0" w:type="auto"/>
          </w:tcPr>
          <w:p w14:paraId="51FB38AF"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To what extent are government contractors appropriately subject to obligations under the PIPA? Should there be additional obligations on Tasmanian government agencies entering into contracts with private bodies to ensure that privacy obligations are able to be enforced against the contractor?</w:t>
            </w:r>
          </w:p>
        </w:tc>
      </w:tr>
      <w:tr w:rsidR="00AD45C7" w:rsidRPr="009D1907" w14:paraId="5C42D3B6" w14:textId="77777777" w:rsidTr="00951B41">
        <w:tc>
          <w:tcPr>
            <w:tcW w:w="0" w:type="auto"/>
            <w:gridSpan w:val="2"/>
          </w:tcPr>
          <w:p w14:paraId="6652752D"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2.4</w:t>
            </w:r>
          </w:p>
        </w:tc>
        <w:tc>
          <w:tcPr>
            <w:tcW w:w="0" w:type="auto"/>
          </w:tcPr>
          <w:p w14:paraId="04661BBD"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 definition of ‘personal information’ be changed? Should it be consistent with the definition in the Privacy Act, or with the definition of personal data in the European Union’s GDPR?</w:t>
            </w:r>
          </w:p>
        </w:tc>
      </w:tr>
      <w:tr w:rsidR="00AD45C7" w:rsidRPr="009D1907" w14:paraId="6B2DC96E" w14:textId="77777777" w:rsidTr="00951B41">
        <w:tc>
          <w:tcPr>
            <w:tcW w:w="0" w:type="auto"/>
            <w:gridSpan w:val="2"/>
          </w:tcPr>
          <w:p w14:paraId="0AC0D3D9"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2.5</w:t>
            </w:r>
          </w:p>
        </w:tc>
        <w:tc>
          <w:tcPr>
            <w:tcW w:w="0" w:type="auto"/>
          </w:tcPr>
          <w:p w14:paraId="228BE06F"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Are the other categories of information, including health and other forms of sensitive information suitable?</w:t>
            </w:r>
          </w:p>
        </w:tc>
      </w:tr>
      <w:tr w:rsidR="00AD45C7" w:rsidRPr="009D1907" w14:paraId="782B05BA" w14:textId="77777777" w:rsidTr="00951B41">
        <w:trPr>
          <w:trHeight w:val="90"/>
        </w:trPr>
        <w:tc>
          <w:tcPr>
            <w:tcW w:w="0" w:type="auto"/>
            <w:gridSpan w:val="2"/>
          </w:tcPr>
          <w:p w14:paraId="56956943"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2.6</w:t>
            </w:r>
          </w:p>
        </w:tc>
        <w:tc>
          <w:tcPr>
            <w:tcW w:w="0" w:type="auto"/>
          </w:tcPr>
          <w:p w14:paraId="3CF4032F"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Are the exceptions, including the process for declaring and publishing public benefit exemptions, suitable?</w:t>
            </w:r>
          </w:p>
        </w:tc>
      </w:tr>
      <w:tr w:rsidR="008A30FE" w:rsidRPr="009D1907" w14:paraId="5F2E495A" w14:textId="77777777" w:rsidTr="00951B41">
        <w:trPr>
          <w:trHeight w:val="519"/>
        </w:trPr>
        <w:tc>
          <w:tcPr>
            <w:tcW w:w="0" w:type="auto"/>
            <w:gridSpan w:val="3"/>
            <w:shd w:val="clear" w:color="auto" w:fill="A6A6A6" w:themeFill="background1" w:themeFillShade="A6"/>
          </w:tcPr>
          <w:p w14:paraId="2587A0BD" w14:textId="3F62B78C" w:rsidR="008A30FE" w:rsidRPr="009D1907" w:rsidRDefault="008A30FE" w:rsidP="00951B41">
            <w:pPr>
              <w:shd w:val="clear" w:color="auto" w:fill="A6A6A6" w:themeFill="background1" w:themeFillShade="A6"/>
              <w:spacing w:before="240" w:after="240"/>
              <w:rPr>
                <w:rFonts w:ascii="Times New Roman" w:hAnsi="Times New Roman" w:cs="Times New Roman"/>
                <w:b/>
                <w:bCs/>
                <w:sz w:val="22"/>
                <w:szCs w:val="22"/>
              </w:rPr>
            </w:pPr>
            <w:r w:rsidRPr="009D1907">
              <w:rPr>
                <w:rFonts w:ascii="Times New Roman" w:hAnsi="Times New Roman" w:cs="Times New Roman"/>
                <w:b/>
                <w:bCs/>
                <w:sz w:val="22"/>
                <w:szCs w:val="22"/>
              </w:rPr>
              <w:t>Chapter 2</w:t>
            </w:r>
            <w:r w:rsidR="006A628A" w:rsidRPr="009D1907">
              <w:rPr>
                <w:rFonts w:ascii="Times New Roman" w:hAnsi="Times New Roman" w:cs="Times New Roman"/>
                <w:b/>
                <w:bCs/>
                <w:sz w:val="22"/>
                <w:szCs w:val="22"/>
              </w:rPr>
              <w:t>—</w:t>
            </w:r>
            <w:r w:rsidRPr="009D1907">
              <w:rPr>
                <w:rFonts w:ascii="Times New Roman" w:hAnsi="Times New Roman" w:cs="Times New Roman"/>
                <w:b/>
                <w:bCs/>
                <w:sz w:val="22"/>
                <w:szCs w:val="22"/>
              </w:rPr>
              <w:t>Privacy protection: Personal Information Protection Principles (</w:t>
            </w:r>
            <w:r w:rsidR="006A628A" w:rsidRPr="009D1907">
              <w:rPr>
                <w:rFonts w:ascii="Times New Roman" w:hAnsi="Times New Roman" w:cs="Times New Roman"/>
                <w:b/>
                <w:bCs/>
                <w:sz w:val="22"/>
                <w:szCs w:val="22"/>
              </w:rPr>
              <w:t>p</w:t>
            </w:r>
            <w:r w:rsidRPr="009D1907">
              <w:rPr>
                <w:rFonts w:ascii="Times New Roman" w:hAnsi="Times New Roman" w:cs="Times New Roman"/>
                <w:b/>
                <w:bCs/>
                <w:sz w:val="22"/>
                <w:szCs w:val="22"/>
              </w:rPr>
              <w:t xml:space="preserve">p. </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_Ref129273428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23</w:t>
            </w:r>
            <w:r w:rsidR="006A628A" w:rsidRPr="009D1907">
              <w:rPr>
                <w:rFonts w:ascii="Times New Roman" w:hAnsi="Times New Roman" w:cs="Times New Roman"/>
                <w:b/>
                <w:bCs/>
              </w:rPr>
              <w:fldChar w:fldCharType="end"/>
            </w:r>
            <w:r w:rsidR="006A628A" w:rsidRPr="009D1907">
              <w:rPr>
                <w:rFonts w:ascii="Times New Roman" w:hAnsi="Times New Roman" w:cs="Times New Roman"/>
                <w:b/>
                <w:bCs/>
                <w:sz w:val="22"/>
                <w:szCs w:val="22"/>
              </w:rPr>
              <w:t>–</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_Ref129273485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38</w:t>
            </w:r>
            <w:r w:rsidR="006A628A" w:rsidRPr="009D1907">
              <w:rPr>
                <w:rFonts w:ascii="Times New Roman" w:hAnsi="Times New Roman" w:cs="Times New Roman"/>
                <w:b/>
                <w:bCs/>
              </w:rPr>
              <w:fldChar w:fldCharType="end"/>
            </w:r>
            <w:r w:rsidRPr="009D1907">
              <w:rPr>
                <w:rFonts w:ascii="Times New Roman" w:hAnsi="Times New Roman" w:cs="Times New Roman"/>
                <w:b/>
                <w:bCs/>
                <w:sz w:val="22"/>
                <w:szCs w:val="22"/>
              </w:rPr>
              <w:t>)</w:t>
            </w:r>
          </w:p>
        </w:tc>
      </w:tr>
      <w:tr w:rsidR="00AD45C7" w:rsidRPr="009D1907" w14:paraId="60D39195" w14:textId="77777777" w:rsidTr="00951B41">
        <w:tc>
          <w:tcPr>
            <w:tcW w:w="0" w:type="auto"/>
            <w:gridSpan w:val="2"/>
          </w:tcPr>
          <w:p w14:paraId="0DC0E19B"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2.7</w:t>
            </w:r>
          </w:p>
        </w:tc>
        <w:tc>
          <w:tcPr>
            <w:tcW w:w="0" w:type="auto"/>
          </w:tcPr>
          <w:p w14:paraId="3B9BBDF7"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 PIPPs under the Tasmanian PIPA be amended to make them, as far as possible, consistent with the APPs in the Commonwealth Privacy Act as they currently exist or as amended in the future?</w:t>
            </w:r>
          </w:p>
        </w:tc>
      </w:tr>
      <w:tr w:rsidR="00AD45C7" w:rsidRPr="009D1907" w14:paraId="2298FA43" w14:textId="77777777" w:rsidTr="00951B41">
        <w:tc>
          <w:tcPr>
            <w:tcW w:w="0" w:type="auto"/>
            <w:gridSpan w:val="2"/>
          </w:tcPr>
          <w:p w14:paraId="2F84EDB4"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2.8</w:t>
            </w:r>
          </w:p>
        </w:tc>
        <w:tc>
          <w:tcPr>
            <w:tcW w:w="0" w:type="auto"/>
          </w:tcPr>
          <w:p w14:paraId="199FCD70"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 xml:space="preserve">Are there any other amendments to the PIPPs that you think should be made?  </w:t>
            </w:r>
          </w:p>
        </w:tc>
      </w:tr>
      <w:tr w:rsidR="00AD45C7" w:rsidRPr="009D1907" w14:paraId="0CABBE4C" w14:textId="77777777" w:rsidTr="00951B41">
        <w:tc>
          <w:tcPr>
            <w:tcW w:w="0" w:type="auto"/>
            <w:gridSpan w:val="2"/>
          </w:tcPr>
          <w:p w14:paraId="61C59522"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2.9</w:t>
            </w:r>
          </w:p>
        </w:tc>
        <w:tc>
          <w:tcPr>
            <w:tcW w:w="0" w:type="auto"/>
          </w:tcPr>
          <w:p w14:paraId="73F72D6A"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 xml:space="preserve">Should any of the other potential reforms be introduced, including: </w:t>
            </w:r>
          </w:p>
          <w:p w14:paraId="6C962335" w14:textId="77777777" w:rsidR="008A30FE" w:rsidRPr="009D1907" w:rsidRDefault="008A30FE">
            <w:pPr>
              <w:pStyle w:val="ListParagraph"/>
              <w:numPr>
                <w:ilvl w:val="0"/>
                <w:numId w:val="38"/>
              </w:numPr>
              <w:spacing w:before="60" w:after="60" w:line="360" w:lineRule="auto"/>
              <w:ind w:left="714" w:hanging="357"/>
              <w:rPr>
                <w:rFonts w:ascii="Times New Roman" w:hAnsi="Times New Roman" w:cs="Times New Roman"/>
                <w:sz w:val="22"/>
                <w:szCs w:val="22"/>
              </w:rPr>
            </w:pPr>
            <w:r w:rsidRPr="009D1907">
              <w:rPr>
                <w:rFonts w:ascii="Times New Roman" w:hAnsi="Times New Roman" w:cs="Times New Roman"/>
                <w:sz w:val="22"/>
                <w:szCs w:val="22"/>
              </w:rPr>
              <w:t xml:space="preserve">fairness and reasonableness requirements; </w:t>
            </w:r>
          </w:p>
          <w:p w14:paraId="56D19114" w14:textId="77777777" w:rsidR="008A30FE" w:rsidRPr="009D1907" w:rsidRDefault="008A30FE">
            <w:pPr>
              <w:pStyle w:val="ListParagraph"/>
              <w:numPr>
                <w:ilvl w:val="0"/>
                <w:numId w:val="38"/>
              </w:numPr>
              <w:spacing w:before="60" w:after="60" w:line="360" w:lineRule="auto"/>
              <w:ind w:left="714" w:hanging="357"/>
              <w:rPr>
                <w:rFonts w:ascii="Times New Roman" w:hAnsi="Times New Roman" w:cs="Times New Roman"/>
                <w:sz w:val="22"/>
                <w:szCs w:val="22"/>
              </w:rPr>
            </w:pPr>
            <w:r w:rsidRPr="009D1907">
              <w:rPr>
                <w:rFonts w:ascii="Times New Roman" w:hAnsi="Times New Roman" w:cs="Times New Roman"/>
                <w:sz w:val="22"/>
                <w:szCs w:val="22"/>
              </w:rPr>
              <w:t xml:space="preserve">a right to object; </w:t>
            </w:r>
          </w:p>
          <w:p w14:paraId="40B78A9A" w14:textId="77777777" w:rsidR="008A30FE" w:rsidRPr="009D1907" w:rsidRDefault="008A30FE">
            <w:pPr>
              <w:pStyle w:val="ListParagraph"/>
              <w:numPr>
                <w:ilvl w:val="0"/>
                <w:numId w:val="38"/>
              </w:numPr>
              <w:spacing w:before="60" w:after="60" w:line="360" w:lineRule="auto"/>
              <w:ind w:left="714" w:hanging="357"/>
              <w:rPr>
                <w:rFonts w:ascii="Times New Roman" w:hAnsi="Times New Roman" w:cs="Times New Roman"/>
                <w:sz w:val="22"/>
                <w:szCs w:val="22"/>
              </w:rPr>
            </w:pPr>
            <w:r w:rsidRPr="009D1907">
              <w:rPr>
                <w:rFonts w:ascii="Times New Roman" w:hAnsi="Times New Roman" w:cs="Times New Roman"/>
                <w:sz w:val="22"/>
                <w:szCs w:val="22"/>
              </w:rPr>
              <w:t xml:space="preserve">a right to be forgotten; </w:t>
            </w:r>
          </w:p>
          <w:p w14:paraId="5C4D03B8" w14:textId="77777777" w:rsidR="008A30FE" w:rsidRPr="009D1907" w:rsidRDefault="008A30FE">
            <w:pPr>
              <w:pStyle w:val="ListParagraph"/>
              <w:numPr>
                <w:ilvl w:val="0"/>
                <w:numId w:val="38"/>
              </w:numPr>
              <w:spacing w:before="60" w:after="60" w:line="360" w:lineRule="auto"/>
              <w:ind w:left="714" w:hanging="357"/>
              <w:rPr>
                <w:rFonts w:ascii="Times New Roman" w:hAnsi="Times New Roman" w:cs="Times New Roman"/>
                <w:sz w:val="22"/>
                <w:szCs w:val="22"/>
              </w:rPr>
            </w:pPr>
            <w:r w:rsidRPr="009D1907">
              <w:rPr>
                <w:rFonts w:ascii="Times New Roman" w:hAnsi="Times New Roman" w:cs="Times New Roman"/>
                <w:sz w:val="22"/>
                <w:szCs w:val="22"/>
              </w:rPr>
              <w:t xml:space="preserve">specific restrictions on the use of artificial intelligence in automated administrative decision-making; or </w:t>
            </w:r>
          </w:p>
          <w:p w14:paraId="11949884" w14:textId="77777777" w:rsidR="008A30FE" w:rsidRPr="009D1907" w:rsidRDefault="008A30FE">
            <w:pPr>
              <w:pStyle w:val="ListParagraph"/>
              <w:numPr>
                <w:ilvl w:val="0"/>
                <w:numId w:val="38"/>
              </w:numPr>
              <w:spacing w:before="60" w:after="60" w:line="360" w:lineRule="auto"/>
              <w:ind w:left="714" w:hanging="357"/>
              <w:rPr>
                <w:rFonts w:ascii="Times New Roman" w:hAnsi="Times New Roman" w:cs="Times New Roman"/>
                <w:sz w:val="22"/>
                <w:szCs w:val="22"/>
              </w:rPr>
            </w:pPr>
            <w:r w:rsidRPr="009D1907">
              <w:rPr>
                <w:rFonts w:ascii="Times New Roman" w:hAnsi="Times New Roman" w:cs="Times New Roman"/>
                <w:sz w:val="22"/>
                <w:szCs w:val="22"/>
              </w:rPr>
              <w:t>strengthened notice and consent requirements?</w:t>
            </w:r>
          </w:p>
        </w:tc>
      </w:tr>
      <w:tr w:rsidR="008A30FE" w:rsidRPr="009D1907" w14:paraId="07109E64" w14:textId="77777777" w:rsidTr="00951B41">
        <w:tc>
          <w:tcPr>
            <w:tcW w:w="0" w:type="auto"/>
            <w:gridSpan w:val="3"/>
            <w:shd w:val="clear" w:color="auto" w:fill="A6A6A6" w:themeFill="background1" w:themeFillShade="A6"/>
          </w:tcPr>
          <w:p w14:paraId="33B021E2" w14:textId="69C212BD" w:rsidR="008A30FE" w:rsidRPr="009D1907" w:rsidRDefault="008A30FE" w:rsidP="00951B41">
            <w:pPr>
              <w:shd w:val="clear" w:color="auto" w:fill="A6A6A6" w:themeFill="background1" w:themeFillShade="A6"/>
              <w:spacing w:before="240" w:after="240"/>
              <w:rPr>
                <w:rFonts w:ascii="Times New Roman" w:hAnsi="Times New Roman" w:cs="Times New Roman"/>
                <w:sz w:val="22"/>
                <w:szCs w:val="22"/>
              </w:rPr>
            </w:pPr>
            <w:r w:rsidRPr="009D1907">
              <w:rPr>
                <w:rFonts w:ascii="Times New Roman" w:hAnsi="Times New Roman" w:cs="Times New Roman"/>
                <w:b/>
                <w:bCs/>
                <w:sz w:val="22"/>
                <w:szCs w:val="22"/>
              </w:rPr>
              <w:t>Chapter 2</w:t>
            </w:r>
            <w:r w:rsidR="006A628A" w:rsidRPr="009D1907">
              <w:rPr>
                <w:rFonts w:ascii="Times New Roman" w:hAnsi="Times New Roman" w:cs="Times New Roman"/>
                <w:b/>
                <w:bCs/>
                <w:sz w:val="22"/>
                <w:szCs w:val="22"/>
              </w:rPr>
              <w:t>—</w:t>
            </w:r>
            <w:r w:rsidRPr="009D1907">
              <w:rPr>
                <w:rFonts w:ascii="Times New Roman" w:hAnsi="Times New Roman" w:cs="Times New Roman"/>
                <w:b/>
                <w:bCs/>
                <w:sz w:val="22"/>
                <w:szCs w:val="22"/>
              </w:rPr>
              <w:t>Privacy protection: Complaints, monitoring and enforcement (p</w:t>
            </w:r>
            <w:r w:rsidR="006A628A" w:rsidRPr="009D1907">
              <w:rPr>
                <w:rFonts w:ascii="Times New Roman" w:hAnsi="Times New Roman" w:cs="Times New Roman"/>
                <w:b/>
                <w:bCs/>
                <w:sz w:val="22"/>
                <w:szCs w:val="22"/>
              </w:rPr>
              <w:t>p</w:t>
            </w:r>
            <w:r w:rsidRPr="009D1907">
              <w:rPr>
                <w:rFonts w:ascii="Times New Roman" w:hAnsi="Times New Roman" w:cs="Times New Roman"/>
                <w:b/>
                <w:bCs/>
                <w:sz w:val="22"/>
                <w:szCs w:val="22"/>
              </w:rPr>
              <w:t xml:space="preserve">. </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_Ref129273534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39</w:t>
            </w:r>
            <w:r w:rsidR="006A628A" w:rsidRPr="009D1907">
              <w:rPr>
                <w:rFonts w:ascii="Times New Roman" w:hAnsi="Times New Roman" w:cs="Times New Roman"/>
                <w:b/>
                <w:bCs/>
              </w:rPr>
              <w:fldChar w:fldCharType="end"/>
            </w:r>
            <w:r w:rsidR="006A628A" w:rsidRPr="009D1907">
              <w:rPr>
                <w:rFonts w:ascii="Times New Roman" w:hAnsi="Times New Roman" w:cs="Times New Roman"/>
                <w:b/>
                <w:bCs/>
                <w:sz w:val="22"/>
                <w:szCs w:val="22"/>
              </w:rPr>
              <w:t>–</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_Ref128939536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45</w:t>
            </w:r>
            <w:r w:rsidR="006A628A" w:rsidRPr="009D1907">
              <w:rPr>
                <w:rFonts w:ascii="Times New Roman" w:hAnsi="Times New Roman" w:cs="Times New Roman"/>
                <w:b/>
                <w:bCs/>
              </w:rPr>
              <w:fldChar w:fldCharType="end"/>
            </w:r>
            <w:r w:rsidRPr="009D1907">
              <w:rPr>
                <w:rFonts w:ascii="Times New Roman" w:hAnsi="Times New Roman" w:cs="Times New Roman"/>
                <w:b/>
                <w:bCs/>
                <w:sz w:val="22"/>
                <w:szCs w:val="22"/>
              </w:rPr>
              <w:t>)</w:t>
            </w:r>
          </w:p>
        </w:tc>
      </w:tr>
      <w:tr w:rsidR="00AD45C7" w:rsidRPr="009D1907" w14:paraId="14C5BF47" w14:textId="77777777" w:rsidTr="00951B41">
        <w:tc>
          <w:tcPr>
            <w:tcW w:w="0" w:type="auto"/>
            <w:gridSpan w:val="2"/>
          </w:tcPr>
          <w:p w14:paraId="23991A27"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2.10</w:t>
            </w:r>
          </w:p>
        </w:tc>
        <w:tc>
          <w:tcPr>
            <w:tcW w:w="0" w:type="auto"/>
          </w:tcPr>
          <w:p w14:paraId="438D0A02"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How effective is the current complaints process in enforcing obligations under the PIPA?</w:t>
            </w:r>
          </w:p>
        </w:tc>
      </w:tr>
      <w:tr w:rsidR="00AD45C7" w:rsidRPr="009D1907" w14:paraId="3E20156E" w14:textId="77777777" w:rsidTr="00951B41">
        <w:tc>
          <w:tcPr>
            <w:tcW w:w="0" w:type="auto"/>
            <w:gridSpan w:val="2"/>
          </w:tcPr>
          <w:p w14:paraId="4E9E185B" w14:textId="7C21F710" w:rsidR="00B4016B" w:rsidRPr="009D1907" w:rsidRDefault="00B4016B"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2.11</w:t>
            </w:r>
          </w:p>
        </w:tc>
        <w:tc>
          <w:tcPr>
            <w:tcW w:w="0" w:type="auto"/>
          </w:tcPr>
          <w:p w14:paraId="221942B0" w14:textId="297225B9" w:rsidR="00B4016B" w:rsidRPr="009D1907" w:rsidRDefault="004B3076"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consideration be given to amending the PIPA to include provision for an individual to appeal or seek review if they are dissatisfied with the actions or recommendations of the Ombudsman in investigations of privacy complaints?</w:t>
            </w:r>
          </w:p>
        </w:tc>
      </w:tr>
      <w:tr w:rsidR="00AD45C7" w:rsidRPr="009D1907" w14:paraId="4547954A" w14:textId="77777777" w:rsidTr="00951B41">
        <w:tc>
          <w:tcPr>
            <w:tcW w:w="0" w:type="auto"/>
            <w:gridSpan w:val="2"/>
          </w:tcPr>
          <w:p w14:paraId="0147C463" w14:textId="67DE2DD2"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w:t>
            </w:r>
            <w:r w:rsidR="00B4016B" w:rsidRPr="009D1907">
              <w:rPr>
                <w:rFonts w:ascii="Times New Roman" w:hAnsi="Times New Roman" w:cs="Times New Roman"/>
                <w:sz w:val="22"/>
                <w:szCs w:val="22"/>
              </w:rPr>
              <w:t>2</w:t>
            </w:r>
          </w:p>
        </w:tc>
        <w:tc>
          <w:tcPr>
            <w:tcW w:w="0" w:type="auto"/>
          </w:tcPr>
          <w:p w14:paraId="3945C948"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What other remedies should be available to individuals affected by a breach of the PIPA?</w:t>
            </w:r>
          </w:p>
        </w:tc>
      </w:tr>
      <w:tr w:rsidR="00AD45C7" w:rsidRPr="009D1907" w14:paraId="6F76A486" w14:textId="77777777" w:rsidTr="00951B41">
        <w:tc>
          <w:tcPr>
            <w:tcW w:w="0" w:type="auto"/>
            <w:gridSpan w:val="2"/>
          </w:tcPr>
          <w:p w14:paraId="66371DC9" w14:textId="12DF9572"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w:t>
            </w:r>
            <w:r w:rsidR="00B4016B" w:rsidRPr="009D1907">
              <w:rPr>
                <w:rFonts w:ascii="Times New Roman" w:hAnsi="Times New Roman" w:cs="Times New Roman"/>
                <w:sz w:val="22"/>
                <w:szCs w:val="22"/>
              </w:rPr>
              <w:t>3</w:t>
            </w:r>
          </w:p>
        </w:tc>
        <w:tc>
          <w:tcPr>
            <w:tcW w:w="0" w:type="auto"/>
          </w:tcPr>
          <w:p w14:paraId="6B7E830E"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Are there other forms of enforcement action that should be introduced?</w:t>
            </w:r>
          </w:p>
        </w:tc>
      </w:tr>
      <w:tr w:rsidR="00AD45C7" w:rsidRPr="009D1907" w14:paraId="64849A44" w14:textId="77777777" w:rsidTr="00951B41">
        <w:tc>
          <w:tcPr>
            <w:tcW w:w="0" w:type="auto"/>
            <w:gridSpan w:val="2"/>
          </w:tcPr>
          <w:p w14:paraId="0099FD33" w14:textId="1B8300E8" w:rsidR="004B3076" w:rsidRPr="009D1907" w:rsidRDefault="004B3076"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2.14</w:t>
            </w:r>
          </w:p>
        </w:tc>
        <w:tc>
          <w:tcPr>
            <w:tcW w:w="0" w:type="auto"/>
          </w:tcPr>
          <w:p w14:paraId="2E935084" w14:textId="2D322B2B" w:rsidR="004B3076" w:rsidRPr="009D1907" w:rsidRDefault="004B3076"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consideration be given to the development of privacy codes by amendment to the PIPA or by providing for similar rules to be made in delegated legislation?</w:t>
            </w:r>
          </w:p>
        </w:tc>
      </w:tr>
      <w:tr w:rsidR="00AD45C7" w:rsidRPr="009D1907" w14:paraId="58F900DD" w14:textId="77777777" w:rsidTr="00951B41">
        <w:tc>
          <w:tcPr>
            <w:tcW w:w="0" w:type="auto"/>
            <w:gridSpan w:val="2"/>
          </w:tcPr>
          <w:p w14:paraId="35928D02" w14:textId="7A6AE38F"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2.1</w:t>
            </w:r>
            <w:r w:rsidR="004B3076" w:rsidRPr="009D1907">
              <w:rPr>
                <w:rFonts w:ascii="Times New Roman" w:hAnsi="Times New Roman" w:cs="Times New Roman"/>
                <w:sz w:val="22"/>
                <w:szCs w:val="22"/>
              </w:rPr>
              <w:t>5</w:t>
            </w:r>
          </w:p>
        </w:tc>
        <w:tc>
          <w:tcPr>
            <w:tcW w:w="0" w:type="auto"/>
          </w:tcPr>
          <w:p w14:paraId="523867F5"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a form of data breach notification requirement be introduced? If so, what models of mandatory reporting schemes should be considered?</w:t>
            </w:r>
          </w:p>
        </w:tc>
      </w:tr>
      <w:tr w:rsidR="008A30FE" w:rsidRPr="009D1907" w14:paraId="7DD67823" w14:textId="77777777" w:rsidTr="00951B41">
        <w:tc>
          <w:tcPr>
            <w:tcW w:w="0" w:type="auto"/>
            <w:gridSpan w:val="3"/>
            <w:shd w:val="clear" w:color="auto" w:fill="A6A6A6" w:themeFill="background1" w:themeFillShade="A6"/>
          </w:tcPr>
          <w:p w14:paraId="63A2F679" w14:textId="0432B4B7" w:rsidR="008A30FE" w:rsidRPr="009D1907" w:rsidRDefault="008A30FE" w:rsidP="00951B41">
            <w:pPr>
              <w:spacing w:before="240" w:after="240"/>
              <w:rPr>
                <w:rFonts w:ascii="Times New Roman" w:hAnsi="Times New Roman" w:cs="Times New Roman"/>
                <w:b/>
                <w:bCs/>
                <w:sz w:val="22"/>
                <w:szCs w:val="22"/>
              </w:rPr>
            </w:pPr>
            <w:r w:rsidRPr="009D1907">
              <w:rPr>
                <w:rFonts w:ascii="Times New Roman" w:hAnsi="Times New Roman" w:cs="Times New Roman"/>
                <w:b/>
                <w:bCs/>
                <w:sz w:val="22"/>
                <w:szCs w:val="22"/>
              </w:rPr>
              <w:t>Chapter 3</w:t>
            </w:r>
            <w:r w:rsidR="006A628A" w:rsidRPr="009D1907">
              <w:rPr>
                <w:rFonts w:ascii="Times New Roman" w:hAnsi="Times New Roman" w:cs="Times New Roman"/>
                <w:b/>
                <w:bCs/>
                <w:sz w:val="22"/>
                <w:szCs w:val="22"/>
              </w:rPr>
              <w:t>—</w:t>
            </w:r>
            <w:r w:rsidRPr="009D1907">
              <w:rPr>
                <w:rFonts w:ascii="Times New Roman" w:hAnsi="Times New Roman" w:cs="Times New Roman"/>
                <w:b/>
                <w:bCs/>
                <w:sz w:val="22"/>
                <w:szCs w:val="22"/>
              </w:rPr>
              <w:t>Other legislation impacting the privacy of government-held information (p</w:t>
            </w:r>
            <w:r w:rsidR="006A628A" w:rsidRPr="009D1907">
              <w:rPr>
                <w:rFonts w:ascii="Times New Roman" w:hAnsi="Times New Roman" w:cs="Times New Roman"/>
                <w:b/>
                <w:bCs/>
                <w:sz w:val="22"/>
                <w:szCs w:val="22"/>
              </w:rPr>
              <w:t>p</w:t>
            </w:r>
            <w:r w:rsidRPr="009D1907">
              <w:rPr>
                <w:rFonts w:ascii="Times New Roman" w:hAnsi="Times New Roman" w:cs="Times New Roman"/>
                <w:b/>
                <w:bCs/>
                <w:sz w:val="22"/>
                <w:szCs w:val="22"/>
              </w:rPr>
              <w:t xml:space="preserve">. </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_Ref91825727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47</w:t>
            </w:r>
            <w:r w:rsidR="006A628A" w:rsidRPr="009D1907">
              <w:rPr>
                <w:rFonts w:ascii="Times New Roman" w:hAnsi="Times New Roman" w:cs="Times New Roman"/>
                <w:b/>
                <w:bCs/>
              </w:rPr>
              <w:fldChar w:fldCharType="end"/>
            </w:r>
            <w:r w:rsidR="006A628A" w:rsidRPr="009D1907">
              <w:rPr>
                <w:rFonts w:ascii="Times New Roman" w:hAnsi="Times New Roman" w:cs="Times New Roman"/>
                <w:b/>
                <w:bCs/>
                <w:sz w:val="22"/>
                <w:szCs w:val="22"/>
              </w:rPr>
              <w:t>–</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_Ref128939619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51</w:t>
            </w:r>
            <w:r w:rsidR="006A628A" w:rsidRPr="009D1907">
              <w:rPr>
                <w:rFonts w:ascii="Times New Roman" w:hAnsi="Times New Roman" w:cs="Times New Roman"/>
                <w:b/>
                <w:bCs/>
              </w:rPr>
              <w:fldChar w:fldCharType="end"/>
            </w:r>
            <w:r w:rsidRPr="009D1907">
              <w:rPr>
                <w:rFonts w:ascii="Times New Roman" w:hAnsi="Times New Roman" w:cs="Times New Roman"/>
                <w:b/>
                <w:bCs/>
                <w:sz w:val="22"/>
                <w:szCs w:val="22"/>
              </w:rPr>
              <w:t>)</w:t>
            </w:r>
          </w:p>
        </w:tc>
      </w:tr>
      <w:tr w:rsidR="00AD45C7" w:rsidRPr="009D1907" w14:paraId="0C661E94" w14:textId="77777777" w:rsidTr="0001286D">
        <w:tc>
          <w:tcPr>
            <w:tcW w:w="766" w:type="dxa"/>
            <w:gridSpan w:val="2"/>
          </w:tcPr>
          <w:p w14:paraId="27CBE468"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3.1</w:t>
            </w:r>
          </w:p>
        </w:tc>
        <w:tc>
          <w:tcPr>
            <w:tcW w:w="8250" w:type="dxa"/>
          </w:tcPr>
          <w:p w14:paraId="54062FD7"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legislation providing for the application of minimum privacy safeguards be introduced to apply to all information sharing within and between government bodies?</w:t>
            </w:r>
          </w:p>
        </w:tc>
      </w:tr>
      <w:tr w:rsidR="00AD45C7" w:rsidRPr="009D1907" w14:paraId="14286318" w14:textId="77777777" w:rsidTr="0001286D">
        <w:tc>
          <w:tcPr>
            <w:tcW w:w="766" w:type="dxa"/>
            <w:gridSpan w:val="2"/>
          </w:tcPr>
          <w:p w14:paraId="44AFD494"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3.2</w:t>
            </w:r>
          </w:p>
        </w:tc>
        <w:tc>
          <w:tcPr>
            <w:tcW w:w="8250" w:type="dxa"/>
          </w:tcPr>
          <w:p w14:paraId="287B102D"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If such legislation should be introduced, how should the safeguards be enforced?</w:t>
            </w:r>
          </w:p>
        </w:tc>
      </w:tr>
      <w:tr w:rsidR="008A30FE" w:rsidRPr="009D1907" w14:paraId="5F95A9FF" w14:textId="77777777" w:rsidTr="00951B41">
        <w:tc>
          <w:tcPr>
            <w:tcW w:w="0" w:type="auto"/>
            <w:gridSpan w:val="3"/>
            <w:shd w:val="clear" w:color="auto" w:fill="A6A6A6" w:themeFill="background1" w:themeFillShade="A6"/>
          </w:tcPr>
          <w:p w14:paraId="6C6E53E7" w14:textId="2F0BD574" w:rsidR="008A30FE" w:rsidRPr="009D1907" w:rsidRDefault="008A30FE" w:rsidP="00951B41">
            <w:pPr>
              <w:spacing w:before="240" w:after="240"/>
              <w:rPr>
                <w:rFonts w:ascii="Times New Roman" w:hAnsi="Times New Roman" w:cs="Times New Roman"/>
                <w:b/>
                <w:bCs/>
                <w:sz w:val="22"/>
                <w:szCs w:val="22"/>
              </w:rPr>
            </w:pPr>
            <w:r w:rsidRPr="009D1907">
              <w:rPr>
                <w:rFonts w:ascii="Times New Roman" w:hAnsi="Times New Roman" w:cs="Times New Roman"/>
                <w:b/>
                <w:bCs/>
                <w:sz w:val="22"/>
                <w:szCs w:val="22"/>
              </w:rPr>
              <w:t>Chapter 4</w:t>
            </w:r>
            <w:r w:rsidR="006A628A" w:rsidRPr="009D1907">
              <w:rPr>
                <w:rFonts w:ascii="Times New Roman" w:hAnsi="Times New Roman" w:cs="Times New Roman"/>
                <w:b/>
                <w:bCs/>
                <w:sz w:val="22"/>
                <w:szCs w:val="22"/>
              </w:rPr>
              <w:t>—</w:t>
            </w:r>
            <w:r w:rsidRPr="009D1907">
              <w:rPr>
                <w:rFonts w:ascii="Times New Roman" w:hAnsi="Times New Roman" w:cs="Times New Roman"/>
                <w:b/>
                <w:bCs/>
                <w:sz w:val="22"/>
                <w:szCs w:val="22"/>
              </w:rPr>
              <w:t>Other protections of privacy (</w:t>
            </w:r>
            <w:r w:rsidR="006A628A" w:rsidRPr="009D1907">
              <w:rPr>
                <w:rFonts w:ascii="Times New Roman" w:hAnsi="Times New Roman" w:cs="Times New Roman"/>
                <w:b/>
                <w:bCs/>
                <w:sz w:val="22"/>
                <w:szCs w:val="22"/>
              </w:rPr>
              <w:t xml:space="preserve">pp. </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_Ref91583359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52</w:t>
            </w:r>
            <w:r w:rsidR="006A628A" w:rsidRPr="009D1907">
              <w:rPr>
                <w:rFonts w:ascii="Times New Roman" w:hAnsi="Times New Roman" w:cs="Times New Roman"/>
                <w:b/>
                <w:bCs/>
              </w:rPr>
              <w:fldChar w:fldCharType="end"/>
            </w:r>
            <w:r w:rsidR="006A628A" w:rsidRPr="009D1907">
              <w:rPr>
                <w:rFonts w:ascii="Times New Roman" w:hAnsi="Times New Roman" w:cs="Times New Roman"/>
                <w:b/>
                <w:bCs/>
                <w:sz w:val="22"/>
                <w:szCs w:val="22"/>
              </w:rPr>
              <w:t>–</w:t>
            </w:r>
            <w:r w:rsidR="006A628A" w:rsidRPr="009D1907">
              <w:rPr>
                <w:rFonts w:ascii="Times New Roman" w:hAnsi="Times New Roman" w:cs="Times New Roman"/>
                <w:b/>
                <w:bCs/>
              </w:rPr>
              <w:fldChar w:fldCharType="begin"/>
            </w:r>
            <w:r w:rsidR="006A628A" w:rsidRPr="009D1907">
              <w:rPr>
                <w:rFonts w:ascii="Times New Roman" w:hAnsi="Times New Roman" w:cs="Times New Roman"/>
                <w:b/>
                <w:bCs/>
                <w:sz w:val="22"/>
                <w:szCs w:val="22"/>
              </w:rPr>
              <w:instrText xml:space="preserve"> PAGEREF _Ref129273622 \h </w:instrText>
            </w:r>
            <w:r w:rsidR="006A628A" w:rsidRPr="009D1907">
              <w:rPr>
                <w:rFonts w:ascii="Times New Roman" w:hAnsi="Times New Roman" w:cs="Times New Roman"/>
                <w:b/>
                <w:bCs/>
              </w:rPr>
            </w:r>
            <w:r w:rsidR="006A628A" w:rsidRPr="009D1907">
              <w:rPr>
                <w:rFonts w:ascii="Times New Roman" w:hAnsi="Times New Roman" w:cs="Times New Roman"/>
                <w:b/>
                <w:bCs/>
              </w:rPr>
              <w:fldChar w:fldCharType="separate"/>
            </w:r>
            <w:r w:rsidR="00E66B60">
              <w:rPr>
                <w:rFonts w:ascii="Times New Roman" w:hAnsi="Times New Roman" w:cs="Times New Roman"/>
                <w:b/>
                <w:bCs/>
                <w:noProof/>
                <w:sz w:val="22"/>
                <w:szCs w:val="22"/>
              </w:rPr>
              <w:t>66</w:t>
            </w:r>
            <w:r w:rsidR="006A628A" w:rsidRPr="009D1907">
              <w:rPr>
                <w:rFonts w:ascii="Times New Roman" w:hAnsi="Times New Roman" w:cs="Times New Roman"/>
                <w:b/>
                <w:bCs/>
              </w:rPr>
              <w:fldChar w:fldCharType="end"/>
            </w:r>
            <w:r w:rsidRPr="009D1907">
              <w:rPr>
                <w:rFonts w:ascii="Times New Roman" w:hAnsi="Times New Roman" w:cs="Times New Roman"/>
                <w:b/>
                <w:bCs/>
                <w:sz w:val="22"/>
                <w:szCs w:val="22"/>
              </w:rPr>
              <w:t>)</w:t>
            </w:r>
          </w:p>
        </w:tc>
      </w:tr>
      <w:tr w:rsidR="00AD45C7" w:rsidRPr="009D1907" w14:paraId="67044DB1" w14:textId="77777777" w:rsidTr="0001286D">
        <w:tc>
          <w:tcPr>
            <w:tcW w:w="734" w:type="dxa"/>
          </w:tcPr>
          <w:p w14:paraId="0BA776D4"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4.1</w:t>
            </w:r>
          </w:p>
        </w:tc>
        <w:tc>
          <w:tcPr>
            <w:tcW w:w="8282" w:type="dxa"/>
            <w:gridSpan w:val="2"/>
          </w:tcPr>
          <w:p w14:paraId="328658AA"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 existing protections in the listening devices legislation be amended in Tasmania to strengthen the protection of individuals against surveillance, whether governmental, workplace, or private surveillance?</w:t>
            </w:r>
          </w:p>
        </w:tc>
      </w:tr>
      <w:tr w:rsidR="00AD45C7" w:rsidRPr="009D1907" w14:paraId="0BC60345" w14:textId="77777777" w:rsidTr="0001286D">
        <w:tc>
          <w:tcPr>
            <w:tcW w:w="734" w:type="dxa"/>
          </w:tcPr>
          <w:p w14:paraId="2B257AA2"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4.2</w:t>
            </w:r>
          </w:p>
        </w:tc>
        <w:tc>
          <w:tcPr>
            <w:tcW w:w="8282" w:type="dxa"/>
            <w:gridSpan w:val="2"/>
          </w:tcPr>
          <w:p w14:paraId="57DE71F1"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there be stronger legislative protection, including through the introduction of new statutes in Tasmania, against governmental (particularly police) surveillance in general?</w:t>
            </w:r>
          </w:p>
        </w:tc>
      </w:tr>
      <w:tr w:rsidR="00AD45C7" w:rsidRPr="009D1907" w14:paraId="616CBE83" w14:textId="77777777" w:rsidTr="0001286D">
        <w:tc>
          <w:tcPr>
            <w:tcW w:w="734" w:type="dxa"/>
          </w:tcPr>
          <w:p w14:paraId="467823F1"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4.3</w:t>
            </w:r>
          </w:p>
        </w:tc>
        <w:tc>
          <w:tcPr>
            <w:tcW w:w="8282" w:type="dxa"/>
            <w:gridSpan w:val="2"/>
          </w:tcPr>
          <w:p w14:paraId="0A079F08"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there be stronger legislative protection, including through the introduction of new statutes in Tasmania, against workplace surveillance in particular?</w:t>
            </w:r>
          </w:p>
        </w:tc>
      </w:tr>
      <w:tr w:rsidR="00AD45C7" w:rsidRPr="009D1907" w14:paraId="777773B1" w14:textId="77777777" w:rsidTr="0001286D">
        <w:tc>
          <w:tcPr>
            <w:tcW w:w="734" w:type="dxa"/>
          </w:tcPr>
          <w:p w14:paraId="23D581CE"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4.4</w:t>
            </w:r>
          </w:p>
        </w:tc>
        <w:tc>
          <w:tcPr>
            <w:tcW w:w="8282" w:type="dxa"/>
            <w:gridSpan w:val="2"/>
          </w:tcPr>
          <w:p w14:paraId="50E189FC" w14:textId="50178CC2"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Should there be specific protection against interference with physical privacy through the use of drones</w:t>
            </w:r>
            <w:r w:rsidR="00233915" w:rsidRPr="009D1907">
              <w:rPr>
                <w:rFonts w:ascii="Times New Roman" w:hAnsi="Times New Roman" w:cs="Times New Roman"/>
                <w:sz w:val="22"/>
                <w:szCs w:val="22"/>
              </w:rPr>
              <w:t xml:space="preserve"> </w:t>
            </w:r>
            <w:r w:rsidRPr="009D1907">
              <w:rPr>
                <w:rFonts w:ascii="Times New Roman" w:hAnsi="Times New Roman" w:cs="Times New Roman"/>
                <w:sz w:val="22"/>
                <w:szCs w:val="22"/>
              </w:rPr>
              <w:t>(RPAs and UAVs)?</w:t>
            </w:r>
          </w:p>
        </w:tc>
      </w:tr>
      <w:tr w:rsidR="00AD45C7" w:rsidRPr="009D1907" w14:paraId="25D7BE3F" w14:textId="77777777" w:rsidTr="0001286D">
        <w:tc>
          <w:tcPr>
            <w:tcW w:w="734" w:type="dxa"/>
          </w:tcPr>
          <w:p w14:paraId="3C9E43C3"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4.5</w:t>
            </w:r>
          </w:p>
        </w:tc>
        <w:tc>
          <w:tcPr>
            <w:tcW w:w="8282" w:type="dxa"/>
            <w:gridSpan w:val="2"/>
          </w:tcPr>
          <w:p w14:paraId="1E9A706D"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Are the existing legislative protections against stalking and harassment adequate to protect physical privacy, or should there be a new or strengthened law to protect against such physical and intimidating interferences?</w:t>
            </w:r>
          </w:p>
        </w:tc>
      </w:tr>
      <w:tr w:rsidR="00AD45C7" w:rsidRPr="009D1907" w14:paraId="6E354EF6" w14:textId="77777777" w:rsidTr="0001286D">
        <w:tc>
          <w:tcPr>
            <w:tcW w:w="734" w:type="dxa"/>
          </w:tcPr>
          <w:p w14:paraId="60AA36A6"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4.6</w:t>
            </w:r>
          </w:p>
        </w:tc>
        <w:tc>
          <w:tcPr>
            <w:tcW w:w="8282" w:type="dxa"/>
            <w:gridSpan w:val="2"/>
          </w:tcPr>
          <w:p w14:paraId="7CFF6E3F" w14:textId="73EC340A"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 xml:space="preserve">Are the existing legislative protections (largely at the Commonwealth level) against </w:t>
            </w:r>
            <w:r w:rsidR="00420479">
              <w:rPr>
                <w:rFonts w:ascii="Times New Roman" w:hAnsi="Times New Roman" w:cs="Times New Roman"/>
                <w:sz w:val="22"/>
                <w:szCs w:val="22"/>
              </w:rPr>
              <w:t>image</w:t>
            </w:r>
            <w:r w:rsidR="007422E6">
              <w:rPr>
                <w:rFonts w:ascii="Times New Roman" w:hAnsi="Times New Roman" w:cs="Times New Roman"/>
                <w:sz w:val="22"/>
                <w:szCs w:val="22"/>
              </w:rPr>
              <w:t>-</w:t>
            </w:r>
            <w:r w:rsidR="00420479">
              <w:rPr>
                <w:rFonts w:ascii="Times New Roman" w:hAnsi="Times New Roman" w:cs="Times New Roman"/>
                <w:sz w:val="22"/>
                <w:szCs w:val="22"/>
              </w:rPr>
              <w:t>based abuse</w:t>
            </w:r>
            <w:r w:rsidRPr="009D1907">
              <w:rPr>
                <w:rFonts w:ascii="Times New Roman" w:hAnsi="Times New Roman" w:cs="Times New Roman"/>
                <w:sz w:val="22"/>
                <w:szCs w:val="22"/>
              </w:rPr>
              <w:t xml:space="preserve"> and similar online privacy interferences adequate to protect individual privacy, or should the Tasmanian Parliament enact new criminal offences or civil remedies for such egregious online interferences with privacy, as other Australian jurisdictions have done?</w:t>
            </w:r>
          </w:p>
        </w:tc>
      </w:tr>
      <w:tr w:rsidR="00AD45C7" w:rsidRPr="009D1907" w14:paraId="0A039F86" w14:textId="77777777" w:rsidTr="0001286D">
        <w:tc>
          <w:tcPr>
            <w:tcW w:w="734" w:type="dxa"/>
          </w:tcPr>
          <w:p w14:paraId="0E2318C0"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4.7</w:t>
            </w:r>
          </w:p>
        </w:tc>
        <w:tc>
          <w:tcPr>
            <w:tcW w:w="8282" w:type="dxa"/>
            <w:gridSpan w:val="2"/>
          </w:tcPr>
          <w:p w14:paraId="73792815" w14:textId="77777777" w:rsidR="008A30FE" w:rsidRPr="009D1907" w:rsidRDefault="008A30FE" w:rsidP="005B0903">
            <w:pPr>
              <w:spacing w:before="120" w:after="120"/>
              <w:rPr>
                <w:rFonts w:ascii="Times New Roman" w:hAnsi="Times New Roman" w:cs="Times New Roman"/>
                <w:sz w:val="22"/>
                <w:szCs w:val="22"/>
              </w:rPr>
            </w:pPr>
            <w:r w:rsidRPr="009D1907">
              <w:rPr>
                <w:rFonts w:ascii="Times New Roman" w:hAnsi="Times New Roman" w:cs="Times New Roman"/>
                <w:sz w:val="22"/>
                <w:szCs w:val="22"/>
              </w:rPr>
              <w:t>Does existing judicial recognition of privacy (either through equitable remedies or as a nascent constitutional principle) provide adequate protection for individual privacy, especially in circumstances not covered by the PIPA and other legislative protections?</w:t>
            </w:r>
          </w:p>
        </w:tc>
      </w:tr>
      <w:tr w:rsidR="00AD45C7" w:rsidRPr="009D1907" w14:paraId="0DE943F1" w14:textId="77777777" w:rsidTr="0001286D">
        <w:tc>
          <w:tcPr>
            <w:tcW w:w="734" w:type="dxa"/>
          </w:tcPr>
          <w:p w14:paraId="7E7048FE" w14:textId="43C360B9" w:rsidR="00AD5A9E" w:rsidRPr="009D1907" w:rsidRDefault="00AD5A9E" w:rsidP="00AD5A9E">
            <w:pPr>
              <w:spacing w:before="120" w:after="120"/>
              <w:rPr>
                <w:rFonts w:ascii="Times New Roman" w:hAnsi="Times New Roman" w:cs="Times New Roman"/>
                <w:sz w:val="22"/>
                <w:szCs w:val="22"/>
              </w:rPr>
            </w:pPr>
            <w:r w:rsidRPr="009D1907">
              <w:rPr>
                <w:rFonts w:ascii="Times New Roman" w:hAnsi="Times New Roman" w:cs="Times New Roman"/>
                <w:sz w:val="22"/>
                <w:szCs w:val="22"/>
              </w:rPr>
              <w:t>4.8</w:t>
            </w:r>
          </w:p>
        </w:tc>
        <w:tc>
          <w:tcPr>
            <w:tcW w:w="8282" w:type="dxa"/>
            <w:gridSpan w:val="2"/>
          </w:tcPr>
          <w:p w14:paraId="73653D30" w14:textId="477E089F" w:rsidR="00AD5A9E" w:rsidRPr="009D1907" w:rsidRDefault="00AD5A9E" w:rsidP="00AD5A9E">
            <w:pPr>
              <w:spacing w:before="120" w:after="120"/>
              <w:rPr>
                <w:rFonts w:ascii="Times New Roman" w:hAnsi="Times New Roman" w:cs="Times New Roman"/>
                <w:bCs/>
                <w:sz w:val="22"/>
                <w:szCs w:val="22"/>
              </w:rPr>
            </w:pPr>
            <w:r w:rsidRPr="009D1907">
              <w:rPr>
                <w:rFonts w:ascii="Times New Roman" w:hAnsi="Times New Roman" w:cs="Times New Roman"/>
                <w:bCs/>
                <w:sz w:val="22"/>
                <w:szCs w:val="22"/>
              </w:rPr>
              <w:t>Should Tasmania codify a fundamental right to privacy, which can be set aside by other legislation that authorises activities that may interfere with privacy, and which is qualified by justified limitations?</w:t>
            </w:r>
          </w:p>
        </w:tc>
      </w:tr>
      <w:tr w:rsidR="00AD45C7" w:rsidRPr="009D1907" w14:paraId="0D7061C9" w14:textId="77777777" w:rsidTr="0001286D">
        <w:tc>
          <w:tcPr>
            <w:tcW w:w="734" w:type="dxa"/>
          </w:tcPr>
          <w:p w14:paraId="48E01E6F" w14:textId="77777777" w:rsidR="00AD5A9E" w:rsidRPr="009D1907" w:rsidRDefault="00AD5A9E" w:rsidP="00AD5A9E">
            <w:pPr>
              <w:spacing w:before="120" w:after="120"/>
              <w:rPr>
                <w:rFonts w:ascii="Times New Roman" w:hAnsi="Times New Roman" w:cs="Times New Roman"/>
                <w:sz w:val="22"/>
                <w:szCs w:val="22"/>
              </w:rPr>
            </w:pPr>
            <w:r w:rsidRPr="009D1907">
              <w:rPr>
                <w:rFonts w:ascii="Times New Roman" w:hAnsi="Times New Roman" w:cs="Times New Roman"/>
                <w:sz w:val="22"/>
                <w:szCs w:val="22"/>
              </w:rPr>
              <w:t>4.9</w:t>
            </w:r>
          </w:p>
        </w:tc>
        <w:tc>
          <w:tcPr>
            <w:tcW w:w="8282" w:type="dxa"/>
            <w:gridSpan w:val="2"/>
          </w:tcPr>
          <w:p w14:paraId="6865335D" w14:textId="10B5F2F6" w:rsidR="00AD5A9E" w:rsidRPr="009D1907" w:rsidRDefault="00AD5A9E" w:rsidP="00AD5A9E">
            <w:pPr>
              <w:spacing w:before="120" w:after="120"/>
              <w:rPr>
                <w:rFonts w:ascii="Times New Roman" w:hAnsi="Times New Roman" w:cs="Times New Roman"/>
                <w:bCs/>
                <w:sz w:val="22"/>
                <w:szCs w:val="22"/>
              </w:rPr>
            </w:pPr>
            <w:r w:rsidRPr="009D1907">
              <w:rPr>
                <w:rFonts w:ascii="Times New Roman" w:hAnsi="Times New Roman" w:cs="Times New Roman"/>
                <w:bCs/>
                <w:sz w:val="22"/>
                <w:szCs w:val="22"/>
              </w:rPr>
              <w:t>Should the Tasmanian Parliament legislate to introduce a statutory civil cause of action for interference with privacy in Tasmania in place of or in addition to existing legal protections?  If so, how should this cause of action be framed, taking into account the matters of threshold and scope, breach, defences, and remedies?</w:t>
            </w:r>
          </w:p>
        </w:tc>
      </w:tr>
    </w:tbl>
    <w:p w14:paraId="1FFD9654" w14:textId="4BD13C04" w:rsidR="00617E79" w:rsidRPr="006D2720" w:rsidRDefault="00617E79">
      <w:pPr>
        <w:rPr>
          <w:rFonts w:ascii="Times New Roman" w:eastAsiaTheme="majorEastAsia" w:hAnsi="Times New Roman" w:cs="Times New Roman"/>
          <w:color w:val="262626" w:themeColor="text1" w:themeTint="D9"/>
          <w:sz w:val="32"/>
          <w:szCs w:val="32"/>
        </w:rPr>
      </w:pPr>
      <w:r w:rsidRPr="006D2720">
        <w:rPr>
          <w:rFonts w:ascii="Times New Roman" w:hAnsi="Times New Roman" w:cs="Times New Roman"/>
        </w:rPr>
        <w:br w:type="page"/>
      </w:r>
    </w:p>
    <w:p w14:paraId="4A64C32C" w14:textId="77777777" w:rsidR="008B6C7A" w:rsidRPr="006D2720" w:rsidRDefault="008B6C7A" w:rsidP="002529BA">
      <w:pPr>
        <w:rPr>
          <w:rFonts w:ascii="Times New Roman" w:hAnsi="Times New Roman" w:cs="Times New Roman"/>
        </w:rPr>
        <w:sectPr w:rsidR="008B6C7A" w:rsidRPr="006D2720" w:rsidSect="00036077">
          <w:pgSz w:w="11906" w:h="16838"/>
          <w:pgMar w:top="1440" w:right="1440" w:bottom="1440" w:left="1440" w:header="708" w:footer="708" w:gutter="0"/>
          <w:pgNumType w:fmt="lowerRoman" w:start="3"/>
          <w:cols w:space="708"/>
          <w:docGrid w:linePitch="360"/>
        </w:sectPr>
      </w:pPr>
    </w:p>
    <w:p w14:paraId="01FBF293" w14:textId="77777777" w:rsidR="00414512" w:rsidRPr="006D2720" w:rsidRDefault="00414512">
      <w:pPr>
        <w:pStyle w:val="PartNoTLRI"/>
        <w:numPr>
          <w:ilvl w:val="0"/>
          <w:numId w:val="44"/>
        </w:numPr>
        <w:spacing w:after="360" w:line="240" w:lineRule="auto"/>
        <w:ind w:left="0" w:firstLine="0"/>
        <w:rPr>
          <w:rFonts w:ascii="Times New Roman" w:hAnsi="Times New Roman" w:cs="Times New Roman"/>
        </w:rPr>
      </w:pPr>
      <w:bookmarkStart w:id="13" w:name="_Ref56440610"/>
      <w:bookmarkStart w:id="14" w:name="_Ref55034836"/>
    </w:p>
    <w:p w14:paraId="07610F19" w14:textId="73CB3459" w:rsidR="002529BA" w:rsidRPr="006D2720" w:rsidRDefault="00690E12">
      <w:pPr>
        <w:pStyle w:val="Heading1"/>
        <w:numPr>
          <w:ilvl w:val="0"/>
          <w:numId w:val="21"/>
        </w:numPr>
        <w:rPr>
          <w:rFonts w:ascii="Times New Roman" w:hAnsi="Times New Roman" w:cs="Times New Roman"/>
        </w:rPr>
      </w:pPr>
      <w:bookmarkStart w:id="15" w:name="_Toc91831986"/>
      <w:bookmarkStart w:id="16" w:name="_Toc130540419"/>
      <w:bookmarkEnd w:id="13"/>
      <w:bookmarkEnd w:id="14"/>
      <w:r w:rsidRPr="006D2720">
        <w:rPr>
          <w:rFonts w:ascii="Times New Roman" w:hAnsi="Times New Roman" w:cs="Times New Roman"/>
        </w:rPr>
        <w:t xml:space="preserve">Privacy </w:t>
      </w:r>
      <w:r w:rsidR="008B015E" w:rsidRPr="006D2720">
        <w:rPr>
          <w:rFonts w:ascii="Times New Roman" w:hAnsi="Times New Roman" w:cs="Times New Roman"/>
        </w:rPr>
        <w:t>p</w:t>
      </w:r>
      <w:r w:rsidRPr="006D2720">
        <w:rPr>
          <w:rFonts w:ascii="Times New Roman" w:hAnsi="Times New Roman" w:cs="Times New Roman"/>
        </w:rPr>
        <w:t>rotection</w:t>
      </w:r>
      <w:bookmarkEnd w:id="15"/>
      <w:bookmarkEnd w:id="16"/>
    </w:p>
    <w:p w14:paraId="2187E522" w14:textId="36E8F658" w:rsidR="002529BA" w:rsidRPr="006D2720" w:rsidRDefault="002529BA" w:rsidP="002529BA">
      <w:pPr>
        <w:rPr>
          <w:rFonts w:ascii="Times New Roman" w:hAnsi="Times New Roman" w:cs="Times New Roman"/>
        </w:rPr>
      </w:pPr>
      <w:bookmarkStart w:id="17" w:name="One"/>
      <w:bookmarkEnd w:id="17"/>
      <w:r w:rsidRPr="006D2720">
        <w:rPr>
          <w:rFonts w:ascii="Times New Roman" w:hAnsi="Times New Roman" w:cs="Times New Roman"/>
        </w:rPr>
        <w:t xml:space="preserve">This Part </w:t>
      </w:r>
      <w:r w:rsidR="006D40EF" w:rsidRPr="006D2720">
        <w:rPr>
          <w:rFonts w:ascii="Times New Roman" w:hAnsi="Times New Roman" w:cs="Times New Roman"/>
        </w:rPr>
        <w:t xml:space="preserve">provides </w:t>
      </w:r>
      <w:r w:rsidRPr="006D2720">
        <w:rPr>
          <w:rFonts w:ascii="Times New Roman" w:hAnsi="Times New Roman" w:cs="Times New Roman"/>
        </w:rPr>
        <w:t xml:space="preserve">an overview of </w:t>
      </w:r>
      <w:r w:rsidR="00976943" w:rsidRPr="006D2720">
        <w:rPr>
          <w:rFonts w:ascii="Times New Roman" w:hAnsi="Times New Roman" w:cs="Times New Roman"/>
        </w:rPr>
        <w:t>privacy protection.</w:t>
      </w:r>
      <w:r w:rsidR="005F605E" w:rsidRPr="006D2720">
        <w:rPr>
          <w:rFonts w:ascii="Times New Roman" w:hAnsi="Times New Roman" w:cs="Times New Roman"/>
        </w:rPr>
        <w:t xml:space="preserve"> </w:t>
      </w:r>
      <w:r w:rsidR="00976943" w:rsidRPr="006D2720">
        <w:rPr>
          <w:rFonts w:ascii="Times New Roman" w:hAnsi="Times New Roman" w:cs="Times New Roman"/>
        </w:rPr>
        <w:t>It</w:t>
      </w:r>
      <w:r w:rsidR="005F605E" w:rsidRPr="006D2720">
        <w:rPr>
          <w:rFonts w:ascii="Times New Roman" w:hAnsi="Times New Roman" w:cs="Times New Roman"/>
        </w:rPr>
        <w:t xml:space="preserve"> first</w:t>
      </w:r>
      <w:r w:rsidR="00976943" w:rsidRPr="006D2720">
        <w:rPr>
          <w:rFonts w:ascii="Times New Roman" w:hAnsi="Times New Roman" w:cs="Times New Roman"/>
        </w:rPr>
        <w:t xml:space="preserve"> outlines the </w:t>
      </w:r>
      <w:r w:rsidR="004871D3" w:rsidRPr="006D2720">
        <w:rPr>
          <w:rFonts w:ascii="Times New Roman" w:hAnsi="Times New Roman" w:cs="Times New Roman"/>
        </w:rPr>
        <w:t>meaning of ‘priva</w:t>
      </w:r>
      <w:r w:rsidR="00D33581" w:rsidRPr="006D2720">
        <w:rPr>
          <w:rFonts w:ascii="Times New Roman" w:hAnsi="Times New Roman" w:cs="Times New Roman"/>
        </w:rPr>
        <w:t>c</w:t>
      </w:r>
      <w:r w:rsidR="004871D3" w:rsidRPr="006D2720">
        <w:rPr>
          <w:rFonts w:ascii="Times New Roman" w:hAnsi="Times New Roman" w:cs="Times New Roman"/>
        </w:rPr>
        <w:t>y</w:t>
      </w:r>
      <w:r w:rsidR="00D33581" w:rsidRPr="006D2720">
        <w:rPr>
          <w:rFonts w:ascii="Times New Roman" w:hAnsi="Times New Roman" w:cs="Times New Roman"/>
        </w:rPr>
        <w:t>’</w:t>
      </w:r>
      <w:r w:rsidR="0047599A" w:rsidRPr="006D2720">
        <w:rPr>
          <w:rFonts w:ascii="Times New Roman" w:hAnsi="Times New Roman" w:cs="Times New Roman"/>
        </w:rPr>
        <w:t xml:space="preserve"> and</w:t>
      </w:r>
      <w:r w:rsidR="004871D3" w:rsidRPr="006D2720">
        <w:rPr>
          <w:rFonts w:ascii="Times New Roman" w:hAnsi="Times New Roman" w:cs="Times New Roman"/>
        </w:rPr>
        <w:t xml:space="preserve"> the </w:t>
      </w:r>
      <w:r w:rsidR="00976943" w:rsidRPr="006D2720">
        <w:rPr>
          <w:rFonts w:ascii="Times New Roman" w:hAnsi="Times New Roman" w:cs="Times New Roman"/>
        </w:rPr>
        <w:t>source of a right to privacy</w:t>
      </w:r>
      <w:r w:rsidR="0047599A" w:rsidRPr="006D2720">
        <w:rPr>
          <w:rFonts w:ascii="Times New Roman" w:hAnsi="Times New Roman" w:cs="Times New Roman"/>
        </w:rPr>
        <w:t xml:space="preserve">. It then </w:t>
      </w:r>
      <w:r w:rsidR="00027648" w:rsidRPr="006D2720">
        <w:rPr>
          <w:rFonts w:ascii="Times New Roman" w:hAnsi="Times New Roman" w:cs="Times New Roman"/>
        </w:rPr>
        <w:t>defines</w:t>
      </w:r>
      <w:r w:rsidR="00976943" w:rsidRPr="006D2720">
        <w:rPr>
          <w:rFonts w:ascii="Times New Roman" w:hAnsi="Times New Roman" w:cs="Times New Roman"/>
        </w:rPr>
        <w:t xml:space="preserve"> the scope </w:t>
      </w:r>
      <w:r w:rsidR="00027648" w:rsidRPr="006D2720">
        <w:rPr>
          <w:rFonts w:ascii="Times New Roman" w:hAnsi="Times New Roman" w:cs="Times New Roman"/>
        </w:rPr>
        <w:t xml:space="preserve">and benefits </w:t>
      </w:r>
      <w:r w:rsidR="00976943" w:rsidRPr="006D2720">
        <w:rPr>
          <w:rFonts w:ascii="Times New Roman" w:hAnsi="Times New Roman" w:cs="Times New Roman"/>
        </w:rPr>
        <w:t>of privacy protection</w:t>
      </w:r>
      <w:r w:rsidR="005F605E" w:rsidRPr="006D2720">
        <w:rPr>
          <w:rFonts w:ascii="Times New Roman" w:hAnsi="Times New Roman" w:cs="Times New Roman"/>
        </w:rPr>
        <w:t>.</w:t>
      </w:r>
      <w:r w:rsidR="00976943" w:rsidRPr="006D2720">
        <w:rPr>
          <w:rFonts w:ascii="Times New Roman" w:hAnsi="Times New Roman" w:cs="Times New Roman"/>
        </w:rPr>
        <w:t xml:space="preserve"> </w:t>
      </w:r>
      <w:r w:rsidR="0047599A" w:rsidRPr="006D2720">
        <w:rPr>
          <w:rFonts w:ascii="Times New Roman" w:hAnsi="Times New Roman" w:cs="Times New Roman"/>
        </w:rPr>
        <w:t>Finally,</w:t>
      </w:r>
      <w:r w:rsidR="005F605E" w:rsidRPr="006D2720">
        <w:rPr>
          <w:rFonts w:ascii="Times New Roman" w:hAnsi="Times New Roman" w:cs="Times New Roman"/>
        </w:rPr>
        <w:t xml:space="preserve"> it </w:t>
      </w:r>
      <w:r w:rsidR="006D40EF" w:rsidRPr="006D2720">
        <w:rPr>
          <w:rFonts w:ascii="Times New Roman" w:hAnsi="Times New Roman" w:cs="Times New Roman"/>
        </w:rPr>
        <w:t>summarises</w:t>
      </w:r>
      <w:r w:rsidR="005F605E" w:rsidRPr="006D2720">
        <w:rPr>
          <w:rFonts w:ascii="Times New Roman" w:hAnsi="Times New Roman" w:cs="Times New Roman"/>
        </w:rPr>
        <w:t xml:space="preserve"> the legal frameworks applicable in </w:t>
      </w:r>
      <w:r w:rsidR="00976943" w:rsidRPr="006D2720">
        <w:rPr>
          <w:rFonts w:ascii="Times New Roman" w:hAnsi="Times New Roman" w:cs="Times New Roman"/>
        </w:rPr>
        <w:t xml:space="preserve">Tasmania, Australia, and internationally. </w:t>
      </w:r>
      <w:r w:rsidR="006D6729" w:rsidRPr="006D2720">
        <w:rPr>
          <w:rFonts w:ascii="Times New Roman" w:hAnsi="Times New Roman" w:cs="Times New Roman"/>
        </w:rPr>
        <w:t>Part 2 analyses in detail t</w:t>
      </w:r>
      <w:r w:rsidR="00717932" w:rsidRPr="006D2720">
        <w:rPr>
          <w:rFonts w:ascii="Times New Roman" w:hAnsi="Times New Roman" w:cs="Times New Roman"/>
        </w:rPr>
        <w:t xml:space="preserve">he key framework, the </w:t>
      </w:r>
      <w:r w:rsidR="00717932" w:rsidRPr="006D2720">
        <w:rPr>
          <w:rFonts w:ascii="Times New Roman" w:hAnsi="Times New Roman" w:cs="Times New Roman"/>
          <w:i/>
          <w:iCs/>
        </w:rPr>
        <w:t xml:space="preserve">Personal Information Protection Act 2004 </w:t>
      </w:r>
      <w:r w:rsidR="00717932" w:rsidRPr="006D2720">
        <w:rPr>
          <w:rFonts w:ascii="Times New Roman" w:hAnsi="Times New Roman" w:cs="Times New Roman"/>
        </w:rPr>
        <w:t>(Tas)</w:t>
      </w:r>
      <w:r w:rsidR="007A59FF" w:rsidRPr="006D2720">
        <w:rPr>
          <w:rFonts w:ascii="Times New Roman" w:hAnsi="Times New Roman" w:cs="Times New Roman"/>
        </w:rPr>
        <w:t xml:space="preserve"> (‘PIPA’)</w:t>
      </w:r>
      <w:r w:rsidR="00293055" w:rsidRPr="006D2720">
        <w:rPr>
          <w:rFonts w:ascii="Times New Roman" w:hAnsi="Times New Roman" w:cs="Times New Roman"/>
        </w:rPr>
        <w:t>.</w:t>
      </w:r>
    </w:p>
    <w:p w14:paraId="3433D63D" w14:textId="3B6AAF9F" w:rsidR="00EF00EE" w:rsidRPr="006D2720" w:rsidRDefault="00106109" w:rsidP="00CA1A69">
      <w:pPr>
        <w:pStyle w:val="Heading2"/>
        <w:rPr>
          <w:rFonts w:ascii="Times New Roman" w:hAnsi="Times New Roman" w:cs="Times New Roman"/>
        </w:rPr>
      </w:pPr>
      <w:bookmarkStart w:id="18" w:name="_Toc91831987"/>
      <w:bookmarkStart w:id="19" w:name="_Toc130540420"/>
      <w:r w:rsidRPr="006D2720">
        <w:rPr>
          <w:rFonts w:ascii="Times New Roman" w:hAnsi="Times New Roman" w:cs="Times New Roman"/>
        </w:rPr>
        <w:t>What is ‘privacy’?</w:t>
      </w:r>
      <w:bookmarkEnd w:id="18"/>
      <w:bookmarkEnd w:id="19"/>
    </w:p>
    <w:p w14:paraId="1FEFFDFE" w14:textId="64A1393A" w:rsidR="000C522E" w:rsidRPr="006D2720" w:rsidRDefault="00BF60CD" w:rsidP="00CA1A69">
      <w:pPr>
        <w:pStyle w:val="Heading3"/>
        <w:rPr>
          <w:rFonts w:ascii="Times New Roman" w:hAnsi="Times New Roman" w:cs="Times New Roman"/>
        </w:rPr>
      </w:pPr>
      <w:r w:rsidRPr="006D2720">
        <w:rPr>
          <w:rFonts w:ascii="Times New Roman" w:hAnsi="Times New Roman" w:cs="Times New Roman"/>
        </w:rPr>
        <w:t xml:space="preserve">The overarching question referred to the TLRI is whether the current privacy laws in Tasmania are adequately protective. The meaning of privacy is central to this </w:t>
      </w:r>
      <w:r w:rsidR="006D40EF" w:rsidRPr="006D2720">
        <w:rPr>
          <w:rFonts w:ascii="Times New Roman" w:hAnsi="Times New Roman" w:cs="Times New Roman"/>
        </w:rPr>
        <w:t>question</w:t>
      </w:r>
      <w:r w:rsidRPr="006D2720">
        <w:rPr>
          <w:rFonts w:ascii="Times New Roman" w:hAnsi="Times New Roman" w:cs="Times New Roman"/>
        </w:rPr>
        <w:t xml:space="preserve">. </w:t>
      </w:r>
      <w:r w:rsidR="00CA17C5" w:rsidRPr="006D2720">
        <w:rPr>
          <w:rFonts w:ascii="Times New Roman" w:hAnsi="Times New Roman" w:cs="Times New Roman"/>
        </w:rPr>
        <w:t>D</w:t>
      </w:r>
      <w:r w:rsidR="00EF00EE" w:rsidRPr="006D2720">
        <w:rPr>
          <w:rFonts w:ascii="Times New Roman" w:hAnsi="Times New Roman" w:cs="Times New Roman"/>
        </w:rPr>
        <w:t>efining the scope of privacy has proved an ‘elusive task’</w:t>
      </w:r>
      <w:r w:rsidR="00511718" w:rsidRPr="006D2720">
        <w:rPr>
          <w:rFonts w:ascii="Times New Roman" w:hAnsi="Times New Roman" w:cs="Times New Roman"/>
        </w:rPr>
        <w:t>,</w:t>
      </w:r>
      <w:bookmarkStart w:id="20" w:name="_Ref91746375"/>
      <w:r w:rsidR="00EF00EE" w:rsidRPr="006D2720">
        <w:rPr>
          <w:rStyle w:val="FootnoteReference"/>
          <w:rFonts w:ascii="Times New Roman" w:hAnsi="Times New Roman" w:cs="Times New Roman"/>
        </w:rPr>
        <w:footnoteReference w:id="2"/>
      </w:r>
      <w:bookmarkEnd w:id="20"/>
      <w:r w:rsidR="00EF00EE" w:rsidRPr="006D2720">
        <w:rPr>
          <w:rFonts w:ascii="Times New Roman" w:hAnsi="Times New Roman" w:cs="Times New Roman"/>
        </w:rPr>
        <w:t xml:space="preserve"> </w:t>
      </w:r>
      <w:r w:rsidR="00511718" w:rsidRPr="006D2720">
        <w:rPr>
          <w:rFonts w:ascii="Times New Roman" w:hAnsi="Times New Roman" w:cs="Times New Roman"/>
        </w:rPr>
        <w:t xml:space="preserve">and it is </w:t>
      </w:r>
      <w:r w:rsidR="00EF00EE" w:rsidRPr="006D2720">
        <w:rPr>
          <w:rFonts w:ascii="Times New Roman" w:hAnsi="Times New Roman" w:cs="Times New Roman"/>
        </w:rPr>
        <w:t xml:space="preserve">generally described through </w:t>
      </w:r>
      <w:r w:rsidR="008B015E" w:rsidRPr="006D2720">
        <w:rPr>
          <w:rFonts w:ascii="Times New Roman" w:hAnsi="Times New Roman" w:cs="Times New Roman"/>
        </w:rPr>
        <w:t xml:space="preserve">several </w:t>
      </w:r>
      <w:r w:rsidR="00EF00EE" w:rsidRPr="006D2720">
        <w:rPr>
          <w:rFonts w:ascii="Times New Roman" w:hAnsi="Times New Roman" w:cs="Times New Roman"/>
        </w:rPr>
        <w:t xml:space="preserve">different typologies or categories. </w:t>
      </w:r>
    </w:p>
    <w:p w14:paraId="62778A0D" w14:textId="67FD5350" w:rsidR="00EF00EE" w:rsidRPr="006D2720" w:rsidRDefault="000C522E" w:rsidP="00CA1A69">
      <w:pPr>
        <w:pStyle w:val="Heading3"/>
        <w:rPr>
          <w:rFonts w:ascii="Times New Roman" w:hAnsi="Times New Roman" w:cs="Times New Roman"/>
        </w:rPr>
      </w:pPr>
      <w:bookmarkStart w:id="21" w:name="_Ref91775585"/>
      <w:r w:rsidRPr="006D2720">
        <w:rPr>
          <w:rFonts w:ascii="Times New Roman" w:hAnsi="Times New Roman" w:cs="Times New Roman"/>
        </w:rPr>
        <w:t xml:space="preserve">In </w:t>
      </w:r>
      <w:r w:rsidR="00EF00EE" w:rsidRPr="006D2720">
        <w:rPr>
          <w:rFonts w:ascii="Times New Roman" w:hAnsi="Times New Roman" w:cs="Times New Roman"/>
        </w:rPr>
        <w:t xml:space="preserve">its 2008 </w:t>
      </w:r>
      <w:r w:rsidR="00D45732" w:rsidRPr="006D2720">
        <w:rPr>
          <w:rFonts w:ascii="Times New Roman" w:hAnsi="Times New Roman" w:cs="Times New Roman"/>
        </w:rPr>
        <w:t>r</w:t>
      </w:r>
      <w:r w:rsidR="00EF00EE" w:rsidRPr="006D2720">
        <w:rPr>
          <w:rFonts w:ascii="Times New Roman" w:hAnsi="Times New Roman" w:cs="Times New Roman"/>
        </w:rPr>
        <w:t xml:space="preserve">eport into </w:t>
      </w:r>
      <w:r w:rsidR="00D45732" w:rsidRPr="006D2720">
        <w:rPr>
          <w:rFonts w:ascii="Times New Roman" w:hAnsi="Times New Roman" w:cs="Times New Roman"/>
        </w:rPr>
        <w:t>p</w:t>
      </w:r>
      <w:r w:rsidR="00EF00EE" w:rsidRPr="006D2720">
        <w:rPr>
          <w:rFonts w:ascii="Times New Roman" w:hAnsi="Times New Roman" w:cs="Times New Roman"/>
        </w:rPr>
        <w:t xml:space="preserve">rivacy </w:t>
      </w:r>
      <w:r w:rsidR="00D45732" w:rsidRPr="006D2720">
        <w:rPr>
          <w:rFonts w:ascii="Times New Roman" w:hAnsi="Times New Roman" w:cs="Times New Roman"/>
        </w:rPr>
        <w:t>l</w:t>
      </w:r>
      <w:r w:rsidR="00EF00EE" w:rsidRPr="006D2720">
        <w:rPr>
          <w:rFonts w:ascii="Times New Roman" w:hAnsi="Times New Roman" w:cs="Times New Roman"/>
        </w:rPr>
        <w:t xml:space="preserve">aws, the Australian Law Reform Commission </w:t>
      </w:r>
      <w:r w:rsidR="00D45732" w:rsidRPr="006D2720">
        <w:rPr>
          <w:rFonts w:ascii="Times New Roman" w:hAnsi="Times New Roman" w:cs="Times New Roman"/>
        </w:rPr>
        <w:t xml:space="preserve">(‘ALRC’) </w:t>
      </w:r>
      <w:r w:rsidR="00EF00EE" w:rsidRPr="006D2720">
        <w:rPr>
          <w:rFonts w:ascii="Times New Roman" w:hAnsi="Times New Roman" w:cs="Times New Roman"/>
        </w:rPr>
        <w:t xml:space="preserve">adopted </w:t>
      </w:r>
      <w:r w:rsidR="007D7378" w:rsidRPr="006D2720">
        <w:rPr>
          <w:rFonts w:ascii="Times New Roman" w:hAnsi="Times New Roman" w:cs="Times New Roman"/>
        </w:rPr>
        <w:t xml:space="preserve">four </w:t>
      </w:r>
      <w:r w:rsidR="00EF00EE" w:rsidRPr="006D2720">
        <w:rPr>
          <w:rFonts w:ascii="Times New Roman" w:hAnsi="Times New Roman" w:cs="Times New Roman"/>
        </w:rPr>
        <w:t>overlapping</w:t>
      </w:r>
      <w:r w:rsidR="00835F9D" w:rsidRPr="006D2720">
        <w:rPr>
          <w:rFonts w:ascii="Times New Roman" w:hAnsi="Times New Roman" w:cs="Times New Roman"/>
        </w:rPr>
        <w:t xml:space="preserve"> </w:t>
      </w:r>
      <w:r w:rsidR="00EF00EE" w:rsidRPr="006D2720">
        <w:rPr>
          <w:rFonts w:ascii="Times New Roman" w:hAnsi="Times New Roman" w:cs="Times New Roman"/>
        </w:rPr>
        <w:t>categories of privacy protection</w:t>
      </w:r>
      <w:r w:rsidR="00835F9D" w:rsidRPr="006D2720">
        <w:rPr>
          <w:rFonts w:ascii="Times New Roman" w:hAnsi="Times New Roman" w:cs="Times New Roman"/>
        </w:rPr>
        <w:t>, w</w:t>
      </w:r>
      <w:r w:rsidR="007D7378" w:rsidRPr="006D2720">
        <w:rPr>
          <w:rFonts w:ascii="Times New Roman" w:hAnsi="Times New Roman" w:cs="Times New Roman"/>
        </w:rPr>
        <w:t xml:space="preserve">hich are also </w:t>
      </w:r>
      <w:r w:rsidR="00835F9D" w:rsidRPr="006D2720">
        <w:rPr>
          <w:rFonts w:ascii="Times New Roman" w:hAnsi="Times New Roman" w:cs="Times New Roman"/>
        </w:rPr>
        <w:t>adopt</w:t>
      </w:r>
      <w:r w:rsidR="007D7378" w:rsidRPr="006D2720">
        <w:rPr>
          <w:rFonts w:ascii="Times New Roman" w:hAnsi="Times New Roman" w:cs="Times New Roman"/>
        </w:rPr>
        <w:t xml:space="preserve">ed </w:t>
      </w:r>
      <w:r w:rsidR="008B015E" w:rsidRPr="006D2720">
        <w:rPr>
          <w:rFonts w:ascii="Times New Roman" w:hAnsi="Times New Roman" w:cs="Times New Roman"/>
        </w:rPr>
        <w:t xml:space="preserve">as </w:t>
      </w:r>
      <w:r w:rsidR="00835F9D" w:rsidRPr="006D2720">
        <w:rPr>
          <w:rFonts w:ascii="Times New Roman" w:hAnsi="Times New Roman" w:cs="Times New Roman"/>
        </w:rPr>
        <w:t>working definition</w:t>
      </w:r>
      <w:r w:rsidR="008B015E" w:rsidRPr="006D2720">
        <w:rPr>
          <w:rFonts w:ascii="Times New Roman" w:hAnsi="Times New Roman" w:cs="Times New Roman"/>
        </w:rPr>
        <w:t xml:space="preserve">s </w:t>
      </w:r>
      <w:r w:rsidR="007D7378" w:rsidRPr="006D2720">
        <w:rPr>
          <w:rFonts w:ascii="Times New Roman" w:hAnsi="Times New Roman" w:cs="Times New Roman"/>
        </w:rPr>
        <w:t>in this Issues Paper. They are as follows</w:t>
      </w:r>
      <w:r w:rsidR="00EF00EE" w:rsidRPr="006D2720">
        <w:rPr>
          <w:rFonts w:ascii="Times New Roman" w:hAnsi="Times New Roman" w:cs="Times New Roman"/>
        </w:rPr>
        <w:t>:</w:t>
      </w:r>
      <w:bookmarkEnd w:id="21"/>
    </w:p>
    <w:p w14:paraId="00C7B705" w14:textId="2937143B" w:rsidR="000970FE" w:rsidRPr="006D2720" w:rsidRDefault="00EF00EE" w:rsidP="000970FE">
      <w:pPr>
        <w:pStyle w:val="Dotpointlist"/>
        <w:rPr>
          <w:rFonts w:ascii="Times New Roman" w:hAnsi="Times New Roman" w:cs="Times New Roman"/>
        </w:rPr>
      </w:pPr>
      <w:r w:rsidRPr="006D2720">
        <w:rPr>
          <w:rFonts w:ascii="Times New Roman" w:hAnsi="Times New Roman" w:cs="Times New Roman"/>
          <w:i/>
          <w:iCs/>
        </w:rPr>
        <w:t>Information privacy</w:t>
      </w:r>
      <w:r w:rsidRPr="006D2720">
        <w:rPr>
          <w:rFonts w:ascii="Times New Roman" w:hAnsi="Times New Roman" w:cs="Times New Roman"/>
        </w:rPr>
        <w:t xml:space="preserve">, which involves the establishment of rules governing the collection and handling of personal data such as credit information, medical </w:t>
      </w:r>
      <w:r w:rsidR="006C3DD6" w:rsidRPr="006D2720">
        <w:rPr>
          <w:rFonts w:ascii="Times New Roman" w:hAnsi="Times New Roman" w:cs="Times New Roman"/>
        </w:rPr>
        <w:t xml:space="preserve">records, </w:t>
      </w:r>
      <w:r w:rsidRPr="006D2720">
        <w:rPr>
          <w:rFonts w:ascii="Times New Roman" w:hAnsi="Times New Roman" w:cs="Times New Roman"/>
        </w:rPr>
        <w:t>and government records. It is also known as ‘data protection’</w:t>
      </w:r>
      <w:r w:rsidR="008B015E" w:rsidRPr="006D2720">
        <w:rPr>
          <w:rFonts w:ascii="Times New Roman" w:hAnsi="Times New Roman" w:cs="Times New Roman"/>
        </w:rPr>
        <w:t>.</w:t>
      </w:r>
    </w:p>
    <w:p w14:paraId="0F78F8FB" w14:textId="410FE46A" w:rsidR="000970FE" w:rsidRPr="006D2720" w:rsidRDefault="00EF00EE" w:rsidP="000970FE">
      <w:pPr>
        <w:pStyle w:val="Dotpointlist"/>
        <w:rPr>
          <w:rFonts w:ascii="Times New Roman" w:hAnsi="Times New Roman" w:cs="Times New Roman"/>
        </w:rPr>
      </w:pPr>
      <w:r w:rsidRPr="006D2720">
        <w:rPr>
          <w:rFonts w:ascii="Times New Roman" w:hAnsi="Times New Roman" w:cs="Times New Roman"/>
          <w:i/>
          <w:iCs/>
        </w:rPr>
        <w:t>Bodily privacy</w:t>
      </w:r>
      <w:r w:rsidRPr="006D2720">
        <w:rPr>
          <w:rFonts w:ascii="Times New Roman" w:hAnsi="Times New Roman" w:cs="Times New Roman"/>
        </w:rPr>
        <w:t>, which concerns the protection of people’s physical selves against invasive procedures such as genetic tests, drug testing</w:t>
      </w:r>
      <w:r w:rsidR="009207BA" w:rsidRPr="006D2720">
        <w:rPr>
          <w:rFonts w:ascii="Times New Roman" w:hAnsi="Times New Roman" w:cs="Times New Roman"/>
        </w:rPr>
        <w:t>,</w:t>
      </w:r>
      <w:r w:rsidRPr="006D2720">
        <w:rPr>
          <w:rFonts w:ascii="Times New Roman" w:hAnsi="Times New Roman" w:cs="Times New Roman"/>
        </w:rPr>
        <w:t xml:space="preserve"> and cavity searches</w:t>
      </w:r>
      <w:r w:rsidR="008B015E" w:rsidRPr="006D2720">
        <w:rPr>
          <w:rFonts w:ascii="Times New Roman" w:hAnsi="Times New Roman" w:cs="Times New Roman"/>
        </w:rPr>
        <w:t>.</w:t>
      </w:r>
    </w:p>
    <w:p w14:paraId="28DA77CB" w14:textId="142DD800" w:rsidR="000970FE" w:rsidRPr="006D2720" w:rsidRDefault="00EF00EE" w:rsidP="000970FE">
      <w:pPr>
        <w:pStyle w:val="Dotpointlist"/>
        <w:rPr>
          <w:rFonts w:ascii="Times New Roman" w:hAnsi="Times New Roman" w:cs="Times New Roman"/>
        </w:rPr>
      </w:pPr>
      <w:r w:rsidRPr="006D2720">
        <w:rPr>
          <w:rFonts w:ascii="Times New Roman" w:hAnsi="Times New Roman" w:cs="Times New Roman"/>
          <w:i/>
          <w:iCs/>
        </w:rPr>
        <w:t>Privacy of communications</w:t>
      </w:r>
      <w:r w:rsidRPr="006D2720">
        <w:rPr>
          <w:rFonts w:ascii="Times New Roman" w:hAnsi="Times New Roman" w:cs="Times New Roman"/>
        </w:rPr>
        <w:t>, which covers the security and privacy of mail, telephones, email</w:t>
      </w:r>
      <w:r w:rsidR="009207BA" w:rsidRPr="006D2720">
        <w:rPr>
          <w:rFonts w:ascii="Times New Roman" w:hAnsi="Times New Roman" w:cs="Times New Roman"/>
        </w:rPr>
        <w:t>,</w:t>
      </w:r>
      <w:r w:rsidRPr="006D2720">
        <w:rPr>
          <w:rFonts w:ascii="Times New Roman" w:hAnsi="Times New Roman" w:cs="Times New Roman"/>
        </w:rPr>
        <w:t xml:space="preserve"> and other forms of communication</w:t>
      </w:r>
      <w:r w:rsidR="008B015E" w:rsidRPr="006D2720">
        <w:rPr>
          <w:rFonts w:ascii="Times New Roman" w:hAnsi="Times New Roman" w:cs="Times New Roman"/>
        </w:rPr>
        <w:t>.</w:t>
      </w:r>
    </w:p>
    <w:p w14:paraId="533B6B22" w14:textId="3B981793" w:rsidR="00EF00EE" w:rsidRPr="006D2720" w:rsidRDefault="00EF00EE" w:rsidP="00CA1A69">
      <w:pPr>
        <w:pStyle w:val="Dotpointlist"/>
        <w:rPr>
          <w:rFonts w:ascii="Times New Roman" w:hAnsi="Times New Roman" w:cs="Times New Roman"/>
        </w:rPr>
      </w:pPr>
      <w:r w:rsidRPr="006D2720">
        <w:rPr>
          <w:rFonts w:ascii="Times New Roman" w:hAnsi="Times New Roman" w:cs="Times New Roman"/>
          <w:i/>
          <w:iCs/>
        </w:rPr>
        <w:t>Territorial privacy</w:t>
      </w:r>
      <w:r w:rsidRPr="006D2720">
        <w:rPr>
          <w:rFonts w:ascii="Times New Roman" w:hAnsi="Times New Roman" w:cs="Times New Roman"/>
        </w:rPr>
        <w:t>, which concerns the setting of limits on intrusion into the domestic and other environments such as the workplace or public space. This includes searches, video surveillance</w:t>
      </w:r>
      <w:r w:rsidR="009207BA" w:rsidRPr="006D2720">
        <w:rPr>
          <w:rFonts w:ascii="Times New Roman" w:hAnsi="Times New Roman" w:cs="Times New Roman"/>
        </w:rPr>
        <w:t>,</w:t>
      </w:r>
      <w:r w:rsidRPr="006D2720">
        <w:rPr>
          <w:rFonts w:ascii="Times New Roman" w:hAnsi="Times New Roman" w:cs="Times New Roman"/>
        </w:rPr>
        <w:t xml:space="preserve"> and ID checks.</w:t>
      </w:r>
      <w:bookmarkStart w:id="22" w:name="_Ref91746363"/>
      <w:r w:rsidRPr="006D2720">
        <w:rPr>
          <w:rStyle w:val="FootnoteReference"/>
          <w:rFonts w:ascii="Times New Roman" w:hAnsi="Times New Roman" w:cs="Times New Roman"/>
        </w:rPr>
        <w:footnoteReference w:id="3"/>
      </w:r>
      <w:bookmarkEnd w:id="22"/>
    </w:p>
    <w:p w14:paraId="6DD53E19" w14:textId="51DDCC77" w:rsidR="008B6C7A" w:rsidRPr="006D2720" w:rsidRDefault="00A67531" w:rsidP="00401E49">
      <w:pPr>
        <w:pStyle w:val="Heading3"/>
        <w:rPr>
          <w:rFonts w:ascii="Times New Roman" w:hAnsi="Times New Roman" w:cs="Times New Roman"/>
        </w:rPr>
      </w:pPr>
      <w:r w:rsidRPr="006D2720">
        <w:rPr>
          <w:rFonts w:ascii="Times New Roman" w:hAnsi="Times New Roman" w:cs="Times New Roman"/>
        </w:rPr>
        <w:t xml:space="preserve">As a note on terminology, rights to bodily and territorial privacy may be otherwise known as ‘rights to seclusion’. Intrusions on seclusion </w:t>
      </w:r>
      <w:r w:rsidR="00CA17C5" w:rsidRPr="006D2720">
        <w:rPr>
          <w:rFonts w:ascii="Times New Roman" w:hAnsi="Times New Roman" w:cs="Times New Roman"/>
        </w:rPr>
        <w:t xml:space="preserve">include </w:t>
      </w:r>
      <w:r w:rsidRPr="006D2720">
        <w:rPr>
          <w:rFonts w:ascii="Times New Roman" w:hAnsi="Times New Roman" w:cs="Times New Roman"/>
        </w:rPr>
        <w:t>watching, listening to, or recording what a person does in private.</w:t>
      </w:r>
      <w:r w:rsidRPr="006D2720">
        <w:rPr>
          <w:rStyle w:val="FootnoteReference"/>
          <w:rFonts w:ascii="Times New Roman" w:hAnsi="Times New Roman" w:cs="Times New Roman"/>
        </w:rPr>
        <w:footnoteReference w:id="4"/>
      </w:r>
      <w:r w:rsidRPr="006D2720">
        <w:rPr>
          <w:rFonts w:ascii="Times New Roman" w:hAnsi="Times New Roman" w:cs="Times New Roman"/>
        </w:rPr>
        <w:t xml:space="preserve"> </w:t>
      </w:r>
    </w:p>
    <w:p w14:paraId="6943F144" w14:textId="1CA10C73" w:rsidR="00106109" w:rsidRPr="006D2720" w:rsidRDefault="00106109" w:rsidP="00CA1A69">
      <w:pPr>
        <w:pStyle w:val="Heading2"/>
        <w:rPr>
          <w:rFonts w:ascii="Times New Roman" w:hAnsi="Times New Roman" w:cs="Times New Roman"/>
        </w:rPr>
      </w:pPr>
      <w:bookmarkStart w:id="23" w:name="_Ref91776009"/>
      <w:bookmarkStart w:id="24" w:name="_Toc91831988"/>
      <w:bookmarkStart w:id="25" w:name="_Toc130540421"/>
      <w:r w:rsidRPr="006D2720">
        <w:rPr>
          <w:rFonts w:ascii="Times New Roman" w:hAnsi="Times New Roman" w:cs="Times New Roman"/>
        </w:rPr>
        <w:t>Scope and benefits of privacy protection</w:t>
      </w:r>
      <w:bookmarkEnd w:id="23"/>
      <w:bookmarkEnd w:id="24"/>
      <w:bookmarkEnd w:id="25"/>
    </w:p>
    <w:p w14:paraId="580BB0A6" w14:textId="77777777" w:rsidR="00D912CD" w:rsidRDefault="00560DC6" w:rsidP="004F63C0">
      <w:pPr>
        <w:pStyle w:val="Heading3"/>
        <w:rPr>
          <w:rFonts w:ascii="Times New Roman" w:hAnsi="Times New Roman" w:cs="Times New Roman"/>
        </w:rPr>
        <w:sectPr w:rsidR="00D912CD" w:rsidSect="00911394">
          <w:headerReference w:type="even" r:id="rId19"/>
          <w:headerReference w:type="default" r:id="rId20"/>
          <w:pgSz w:w="11906" w:h="16838"/>
          <w:pgMar w:top="1440" w:right="1440" w:bottom="1440" w:left="1440" w:header="708" w:footer="708" w:gutter="0"/>
          <w:pgNumType w:start="1"/>
          <w:cols w:space="708"/>
          <w:docGrid w:linePitch="360"/>
        </w:sectPr>
      </w:pPr>
      <w:r w:rsidRPr="006D2720">
        <w:rPr>
          <w:rFonts w:ascii="Times New Roman" w:hAnsi="Times New Roman" w:cs="Times New Roman"/>
        </w:rPr>
        <w:t>Determining the extent to which society protects privacy is important. The protection of privacy interrelates with:</w:t>
      </w:r>
    </w:p>
    <w:p w14:paraId="7DA8F0F9" w14:textId="1274AF40" w:rsidR="004F63C0" w:rsidRPr="006D2720" w:rsidRDefault="004F63C0" w:rsidP="004F63C0">
      <w:pPr>
        <w:pStyle w:val="Dotpointlist"/>
        <w:rPr>
          <w:rFonts w:ascii="Times New Roman" w:hAnsi="Times New Roman" w:cs="Times New Roman"/>
        </w:rPr>
      </w:pPr>
      <w:r w:rsidRPr="006D2720">
        <w:rPr>
          <w:rFonts w:ascii="Times New Roman" w:hAnsi="Times New Roman" w:cs="Times New Roman"/>
        </w:rPr>
        <w:t>Safeguarding human dignity</w:t>
      </w:r>
      <w:r w:rsidRPr="006D2720">
        <w:rPr>
          <w:rStyle w:val="FootnoteReference"/>
          <w:rFonts w:ascii="Times New Roman" w:hAnsi="Times New Roman" w:cs="Times New Roman"/>
        </w:rPr>
        <w:footnoteReference w:id="5"/>
      </w:r>
      <w:r w:rsidRPr="006D2720">
        <w:rPr>
          <w:rFonts w:ascii="Times New Roman" w:hAnsi="Times New Roman" w:cs="Times New Roman"/>
        </w:rPr>
        <w:t xml:space="preserve"> and individual autonomy</w:t>
      </w:r>
      <w:r w:rsidRPr="006D2720">
        <w:rPr>
          <w:rStyle w:val="FootnoteReference"/>
          <w:rFonts w:ascii="Times New Roman" w:hAnsi="Times New Roman" w:cs="Times New Roman"/>
        </w:rPr>
        <w:footnoteReference w:id="6"/>
      </w:r>
      <w:r w:rsidR="00E41693" w:rsidRPr="006D2720">
        <w:rPr>
          <w:rFonts w:ascii="Times New Roman" w:hAnsi="Times New Roman" w:cs="Times New Roman"/>
        </w:rPr>
        <w:t>—</w:t>
      </w:r>
      <w:r w:rsidRPr="006D2720">
        <w:rPr>
          <w:rFonts w:ascii="Times New Roman" w:hAnsi="Times New Roman" w:cs="Times New Roman"/>
        </w:rPr>
        <w:t>the ability to control and choose how information about yourself is provided to others may be a precondition for individual liberty.</w:t>
      </w:r>
      <w:r w:rsidRPr="006D2720">
        <w:rPr>
          <w:rStyle w:val="FootnoteReference"/>
          <w:rFonts w:ascii="Times New Roman" w:hAnsi="Times New Roman" w:cs="Times New Roman"/>
        </w:rPr>
        <w:footnoteReference w:id="7"/>
      </w:r>
      <w:r w:rsidRPr="006D2720">
        <w:rPr>
          <w:rFonts w:ascii="Times New Roman" w:hAnsi="Times New Roman" w:cs="Times New Roman"/>
        </w:rPr>
        <w:t xml:space="preserve"> </w:t>
      </w:r>
    </w:p>
    <w:p w14:paraId="55318B86" w14:textId="77777777" w:rsidR="004F63C0" w:rsidRPr="006D2720" w:rsidRDefault="004F63C0" w:rsidP="004F63C0">
      <w:pPr>
        <w:pStyle w:val="Dotpointlist"/>
        <w:rPr>
          <w:rFonts w:ascii="Times New Roman" w:hAnsi="Times New Roman" w:cs="Times New Roman"/>
        </w:rPr>
      </w:pPr>
      <w:r w:rsidRPr="006D2720">
        <w:rPr>
          <w:rFonts w:ascii="Times New Roman" w:hAnsi="Times New Roman" w:cs="Times New Roman"/>
        </w:rPr>
        <w:t>Psychological well-being and security, fostering intimacy, and promoting intellectual development.</w:t>
      </w:r>
      <w:bookmarkStart w:id="26" w:name="_Ref91831673"/>
      <w:r w:rsidRPr="006D2720">
        <w:rPr>
          <w:rStyle w:val="FootnoteReference"/>
          <w:rFonts w:ascii="Times New Roman" w:hAnsi="Times New Roman" w:cs="Times New Roman"/>
        </w:rPr>
        <w:footnoteReference w:id="8"/>
      </w:r>
      <w:bookmarkEnd w:id="26"/>
    </w:p>
    <w:p w14:paraId="14F90ED9" w14:textId="7E4AE36F" w:rsidR="004F63C0" w:rsidRPr="006D2720" w:rsidRDefault="004F63C0" w:rsidP="00CA1A69">
      <w:pPr>
        <w:pStyle w:val="Dotpointlist"/>
        <w:rPr>
          <w:rFonts w:ascii="Times New Roman" w:hAnsi="Times New Roman" w:cs="Times New Roman"/>
        </w:rPr>
      </w:pPr>
      <w:r w:rsidRPr="006D2720">
        <w:rPr>
          <w:rFonts w:ascii="Times New Roman" w:hAnsi="Times New Roman" w:cs="Times New Roman"/>
        </w:rPr>
        <w:t>Social benefits</w:t>
      </w:r>
      <w:r w:rsidR="00E41693" w:rsidRPr="006D2720">
        <w:rPr>
          <w:rFonts w:ascii="Times New Roman" w:hAnsi="Times New Roman" w:cs="Times New Roman"/>
        </w:rPr>
        <w:t>—</w:t>
      </w:r>
      <w:r w:rsidRPr="006D2720">
        <w:rPr>
          <w:rFonts w:ascii="Times New Roman" w:hAnsi="Times New Roman" w:cs="Times New Roman"/>
        </w:rPr>
        <w:t>enabling social interaction, encouraging participation in democratic processes, encouraging cultural and critical innovation, and assisting cohesion in pluralistic communities.</w:t>
      </w:r>
      <w:r w:rsidRPr="006D2720">
        <w:rPr>
          <w:rStyle w:val="FootnoteReference"/>
          <w:rFonts w:ascii="Times New Roman" w:hAnsi="Times New Roman" w:cs="Times New Roman"/>
        </w:rPr>
        <w:footnoteReference w:id="9"/>
      </w:r>
    </w:p>
    <w:p w14:paraId="7669EABF" w14:textId="4D0CB179" w:rsidR="0064050C" w:rsidRPr="006D2720" w:rsidRDefault="000554C6" w:rsidP="0066337D">
      <w:pPr>
        <w:pStyle w:val="Heading3"/>
        <w:rPr>
          <w:rFonts w:ascii="Times New Roman" w:hAnsi="Times New Roman" w:cs="Times New Roman"/>
        </w:rPr>
      </w:pPr>
      <w:r w:rsidRPr="006D2720">
        <w:rPr>
          <w:rFonts w:ascii="Times New Roman" w:hAnsi="Times New Roman" w:cs="Times New Roman"/>
        </w:rPr>
        <w:t>The</w:t>
      </w:r>
      <w:r w:rsidR="008823DA" w:rsidRPr="006D2720">
        <w:rPr>
          <w:rFonts w:ascii="Times New Roman" w:hAnsi="Times New Roman" w:cs="Times New Roman"/>
        </w:rPr>
        <w:t xml:space="preserve"> </w:t>
      </w:r>
      <w:r w:rsidR="008823DA" w:rsidRPr="006D2720">
        <w:rPr>
          <w:rFonts w:ascii="Times New Roman" w:hAnsi="Times New Roman" w:cs="Times New Roman"/>
          <w:i/>
          <w:iCs/>
        </w:rPr>
        <w:t>International Covenant on Civil and Political Rights</w:t>
      </w:r>
      <w:bookmarkStart w:id="27" w:name="_Ref91831162"/>
      <w:r w:rsidR="009D1519" w:rsidRPr="006D2720">
        <w:rPr>
          <w:rStyle w:val="FootnoteReference"/>
          <w:rFonts w:ascii="Times New Roman" w:hAnsi="Times New Roman" w:cs="Times New Roman"/>
        </w:rPr>
        <w:footnoteReference w:id="10"/>
      </w:r>
      <w:bookmarkEnd w:id="27"/>
      <w:r w:rsidRPr="006D2720">
        <w:rPr>
          <w:rFonts w:ascii="Times New Roman" w:hAnsi="Times New Roman" w:cs="Times New Roman"/>
        </w:rPr>
        <w:t xml:space="preserve"> </w:t>
      </w:r>
      <w:r w:rsidR="003A770D" w:rsidRPr="006D2720">
        <w:rPr>
          <w:rFonts w:ascii="Times New Roman" w:hAnsi="Times New Roman" w:cs="Times New Roman"/>
        </w:rPr>
        <w:t xml:space="preserve">(‘ICCPR’) </w:t>
      </w:r>
      <w:r w:rsidR="009D1519" w:rsidRPr="006D2720">
        <w:rPr>
          <w:rFonts w:ascii="Times New Roman" w:hAnsi="Times New Roman" w:cs="Times New Roman"/>
        </w:rPr>
        <w:t xml:space="preserve">provides for a right </w:t>
      </w:r>
      <w:r w:rsidR="000449F3" w:rsidRPr="006D2720">
        <w:rPr>
          <w:rFonts w:ascii="Times New Roman" w:hAnsi="Times New Roman" w:cs="Times New Roman"/>
        </w:rPr>
        <w:t>to</w:t>
      </w:r>
      <w:r w:rsidR="00DF3AAD" w:rsidRPr="006D2720">
        <w:rPr>
          <w:rFonts w:ascii="Times New Roman" w:hAnsi="Times New Roman" w:cs="Times New Roman"/>
        </w:rPr>
        <w:t xml:space="preserve"> </w:t>
      </w:r>
      <w:r w:rsidR="00E675AB" w:rsidRPr="006D2720">
        <w:rPr>
          <w:rFonts w:ascii="Times New Roman" w:hAnsi="Times New Roman" w:cs="Times New Roman"/>
        </w:rPr>
        <w:t>privacy</w:t>
      </w:r>
      <w:r w:rsidR="008823DA" w:rsidRPr="006D2720">
        <w:rPr>
          <w:rFonts w:ascii="Times New Roman" w:hAnsi="Times New Roman" w:cs="Times New Roman"/>
        </w:rPr>
        <w:t xml:space="preserve">. </w:t>
      </w:r>
      <w:r w:rsidR="003A770D" w:rsidRPr="006D2720">
        <w:rPr>
          <w:rFonts w:ascii="Times New Roman" w:hAnsi="Times New Roman" w:cs="Times New Roman"/>
        </w:rPr>
        <w:t>Australia has signed and ratified the ICCPR, w</w:t>
      </w:r>
      <w:r w:rsidR="005A0CCD" w:rsidRPr="006D2720">
        <w:rPr>
          <w:rFonts w:ascii="Times New Roman" w:hAnsi="Times New Roman" w:cs="Times New Roman"/>
        </w:rPr>
        <w:t>h</w:t>
      </w:r>
      <w:r w:rsidR="003A770D" w:rsidRPr="006D2720">
        <w:rPr>
          <w:rFonts w:ascii="Times New Roman" w:hAnsi="Times New Roman" w:cs="Times New Roman"/>
        </w:rPr>
        <w:t>ich means that it has consented to be bound to it</w:t>
      </w:r>
      <w:r w:rsidR="000E58B3" w:rsidRPr="006D2720">
        <w:rPr>
          <w:rFonts w:ascii="Times New Roman" w:hAnsi="Times New Roman" w:cs="Times New Roman"/>
        </w:rPr>
        <w:t>; however, in order for a right under international law to be</w:t>
      </w:r>
      <w:r w:rsidR="003A770D" w:rsidRPr="006D2720">
        <w:rPr>
          <w:rFonts w:ascii="Times New Roman" w:hAnsi="Times New Roman" w:cs="Times New Roman"/>
        </w:rPr>
        <w:t xml:space="preserve"> </w:t>
      </w:r>
      <w:r w:rsidR="005A0CCD" w:rsidRPr="006D2720">
        <w:rPr>
          <w:rFonts w:ascii="Times New Roman" w:hAnsi="Times New Roman" w:cs="Times New Roman"/>
        </w:rPr>
        <w:t>enforceable</w:t>
      </w:r>
      <w:r w:rsidR="003A770D" w:rsidRPr="006D2720">
        <w:rPr>
          <w:rFonts w:ascii="Times New Roman" w:hAnsi="Times New Roman" w:cs="Times New Roman"/>
        </w:rPr>
        <w:t xml:space="preserve"> </w:t>
      </w:r>
      <w:r w:rsidR="000E58B3" w:rsidRPr="006D2720">
        <w:rPr>
          <w:rFonts w:ascii="Times New Roman" w:hAnsi="Times New Roman" w:cs="Times New Roman"/>
        </w:rPr>
        <w:t>domestically it must be introduced under</w:t>
      </w:r>
      <w:r w:rsidR="003A770D" w:rsidRPr="006D2720">
        <w:rPr>
          <w:rFonts w:ascii="Times New Roman" w:hAnsi="Times New Roman" w:cs="Times New Roman"/>
        </w:rPr>
        <w:t xml:space="preserve"> Australian law</w:t>
      </w:r>
      <w:r w:rsidR="000E58B3" w:rsidRPr="006D2720">
        <w:rPr>
          <w:rFonts w:ascii="Times New Roman" w:hAnsi="Times New Roman" w:cs="Times New Roman"/>
        </w:rPr>
        <w:t xml:space="preserve"> (see </w:t>
      </w:r>
      <w:r w:rsidR="0047642D" w:rsidRPr="006D2720">
        <w:rPr>
          <w:rFonts w:ascii="Times New Roman" w:hAnsi="Times New Roman" w:cs="Times New Roman"/>
        </w:rPr>
        <w:t>[</w:t>
      </w:r>
      <w:hyperlink w:anchor="The Privacy Act 1988 (Cth) (‘Privacy Act’) is the main privacy legislation operating at the federal level in Australia. The  introduction of this Act   partially implemented Australia’s obligations under article 17 of the International Covenant on Civil a" w:history="1">
        <w:r w:rsidR="000E58B3" w:rsidRPr="006D2720">
          <w:rPr>
            <w:rStyle w:val="Hyperlink"/>
            <w:rFonts w:ascii="Times New Roman" w:hAnsi="Times New Roman" w:cs="Times New Roman"/>
          </w:rPr>
          <w:t>1.4.1</w:t>
        </w:r>
      </w:hyperlink>
      <w:r w:rsidR="0047642D" w:rsidRPr="006D2720">
        <w:rPr>
          <w:rFonts w:ascii="Times New Roman" w:hAnsi="Times New Roman" w:cs="Times New Roman"/>
        </w:rPr>
        <w:t>]</w:t>
      </w:r>
      <w:r w:rsidR="000E58B3" w:rsidRPr="006D2720">
        <w:rPr>
          <w:rFonts w:ascii="Times New Roman" w:hAnsi="Times New Roman" w:cs="Times New Roman"/>
        </w:rPr>
        <w:t xml:space="preserve"> below).</w:t>
      </w:r>
      <w:r w:rsidR="003A770D" w:rsidRPr="006D2720">
        <w:rPr>
          <w:rFonts w:ascii="Times New Roman" w:hAnsi="Times New Roman" w:cs="Times New Roman"/>
        </w:rPr>
        <w:t xml:space="preserve"> </w:t>
      </w:r>
      <w:r w:rsidR="005D7D9B" w:rsidRPr="006D2720">
        <w:rPr>
          <w:rFonts w:ascii="Times New Roman" w:hAnsi="Times New Roman" w:cs="Times New Roman"/>
        </w:rPr>
        <w:t>Article 17 prohibits governments from interfering with a person’s privacy and obliges governments to take positive steps to protect against interference by others.</w:t>
      </w:r>
      <w:bookmarkStart w:id="28" w:name="_Ref91831171"/>
      <w:r w:rsidR="005D7D9B" w:rsidRPr="006D2720">
        <w:rPr>
          <w:rStyle w:val="FootnoteReference"/>
          <w:rFonts w:ascii="Times New Roman" w:hAnsi="Times New Roman" w:cs="Times New Roman"/>
        </w:rPr>
        <w:footnoteReference w:id="11"/>
      </w:r>
      <w:bookmarkEnd w:id="28"/>
      <w:r w:rsidR="005D7D9B" w:rsidRPr="006D2720">
        <w:rPr>
          <w:rFonts w:ascii="Times New Roman" w:hAnsi="Times New Roman" w:cs="Times New Roman"/>
        </w:rPr>
        <w:t xml:space="preserve"> It</w:t>
      </w:r>
      <w:r w:rsidR="0064050C" w:rsidRPr="006D2720">
        <w:rPr>
          <w:rFonts w:ascii="Times New Roman" w:hAnsi="Times New Roman" w:cs="Times New Roman"/>
        </w:rPr>
        <w:t xml:space="preserve"> </w:t>
      </w:r>
      <w:r w:rsidR="009D1519" w:rsidRPr="006D2720">
        <w:rPr>
          <w:rFonts w:ascii="Times New Roman" w:hAnsi="Times New Roman" w:cs="Times New Roman"/>
        </w:rPr>
        <w:t>states</w:t>
      </w:r>
      <w:r w:rsidR="0064050C" w:rsidRPr="006D2720">
        <w:rPr>
          <w:rFonts w:ascii="Times New Roman" w:hAnsi="Times New Roman" w:cs="Times New Roman"/>
        </w:rPr>
        <w:t>:</w:t>
      </w:r>
    </w:p>
    <w:p w14:paraId="653D4CD4" w14:textId="5A7FA43E" w:rsidR="0064050C" w:rsidRPr="006D2720" w:rsidRDefault="0064050C" w:rsidP="0066337D">
      <w:pPr>
        <w:pStyle w:val="Blockquote"/>
        <w:rPr>
          <w:rFonts w:ascii="Times New Roman" w:hAnsi="Times New Roman" w:cs="Times New Roman"/>
        </w:rPr>
      </w:pPr>
      <w:r w:rsidRPr="006D2720">
        <w:rPr>
          <w:rFonts w:ascii="Times New Roman" w:hAnsi="Times New Roman" w:cs="Times New Roman"/>
        </w:rPr>
        <w:t xml:space="preserve">1. No one shall be subjected to arbitrary or unlawful interference with </w:t>
      </w:r>
      <w:r w:rsidR="003476DE" w:rsidRPr="006D2720">
        <w:rPr>
          <w:rFonts w:ascii="Times New Roman" w:hAnsi="Times New Roman" w:cs="Times New Roman"/>
        </w:rPr>
        <w:t xml:space="preserve">[their] </w:t>
      </w:r>
      <w:r w:rsidRPr="006D2720">
        <w:rPr>
          <w:rFonts w:ascii="Times New Roman" w:hAnsi="Times New Roman" w:cs="Times New Roman"/>
        </w:rPr>
        <w:t xml:space="preserve">privacy, family, home or correspondence, nor to unlawful attacks on </w:t>
      </w:r>
      <w:r w:rsidR="003476DE" w:rsidRPr="006D2720">
        <w:rPr>
          <w:rFonts w:ascii="Times New Roman" w:hAnsi="Times New Roman" w:cs="Times New Roman"/>
        </w:rPr>
        <w:t xml:space="preserve">[their] </w:t>
      </w:r>
      <w:r w:rsidRPr="006D2720">
        <w:rPr>
          <w:rFonts w:ascii="Times New Roman" w:hAnsi="Times New Roman" w:cs="Times New Roman"/>
        </w:rPr>
        <w:t>honour and reputation.</w:t>
      </w:r>
    </w:p>
    <w:p w14:paraId="0833436F" w14:textId="6492A93E" w:rsidR="0064050C" w:rsidRPr="006D2720" w:rsidRDefault="0064050C" w:rsidP="0066337D">
      <w:pPr>
        <w:pStyle w:val="Blockquote"/>
        <w:rPr>
          <w:rFonts w:ascii="Times New Roman" w:hAnsi="Times New Roman" w:cs="Times New Roman"/>
        </w:rPr>
      </w:pPr>
      <w:r w:rsidRPr="006D2720">
        <w:rPr>
          <w:rFonts w:ascii="Times New Roman" w:hAnsi="Times New Roman" w:cs="Times New Roman"/>
        </w:rPr>
        <w:t>2. Everyone has the right to the protection of the law against such interference or attacks.</w:t>
      </w:r>
      <w:r w:rsidRPr="006D2720">
        <w:rPr>
          <w:rStyle w:val="FootnoteReference"/>
          <w:rFonts w:ascii="Times New Roman" w:hAnsi="Times New Roman" w:cs="Times New Roman"/>
        </w:rPr>
        <w:footnoteReference w:id="12"/>
      </w:r>
    </w:p>
    <w:p w14:paraId="484835A8" w14:textId="69994D84" w:rsidR="0025088E" w:rsidRPr="006D2720" w:rsidRDefault="008C560A" w:rsidP="00CA1A69">
      <w:pPr>
        <w:pStyle w:val="Heading3"/>
        <w:rPr>
          <w:rFonts w:ascii="Times New Roman" w:hAnsi="Times New Roman" w:cs="Times New Roman"/>
        </w:rPr>
      </w:pPr>
      <w:r w:rsidRPr="006D2720">
        <w:rPr>
          <w:rFonts w:ascii="Times New Roman" w:hAnsi="Times New Roman" w:cs="Times New Roman"/>
        </w:rPr>
        <w:t>The</w:t>
      </w:r>
      <w:r w:rsidR="009C420F" w:rsidRPr="006D2720">
        <w:rPr>
          <w:rFonts w:ascii="Times New Roman" w:hAnsi="Times New Roman" w:cs="Times New Roman"/>
        </w:rPr>
        <w:t xml:space="preserve"> right </w:t>
      </w:r>
      <w:r w:rsidRPr="006D2720">
        <w:rPr>
          <w:rFonts w:ascii="Times New Roman" w:hAnsi="Times New Roman" w:cs="Times New Roman"/>
        </w:rPr>
        <w:t xml:space="preserve">in </w:t>
      </w:r>
      <w:r w:rsidR="00092C18" w:rsidRPr="006D2720">
        <w:rPr>
          <w:rFonts w:ascii="Times New Roman" w:hAnsi="Times New Roman" w:cs="Times New Roman"/>
        </w:rPr>
        <w:t>a</w:t>
      </w:r>
      <w:r w:rsidR="002603DE" w:rsidRPr="006D2720">
        <w:rPr>
          <w:rFonts w:ascii="Times New Roman" w:hAnsi="Times New Roman" w:cs="Times New Roman"/>
        </w:rPr>
        <w:t>rticle</w:t>
      </w:r>
      <w:r w:rsidRPr="006D2720">
        <w:rPr>
          <w:rFonts w:ascii="Times New Roman" w:hAnsi="Times New Roman" w:cs="Times New Roman"/>
        </w:rPr>
        <w:t xml:space="preserve"> 17 </w:t>
      </w:r>
      <w:r w:rsidR="007966D4" w:rsidRPr="006D2720">
        <w:rPr>
          <w:rFonts w:ascii="Times New Roman" w:hAnsi="Times New Roman" w:cs="Times New Roman"/>
        </w:rPr>
        <w:t xml:space="preserve">is not absolute and </w:t>
      </w:r>
      <w:r w:rsidR="009C420F" w:rsidRPr="006D2720">
        <w:rPr>
          <w:rFonts w:ascii="Times New Roman" w:hAnsi="Times New Roman" w:cs="Times New Roman"/>
        </w:rPr>
        <w:t>protects only against unlawful or arbitrary interference</w:t>
      </w:r>
      <w:r w:rsidR="002D46BA" w:rsidRPr="006D2720">
        <w:rPr>
          <w:rFonts w:ascii="Times New Roman" w:hAnsi="Times New Roman" w:cs="Times New Roman"/>
        </w:rPr>
        <w:t>—lawful and non-arbitrary interferences are permissible</w:t>
      </w:r>
      <w:r w:rsidR="009C420F" w:rsidRPr="006D2720">
        <w:rPr>
          <w:rFonts w:ascii="Times New Roman" w:hAnsi="Times New Roman" w:cs="Times New Roman"/>
        </w:rPr>
        <w:t xml:space="preserve">. </w:t>
      </w:r>
      <w:r w:rsidR="00A51E0D" w:rsidRPr="006D2720">
        <w:rPr>
          <w:rFonts w:ascii="Times New Roman" w:hAnsi="Times New Roman" w:cs="Times New Roman"/>
        </w:rPr>
        <w:t xml:space="preserve">For government interference with privacy to be lawful, it must generally be </w:t>
      </w:r>
      <w:r w:rsidR="007D6011" w:rsidRPr="006D2720">
        <w:rPr>
          <w:rFonts w:ascii="Times New Roman" w:hAnsi="Times New Roman" w:cs="Times New Roman"/>
        </w:rPr>
        <w:t xml:space="preserve">authorised </w:t>
      </w:r>
      <w:r w:rsidR="00A51E0D" w:rsidRPr="006D2720">
        <w:rPr>
          <w:rFonts w:ascii="Times New Roman" w:hAnsi="Times New Roman" w:cs="Times New Roman"/>
        </w:rPr>
        <w:t xml:space="preserve">by </w:t>
      </w:r>
      <w:r w:rsidR="001B73A4" w:rsidRPr="006D2720">
        <w:rPr>
          <w:rFonts w:ascii="Times New Roman" w:hAnsi="Times New Roman" w:cs="Times New Roman"/>
        </w:rPr>
        <w:t>legislation</w:t>
      </w:r>
      <w:r w:rsidR="00205BED" w:rsidRPr="006D2720">
        <w:rPr>
          <w:rFonts w:ascii="Times New Roman" w:hAnsi="Times New Roman" w:cs="Times New Roman"/>
        </w:rPr>
        <w:t>,</w:t>
      </w:r>
      <w:r w:rsidR="007D6011" w:rsidRPr="006D2720">
        <w:rPr>
          <w:rFonts w:ascii="Times New Roman" w:hAnsi="Times New Roman" w:cs="Times New Roman"/>
        </w:rPr>
        <w:t xml:space="preserve"> which details </w:t>
      </w:r>
      <w:r w:rsidR="001B73A4" w:rsidRPr="006D2720">
        <w:rPr>
          <w:rFonts w:ascii="Times New Roman" w:hAnsi="Times New Roman" w:cs="Times New Roman"/>
        </w:rPr>
        <w:t xml:space="preserve">the circumstances </w:t>
      </w:r>
      <w:r w:rsidR="00090945" w:rsidRPr="006D2720">
        <w:rPr>
          <w:rFonts w:ascii="Times New Roman" w:hAnsi="Times New Roman" w:cs="Times New Roman"/>
        </w:rPr>
        <w:t xml:space="preserve">when </w:t>
      </w:r>
      <w:r w:rsidR="00205BED" w:rsidRPr="006D2720">
        <w:rPr>
          <w:rFonts w:ascii="Times New Roman" w:hAnsi="Times New Roman" w:cs="Times New Roman"/>
        </w:rPr>
        <w:t xml:space="preserve">such </w:t>
      </w:r>
      <w:r w:rsidR="007D6011" w:rsidRPr="006D2720">
        <w:rPr>
          <w:rFonts w:ascii="Times New Roman" w:hAnsi="Times New Roman" w:cs="Times New Roman"/>
        </w:rPr>
        <w:t xml:space="preserve">government action </w:t>
      </w:r>
      <w:r w:rsidR="001B73A4" w:rsidRPr="006D2720">
        <w:rPr>
          <w:rFonts w:ascii="Times New Roman" w:hAnsi="Times New Roman" w:cs="Times New Roman"/>
        </w:rPr>
        <w:t xml:space="preserve">is permitted and </w:t>
      </w:r>
      <w:r w:rsidR="008A133E" w:rsidRPr="006D2720">
        <w:rPr>
          <w:rFonts w:ascii="Times New Roman" w:hAnsi="Times New Roman" w:cs="Times New Roman"/>
        </w:rPr>
        <w:t xml:space="preserve">facilitates </w:t>
      </w:r>
      <w:r w:rsidR="007D6011" w:rsidRPr="006D2720">
        <w:rPr>
          <w:rFonts w:ascii="Times New Roman" w:hAnsi="Times New Roman" w:cs="Times New Roman"/>
        </w:rPr>
        <w:t xml:space="preserve">some form of </w:t>
      </w:r>
      <w:r w:rsidR="001B73A4" w:rsidRPr="006D2720">
        <w:rPr>
          <w:rFonts w:ascii="Times New Roman" w:hAnsi="Times New Roman" w:cs="Times New Roman"/>
        </w:rPr>
        <w:t>review</w:t>
      </w:r>
      <w:r w:rsidR="007D6011" w:rsidRPr="006D2720">
        <w:rPr>
          <w:rFonts w:ascii="Times New Roman" w:hAnsi="Times New Roman" w:cs="Times New Roman"/>
        </w:rPr>
        <w:t xml:space="preserve"> or accountability</w:t>
      </w:r>
      <w:r w:rsidR="001B73A4" w:rsidRPr="006D2720">
        <w:rPr>
          <w:rFonts w:ascii="Times New Roman" w:hAnsi="Times New Roman" w:cs="Times New Roman"/>
        </w:rPr>
        <w:t>.</w:t>
      </w:r>
      <w:r w:rsidR="001B73A4" w:rsidRPr="006D2720">
        <w:rPr>
          <w:rStyle w:val="FootnoteReference"/>
          <w:rFonts w:ascii="Times New Roman" w:hAnsi="Times New Roman" w:cs="Times New Roman"/>
        </w:rPr>
        <w:footnoteReference w:id="13"/>
      </w:r>
      <w:r w:rsidR="001B73A4" w:rsidRPr="006D2720">
        <w:rPr>
          <w:rFonts w:ascii="Times New Roman" w:hAnsi="Times New Roman" w:cs="Times New Roman"/>
        </w:rPr>
        <w:t xml:space="preserve"> </w:t>
      </w:r>
      <w:r w:rsidR="002A1137" w:rsidRPr="006D2720">
        <w:rPr>
          <w:rFonts w:ascii="Times New Roman" w:hAnsi="Times New Roman" w:cs="Times New Roman"/>
        </w:rPr>
        <w:t>To be n</w:t>
      </w:r>
      <w:r w:rsidR="001B73A4" w:rsidRPr="006D2720">
        <w:rPr>
          <w:rFonts w:ascii="Times New Roman" w:hAnsi="Times New Roman" w:cs="Times New Roman"/>
        </w:rPr>
        <w:t>on-arbitrary</w:t>
      </w:r>
      <w:r w:rsidR="002A1137" w:rsidRPr="006D2720">
        <w:rPr>
          <w:rFonts w:ascii="Times New Roman" w:hAnsi="Times New Roman" w:cs="Times New Roman"/>
        </w:rPr>
        <w:t xml:space="preserve">, </w:t>
      </w:r>
      <w:r w:rsidR="00DC3D01" w:rsidRPr="006D2720">
        <w:rPr>
          <w:rFonts w:ascii="Times New Roman" w:hAnsi="Times New Roman" w:cs="Times New Roman"/>
        </w:rPr>
        <w:t>the</w:t>
      </w:r>
      <w:r w:rsidR="001B73A4" w:rsidRPr="006D2720">
        <w:rPr>
          <w:rFonts w:ascii="Times New Roman" w:hAnsi="Times New Roman" w:cs="Times New Roman"/>
        </w:rPr>
        <w:t xml:space="preserve"> interference </w:t>
      </w:r>
      <w:r w:rsidR="00045623" w:rsidRPr="006D2720">
        <w:rPr>
          <w:rFonts w:ascii="Times New Roman" w:hAnsi="Times New Roman" w:cs="Times New Roman"/>
        </w:rPr>
        <w:t xml:space="preserve">must </w:t>
      </w:r>
      <w:r w:rsidR="001B73A4" w:rsidRPr="006D2720">
        <w:rPr>
          <w:rFonts w:ascii="Times New Roman" w:hAnsi="Times New Roman" w:cs="Times New Roman"/>
        </w:rPr>
        <w:t>be reasonable in the circumstances</w:t>
      </w:r>
      <w:r w:rsidR="007D6011" w:rsidRPr="006D2720">
        <w:rPr>
          <w:rFonts w:ascii="Times New Roman" w:hAnsi="Times New Roman" w:cs="Times New Roman"/>
        </w:rPr>
        <w:t xml:space="preserve">. Reasonableness generally implies </w:t>
      </w:r>
      <w:r w:rsidR="00DA3E8E" w:rsidRPr="006D2720">
        <w:rPr>
          <w:rFonts w:ascii="Times New Roman" w:hAnsi="Times New Roman" w:cs="Times New Roman"/>
        </w:rPr>
        <w:t xml:space="preserve">a test of proportionality and necessity. The interference </w:t>
      </w:r>
      <w:r w:rsidR="001B73A4" w:rsidRPr="006D2720">
        <w:rPr>
          <w:rFonts w:ascii="Times New Roman" w:hAnsi="Times New Roman" w:cs="Times New Roman"/>
        </w:rPr>
        <w:t xml:space="preserve">must be proportional to the purpose </w:t>
      </w:r>
      <w:r w:rsidR="007C2CCA" w:rsidRPr="006D2720">
        <w:rPr>
          <w:rFonts w:ascii="Times New Roman" w:hAnsi="Times New Roman" w:cs="Times New Roman"/>
        </w:rPr>
        <w:t xml:space="preserve">of the </w:t>
      </w:r>
      <w:r w:rsidR="00ED1529" w:rsidRPr="006D2720">
        <w:rPr>
          <w:rFonts w:ascii="Times New Roman" w:hAnsi="Times New Roman" w:cs="Times New Roman"/>
        </w:rPr>
        <w:t xml:space="preserve">authorising </w:t>
      </w:r>
      <w:r w:rsidR="00C86414" w:rsidRPr="006D2720">
        <w:rPr>
          <w:rFonts w:ascii="Times New Roman" w:hAnsi="Times New Roman" w:cs="Times New Roman"/>
        </w:rPr>
        <w:t>provision</w:t>
      </w:r>
      <w:r w:rsidR="004824F9" w:rsidRPr="006D2720">
        <w:rPr>
          <w:rFonts w:ascii="Times New Roman" w:hAnsi="Times New Roman" w:cs="Times New Roman"/>
        </w:rPr>
        <w:t>,</w:t>
      </w:r>
      <w:r w:rsidR="00C86414" w:rsidRPr="006D2720">
        <w:rPr>
          <w:rFonts w:ascii="Times New Roman" w:hAnsi="Times New Roman" w:cs="Times New Roman"/>
        </w:rPr>
        <w:t xml:space="preserve"> and </w:t>
      </w:r>
      <w:r w:rsidR="008A329D" w:rsidRPr="006D2720">
        <w:rPr>
          <w:rFonts w:ascii="Times New Roman" w:hAnsi="Times New Roman" w:cs="Times New Roman"/>
        </w:rPr>
        <w:t xml:space="preserve">it </w:t>
      </w:r>
      <w:r w:rsidR="007C2CCA" w:rsidRPr="006D2720">
        <w:rPr>
          <w:rFonts w:ascii="Times New Roman" w:hAnsi="Times New Roman" w:cs="Times New Roman"/>
        </w:rPr>
        <w:t xml:space="preserve">must </w:t>
      </w:r>
      <w:r w:rsidR="00C86414" w:rsidRPr="006D2720">
        <w:rPr>
          <w:rFonts w:ascii="Times New Roman" w:hAnsi="Times New Roman" w:cs="Times New Roman"/>
        </w:rPr>
        <w:t>be necessary in the circumstances of any given case.</w:t>
      </w:r>
      <w:r w:rsidR="00C86414" w:rsidRPr="006D2720">
        <w:rPr>
          <w:rStyle w:val="FootnoteReference"/>
          <w:rFonts w:ascii="Times New Roman" w:hAnsi="Times New Roman" w:cs="Times New Roman"/>
        </w:rPr>
        <w:footnoteReference w:id="14"/>
      </w:r>
    </w:p>
    <w:p w14:paraId="02673EE1" w14:textId="280F0568" w:rsidR="00E15401" w:rsidRPr="006D2720" w:rsidRDefault="00E15401" w:rsidP="00E15401">
      <w:pPr>
        <w:pStyle w:val="Heading2"/>
        <w:rPr>
          <w:rFonts w:ascii="Times New Roman" w:hAnsi="Times New Roman" w:cs="Times New Roman"/>
        </w:rPr>
      </w:pPr>
      <w:bookmarkStart w:id="29" w:name="_Toc91536357"/>
      <w:bookmarkStart w:id="30" w:name="_Toc91536868"/>
      <w:bookmarkStart w:id="31" w:name="_Toc91685190"/>
      <w:bookmarkStart w:id="32" w:name="_Toc91691947"/>
      <w:bookmarkStart w:id="33" w:name="_Toc91769128"/>
      <w:bookmarkStart w:id="34" w:name="_Toc91770040"/>
      <w:bookmarkStart w:id="35" w:name="_Toc91829998"/>
      <w:bookmarkStart w:id="36" w:name="_Toc91536358"/>
      <w:bookmarkStart w:id="37" w:name="_Toc91536869"/>
      <w:bookmarkStart w:id="38" w:name="_Toc91685191"/>
      <w:bookmarkStart w:id="39" w:name="_Toc91691948"/>
      <w:bookmarkStart w:id="40" w:name="_Toc91769129"/>
      <w:bookmarkStart w:id="41" w:name="_Toc91770041"/>
      <w:bookmarkStart w:id="42" w:name="_Toc91829999"/>
      <w:bookmarkStart w:id="43" w:name="_Toc91536359"/>
      <w:bookmarkStart w:id="44" w:name="_Toc91536870"/>
      <w:bookmarkStart w:id="45" w:name="_Toc91685192"/>
      <w:bookmarkStart w:id="46" w:name="_Toc91691949"/>
      <w:bookmarkStart w:id="47" w:name="_Toc91769130"/>
      <w:bookmarkStart w:id="48" w:name="_Toc91770042"/>
      <w:bookmarkStart w:id="49" w:name="_Toc91830000"/>
      <w:bookmarkStart w:id="50" w:name="_Toc91536360"/>
      <w:bookmarkStart w:id="51" w:name="_Toc91536871"/>
      <w:bookmarkStart w:id="52" w:name="_Toc91685193"/>
      <w:bookmarkStart w:id="53" w:name="_Toc91691950"/>
      <w:bookmarkStart w:id="54" w:name="_Toc91769131"/>
      <w:bookmarkStart w:id="55" w:name="_Toc91770043"/>
      <w:bookmarkStart w:id="56" w:name="_Toc91830001"/>
      <w:bookmarkStart w:id="57" w:name="_Toc91536361"/>
      <w:bookmarkStart w:id="58" w:name="_Toc91536872"/>
      <w:bookmarkStart w:id="59" w:name="_Toc91685194"/>
      <w:bookmarkStart w:id="60" w:name="_Toc91691951"/>
      <w:bookmarkStart w:id="61" w:name="_Toc91769132"/>
      <w:bookmarkStart w:id="62" w:name="_Toc91770044"/>
      <w:bookmarkStart w:id="63" w:name="_Toc91830002"/>
      <w:bookmarkStart w:id="64" w:name="_Toc91536362"/>
      <w:bookmarkStart w:id="65" w:name="_Toc91536873"/>
      <w:bookmarkStart w:id="66" w:name="_Toc91685195"/>
      <w:bookmarkStart w:id="67" w:name="_Toc91691952"/>
      <w:bookmarkStart w:id="68" w:name="_Toc91769133"/>
      <w:bookmarkStart w:id="69" w:name="_Toc91770045"/>
      <w:bookmarkStart w:id="70" w:name="_Toc91830003"/>
      <w:bookmarkStart w:id="71" w:name="_Toc91831989"/>
      <w:bookmarkStart w:id="72" w:name="_Toc13054042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D2720">
        <w:rPr>
          <w:rFonts w:ascii="Times New Roman" w:hAnsi="Times New Roman" w:cs="Times New Roman"/>
        </w:rPr>
        <w:t xml:space="preserve">Privacy </w:t>
      </w:r>
      <w:r w:rsidR="000A3D1C" w:rsidRPr="006D2720">
        <w:rPr>
          <w:rFonts w:ascii="Times New Roman" w:hAnsi="Times New Roman" w:cs="Times New Roman"/>
        </w:rPr>
        <w:t>p</w:t>
      </w:r>
      <w:r w:rsidRPr="006D2720">
        <w:rPr>
          <w:rFonts w:ascii="Times New Roman" w:hAnsi="Times New Roman" w:cs="Times New Roman"/>
        </w:rPr>
        <w:t>rotection in Tasmania</w:t>
      </w:r>
      <w:bookmarkEnd w:id="71"/>
      <w:bookmarkEnd w:id="72"/>
    </w:p>
    <w:p w14:paraId="31F15443" w14:textId="393FAEF3" w:rsidR="007A70C2" w:rsidRPr="006D2720" w:rsidRDefault="00644491">
      <w:pPr>
        <w:pStyle w:val="Heading3"/>
        <w:rPr>
          <w:rFonts w:ascii="Times New Roman" w:hAnsi="Times New Roman" w:cs="Times New Roman"/>
        </w:rPr>
      </w:pPr>
      <w:r w:rsidRPr="006D2720">
        <w:rPr>
          <w:rFonts w:ascii="Times New Roman" w:hAnsi="Times New Roman" w:cs="Times New Roman"/>
        </w:rPr>
        <w:t>T</w:t>
      </w:r>
      <w:r w:rsidR="007A70C2" w:rsidRPr="006D2720">
        <w:rPr>
          <w:rFonts w:ascii="Times New Roman" w:hAnsi="Times New Roman" w:cs="Times New Roman"/>
        </w:rPr>
        <w:t>here is no comprehensive privacy legislation</w:t>
      </w:r>
      <w:r w:rsidRPr="006D2720">
        <w:rPr>
          <w:rFonts w:ascii="Times New Roman" w:hAnsi="Times New Roman" w:cs="Times New Roman"/>
        </w:rPr>
        <w:t xml:space="preserve"> in Tasmania</w:t>
      </w:r>
      <w:r w:rsidR="007A70C2" w:rsidRPr="006D2720">
        <w:rPr>
          <w:rFonts w:ascii="Times New Roman" w:hAnsi="Times New Roman" w:cs="Times New Roman"/>
        </w:rPr>
        <w:t>. Rather,</w:t>
      </w:r>
      <w:r w:rsidR="007D7378" w:rsidRPr="006D2720">
        <w:rPr>
          <w:rFonts w:ascii="Times New Roman" w:hAnsi="Times New Roman" w:cs="Times New Roman"/>
        </w:rPr>
        <w:t xml:space="preserve"> </w:t>
      </w:r>
      <w:r w:rsidR="007A70C2" w:rsidRPr="006D2720">
        <w:rPr>
          <w:rFonts w:ascii="Times New Roman" w:hAnsi="Times New Roman" w:cs="Times New Roman"/>
        </w:rPr>
        <w:t xml:space="preserve">different </w:t>
      </w:r>
      <w:r w:rsidR="007D7378" w:rsidRPr="006D2720">
        <w:rPr>
          <w:rFonts w:ascii="Times New Roman" w:hAnsi="Times New Roman" w:cs="Times New Roman"/>
        </w:rPr>
        <w:t xml:space="preserve">(although sometimes overlapping) </w:t>
      </w:r>
      <w:r w:rsidR="00E41693" w:rsidRPr="006D2720">
        <w:rPr>
          <w:rFonts w:ascii="Times New Roman" w:hAnsi="Times New Roman" w:cs="Times New Roman"/>
        </w:rPr>
        <w:t xml:space="preserve">categories </w:t>
      </w:r>
      <w:r w:rsidR="007A70C2" w:rsidRPr="006D2720">
        <w:rPr>
          <w:rFonts w:ascii="Times New Roman" w:hAnsi="Times New Roman" w:cs="Times New Roman"/>
        </w:rPr>
        <w:t xml:space="preserve">of privacy are protected under </w:t>
      </w:r>
      <w:r w:rsidR="00E41693" w:rsidRPr="006D2720">
        <w:rPr>
          <w:rFonts w:ascii="Times New Roman" w:hAnsi="Times New Roman" w:cs="Times New Roman"/>
        </w:rPr>
        <w:t xml:space="preserve">various </w:t>
      </w:r>
      <w:r w:rsidR="007A70C2" w:rsidRPr="006D2720">
        <w:rPr>
          <w:rFonts w:ascii="Times New Roman" w:hAnsi="Times New Roman" w:cs="Times New Roman"/>
        </w:rPr>
        <w:t>laws</w:t>
      </w:r>
      <w:r w:rsidRPr="006D2720">
        <w:rPr>
          <w:rFonts w:ascii="Times New Roman" w:hAnsi="Times New Roman" w:cs="Times New Roman"/>
        </w:rPr>
        <w:t xml:space="preserve"> </w:t>
      </w:r>
      <w:r w:rsidR="00205BED" w:rsidRPr="006D2720">
        <w:rPr>
          <w:rFonts w:ascii="Times New Roman" w:hAnsi="Times New Roman" w:cs="Times New Roman"/>
        </w:rPr>
        <w:t xml:space="preserve">that </w:t>
      </w:r>
      <w:r w:rsidRPr="006D2720">
        <w:rPr>
          <w:rFonts w:ascii="Times New Roman" w:hAnsi="Times New Roman" w:cs="Times New Roman"/>
        </w:rPr>
        <w:t xml:space="preserve">apply in </w:t>
      </w:r>
      <w:r w:rsidR="00E41693" w:rsidRPr="006D2720">
        <w:rPr>
          <w:rFonts w:ascii="Times New Roman" w:hAnsi="Times New Roman" w:cs="Times New Roman"/>
        </w:rPr>
        <w:t xml:space="preserve">a range of </w:t>
      </w:r>
      <w:r w:rsidRPr="006D2720">
        <w:rPr>
          <w:rFonts w:ascii="Times New Roman" w:hAnsi="Times New Roman" w:cs="Times New Roman"/>
        </w:rPr>
        <w:t xml:space="preserve">contexts. </w:t>
      </w:r>
    </w:p>
    <w:p w14:paraId="424452D6" w14:textId="303E8849" w:rsidR="00A71941" w:rsidRPr="006D2720" w:rsidRDefault="00E15401" w:rsidP="00CA1A69">
      <w:pPr>
        <w:pStyle w:val="Heading3"/>
        <w:rPr>
          <w:rFonts w:ascii="Times New Roman" w:hAnsi="Times New Roman" w:cs="Times New Roman"/>
        </w:rPr>
      </w:pPr>
      <w:r w:rsidRPr="006D2720">
        <w:rPr>
          <w:rFonts w:ascii="Times New Roman" w:hAnsi="Times New Roman" w:cs="Times New Roman"/>
        </w:rPr>
        <w:t>Information privacy, at least as far as information held by Tasmanian government agencies, is primarily protected through the PIPA.</w:t>
      </w:r>
      <w:r w:rsidR="008B03B5" w:rsidRPr="006D2720">
        <w:rPr>
          <w:rFonts w:ascii="Times New Roman" w:hAnsi="Times New Roman" w:cs="Times New Roman"/>
        </w:rPr>
        <w:t xml:space="preserve"> </w:t>
      </w:r>
      <w:r w:rsidR="008A2661" w:rsidRPr="006D2720">
        <w:rPr>
          <w:rFonts w:ascii="Times New Roman" w:hAnsi="Times New Roman" w:cs="Times New Roman"/>
        </w:rPr>
        <w:t>Other laws</w:t>
      </w:r>
      <w:r w:rsidR="008B03B5" w:rsidRPr="006D2720">
        <w:rPr>
          <w:rFonts w:ascii="Times New Roman" w:hAnsi="Times New Roman" w:cs="Times New Roman"/>
        </w:rPr>
        <w:t xml:space="preserve"> </w:t>
      </w:r>
      <w:r w:rsidR="008A2661" w:rsidRPr="006D2720">
        <w:rPr>
          <w:rFonts w:ascii="Times New Roman" w:hAnsi="Times New Roman" w:cs="Times New Roman"/>
        </w:rPr>
        <w:t xml:space="preserve">also </w:t>
      </w:r>
      <w:r w:rsidR="008B03B5" w:rsidRPr="006D2720">
        <w:rPr>
          <w:rFonts w:ascii="Times New Roman" w:hAnsi="Times New Roman" w:cs="Times New Roman"/>
        </w:rPr>
        <w:t xml:space="preserve">impact </w:t>
      </w:r>
      <w:r w:rsidR="002C7B11" w:rsidRPr="006D2720">
        <w:rPr>
          <w:rFonts w:ascii="Times New Roman" w:hAnsi="Times New Roman" w:cs="Times New Roman"/>
        </w:rPr>
        <w:t>the</w:t>
      </w:r>
      <w:r w:rsidR="008B03B5" w:rsidRPr="006D2720">
        <w:rPr>
          <w:rFonts w:ascii="Times New Roman" w:hAnsi="Times New Roman" w:cs="Times New Roman"/>
        </w:rPr>
        <w:t xml:space="preserve"> government’s ability to access, use or disclose personal information. These may be general in scope, such as the </w:t>
      </w:r>
      <w:r w:rsidR="008B03B5" w:rsidRPr="006D2720">
        <w:rPr>
          <w:rFonts w:ascii="Times New Roman" w:hAnsi="Times New Roman" w:cs="Times New Roman"/>
          <w:i/>
          <w:iCs/>
        </w:rPr>
        <w:t>Right to Information Act 2009</w:t>
      </w:r>
      <w:r w:rsidR="008B03B5" w:rsidRPr="006D2720">
        <w:rPr>
          <w:rFonts w:ascii="Times New Roman" w:hAnsi="Times New Roman" w:cs="Times New Roman"/>
        </w:rPr>
        <w:t xml:space="preserve"> (Tas), or applicable only in specific contexts. </w:t>
      </w:r>
    </w:p>
    <w:p w14:paraId="4DE3F542" w14:textId="3B755F34" w:rsidR="00E15401" w:rsidRPr="006D2720" w:rsidRDefault="00316394" w:rsidP="0026007F">
      <w:pPr>
        <w:pStyle w:val="Heading3"/>
        <w:rPr>
          <w:rFonts w:ascii="Times New Roman" w:hAnsi="Times New Roman" w:cs="Times New Roman"/>
        </w:rPr>
      </w:pPr>
      <w:r w:rsidRPr="006D2720">
        <w:rPr>
          <w:rFonts w:ascii="Times New Roman" w:hAnsi="Times New Roman" w:cs="Times New Roman"/>
        </w:rPr>
        <w:t xml:space="preserve">Beyond government-held information, there are also information privacy rights relating to a </w:t>
      </w:r>
      <w:r w:rsidR="008A7CE3" w:rsidRPr="006D2720">
        <w:rPr>
          <w:rFonts w:ascii="Times New Roman" w:hAnsi="Times New Roman" w:cs="Times New Roman"/>
        </w:rPr>
        <w:t xml:space="preserve">person’s health information, </w:t>
      </w:r>
      <w:r w:rsidRPr="006D2720">
        <w:rPr>
          <w:rFonts w:ascii="Times New Roman" w:hAnsi="Times New Roman" w:cs="Times New Roman"/>
        </w:rPr>
        <w:t xml:space="preserve">as found in </w:t>
      </w:r>
      <w:r w:rsidR="008A7CE3" w:rsidRPr="006D2720">
        <w:rPr>
          <w:rFonts w:ascii="Times New Roman" w:hAnsi="Times New Roman" w:cs="Times New Roman"/>
        </w:rPr>
        <w:t>t</w:t>
      </w:r>
      <w:r w:rsidR="00E15401" w:rsidRPr="006D2720">
        <w:rPr>
          <w:rFonts w:ascii="Times New Roman" w:hAnsi="Times New Roman" w:cs="Times New Roman"/>
        </w:rPr>
        <w:t xml:space="preserve">he </w:t>
      </w:r>
      <w:r w:rsidR="00E15401" w:rsidRPr="006D2720">
        <w:rPr>
          <w:rFonts w:ascii="Times New Roman" w:hAnsi="Times New Roman" w:cs="Times New Roman"/>
          <w:i/>
        </w:rPr>
        <w:t xml:space="preserve">Health Complaints Act 1995 </w:t>
      </w:r>
      <w:r w:rsidR="00E15401" w:rsidRPr="006D2720">
        <w:rPr>
          <w:rFonts w:ascii="Times New Roman" w:hAnsi="Times New Roman" w:cs="Times New Roman"/>
          <w:iCs/>
        </w:rPr>
        <w:t>(Tas)</w:t>
      </w:r>
      <w:r w:rsidR="00E15401" w:rsidRPr="006D2720">
        <w:rPr>
          <w:rFonts w:ascii="Times New Roman" w:hAnsi="Times New Roman" w:cs="Times New Roman"/>
          <w:i/>
        </w:rPr>
        <w:t xml:space="preserve"> </w:t>
      </w:r>
      <w:r w:rsidR="00E15401" w:rsidRPr="006D2720">
        <w:rPr>
          <w:rFonts w:ascii="Times New Roman" w:hAnsi="Times New Roman" w:cs="Times New Roman"/>
          <w:iCs/>
        </w:rPr>
        <w:t>and t</w:t>
      </w:r>
      <w:r w:rsidR="00E15401" w:rsidRPr="006D2720">
        <w:rPr>
          <w:rFonts w:ascii="Times New Roman" w:hAnsi="Times New Roman" w:cs="Times New Roman"/>
        </w:rPr>
        <w:t xml:space="preserve">he subsequently developed </w:t>
      </w:r>
      <w:r w:rsidR="0026007F" w:rsidRPr="006D2720">
        <w:rPr>
          <w:rFonts w:ascii="Times New Roman" w:hAnsi="Times New Roman" w:cs="Times New Roman"/>
          <w:i/>
          <w:iCs/>
        </w:rPr>
        <w:t xml:space="preserve">Tasmanian </w:t>
      </w:r>
      <w:r w:rsidR="00E15401" w:rsidRPr="006D2720">
        <w:rPr>
          <w:rFonts w:ascii="Times New Roman" w:hAnsi="Times New Roman" w:cs="Times New Roman"/>
          <w:i/>
        </w:rPr>
        <w:t>Charter of Health Rights and Responsibilities</w:t>
      </w:r>
      <w:r w:rsidR="00E15401" w:rsidRPr="006D2720">
        <w:rPr>
          <w:rFonts w:ascii="Times New Roman" w:hAnsi="Times New Roman" w:cs="Times New Roman"/>
        </w:rPr>
        <w:t xml:space="preserve">. </w:t>
      </w:r>
      <w:r w:rsidR="001A2099" w:rsidRPr="006D2720">
        <w:rPr>
          <w:rFonts w:ascii="Times New Roman" w:hAnsi="Times New Roman" w:cs="Times New Roman"/>
        </w:rPr>
        <w:t>The</w:t>
      </w:r>
      <w:r w:rsidR="003476DE" w:rsidRPr="006D2720">
        <w:rPr>
          <w:rFonts w:ascii="Times New Roman" w:hAnsi="Times New Roman" w:cs="Times New Roman"/>
        </w:rPr>
        <w:t xml:space="preserve"> </w:t>
      </w:r>
      <w:r w:rsidR="00660662" w:rsidRPr="006D2720">
        <w:rPr>
          <w:rFonts w:ascii="Times New Roman" w:hAnsi="Times New Roman" w:cs="Times New Roman"/>
        </w:rPr>
        <w:t>A</w:t>
      </w:r>
      <w:r w:rsidR="003476DE" w:rsidRPr="006D2720">
        <w:rPr>
          <w:rFonts w:ascii="Times New Roman" w:hAnsi="Times New Roman" w:cs="Times New Roman"/>
        </w:rPr>
        <w:t xml:space="preserve">ct and the </w:t>
      </w:r>
      <w:r w:rsidR="00660662" w:rsidRPr="006D2720">
        <w:rPr>
          <w:rFonts w:ascii="Times New Roman" w:hAnsi="Times New Roman" w:cs="Times New Roman"/>
        </w:rPr>
        <w:t>C</w:t>
      </w:r>
      <w:r w:rsidR="003476DE" w:rsidRPr="006D2720">
        <w:rPr>
          <w:rFonts w:ascii="Times New Roman" w:hAnsi="Times New Roman" w:cs="Times New Roman"/>
        </w:rPr>
        <w:t>harter</w:t>
      </w:r>
      <w:r w:rsidR="001A2099" w:rsidRPr="006D2720">
        <w:rPr>
          <w:rFonts w:ascii="Times New Roman" w:hAnsi="Times New Roman" w:cs="Times New Roman"/>
        </w:rPr>
        <w:t xml:space="preserve"> </w:t>
      </w:r>
      <w:r w:rsidR="003476DE" w:rsidRPr="006D2720">
        <w:rPr>
          <w:rFonts w:ascii="Times New Roman" w:hAnsi="Times New Roman" w:cs="Times New Roman"/>
        </w:rPr>
        <w:t xml:space="preserve">relate to consumers of health services, and </w:t>
      </w:r>
      <w:r w:rsidR="001A2099" w:rsidRPr="006D2720">
        <w:rPr>
          <w:rFonts w:ascii="Times New Roman" w:hAnsi="Times New Roman" w:cs="Times New Roman"/>
        </w:rPr>
        <w:t xml:space="preserve">apply to </w:t>
      </w:r>
      <w:r w:rsidR="00A22F95" w:rsidRPr="006D2720">
        <w:rPr>
          <w:rFonts w:ascii="Times New Roman" w:hAnsi="Times New Roman" w:cs="Times New Roman"/>
        </w:rPr>
        <w:t xml:space="preserve">both </w:t>
      </w:r>
      <w:r w:rsidR="001A2099" w:rsidRPr="006D2720">
        <w:rPr>
          <w:rFonts w:ascii="Times New Roman" w:hAnsi="Times New Roman" w:cs="Times New Roman"/>
        </w:rPr>
        <w:t xml:space="preserve">public and private </w:t>
      </w:r>
      <w:r w:rsidR="00D34449" w:rsidRPr="006D2720">
        <w:rPr>
          <w:rFonts w:ascii="Times New Roman" w:hAnsi="Times New Roman" w:cs="Times New Roman"/>
        </w:rPr>
        <w:t>health service providers</w:t>
      </w:r>
      <w:r w:rsidR="001A2099" w:rsidRPr="006D2720">
        <w:rPr>
          <w:rFonts w:ascii="Times New Roman" w:hAnsi="Times New Roman" w:cs="Times New Roman"/>
        </w:rPr>
        <w:t>.</w:t>
      </w:r>
    </w:p>
    <w:p w14:paraId="04B6A779" w14:textId="7B77EA19" w:rsidR="001266A2" w:rsidRPr="006D2720" w:rsidRDefault="00106C99" w:rsidP="0066337D">
      <w:pPr>
        <w:pStyle w:val="Heading3"/>
        <w:rPr>
          <w:rFonts w:ascii="Times New Roman" w:hAnsi="Times New Roman" w:cs="Times New Roman"/>
        </w:rPr>
      </w:pPr>
      <w:r w:rsidRPr="006D2720">
        <w:rPr>
          <w:rFonts w:ascii="Times New Roman" w:hAnsi="Times New Roman" w:cs="Times New Roman"/>
        </w:rPr>
        <w:t>B</w:t>
      </w:r>
      <w:r w:rsidR="00E15401" w:rsidRPr="006D2720">
        <w:rPr>
          <w:rFonts w:ascii="Times New Roman" w:hAnsi="Times New Roman" w:cs="Times New Roman"/>
        </w:rPr>
        <w:t xml:space="preserve">odily and territorial privacy, </w:t>
      </w:r>
      <w:r w:rsidR="00B271EF" w:rsidRPr="006D2720">
        <w:rPr>
          <w:rFonts w:ascii="Times New Roman" w:hAnsi="Times New Roman" w:cs="Times New Roman"/>
        </w:rPr>
        <w:t>otherwise known as</w:t>
      </w:r>
      <w:r w:rsidR="00E15401" w:rsidRPr="006D2720">
        <w:rPr>
          <w:rFonts w:ascii="Times New Roman" w:hAnsi="Times New Roman" w:cs="Times New Roman"/>
        </w:rPr>
        <w:t xml:space="preserve"> </w:t>
      </w:r>
      <w:r w:rsidR="00B271EF" w:rsidRPr="006D2720">
        <w:rPr>
          <w:rFonts w:ascii="Times New Roman" w:hAnsi="Times New Roman" w:cs="Times New Roman"/>
        </w:rPr>
        <w:t>rights to seclusion</w:t>
      </w:r>
      <w:r w:rsidR="00E15401" w:rsidRPr="006D2720">
        <w:rPr>
          <w:rFonts w:ascii="Times New Roman" w:hAnsi="Times New Roman" w:cs="Times New Roman"/>
        </w:rPr>
        <w:t xml:space="preserve">, are protected through </w:t>
      </w:r>
      <w:r w:rsidR="006A6AAB" w:rsidRPr="006D2720">
        <w:rPr>
          <w:rFonts w:ascii="Times New Roman" w:hAnsi="Times New Roman" w:cs="Times New Roman"/>
        </w:rPr>
        <w:t>various</w:t>
      </w:r>
      <w:r w:rsidR="0042502B" w:rsidRPr="006D2720">
        <w:rPr>
          <w:rFonts w:ascii="Times New Roman" w:hAnsi="Times New Roman" w:cs="Times New Roman"/>
        </w:rPr>
        <w:t xml:space="preserve"> </w:t>
      </w:r>
      <w:r w:rsidR="004C7BB6" w:rsidRPr="006D2720">
        <w:rPr>
          <w:rFonts w:ascii="Times New Roman" w:hAnsi="Times New Roman" w:cs="Times New Roman"/>
        </w:rPr>
        <w:t>sources of law</w:t>
      </w:r>
      <w:r w:rsidR="0042502B" w:rsidRPr="006D2720">
        <w:rPr>
          <w:rFonts w:ascii="Times New Roman" w:hAnsi="Times New Roman" w:cs="Times New Roman"/>
        </w:rPr>
        <w:t xml:space="preserve">. </w:t>
      </w:r>
      <w:r w:rsidR="00602499" w:rsidRPr="006D2720">
        <w:rPr>
          <w:rFonts w:ascii="Times New Roman" w:hAnsi="Times New Roman" w:cs="Times New Roman"/>
        </w:rPr>
        <w:t xml:space="preserve">These </w:t>
      </w:r>
      <w:r w:rsidR="00E41693" w:rsidRPr="006D2720">
        <w:rPr>
          <w:rFonts w:ascii="Times New Roman" w:hAnsi="Times New Roman" w:cs="Times New Roman"/>
        </w:rPr>
        <w:t>are</w:t>
      </w:r>
      <w:r w:rsidR="00E15401" w:rsidRPr="006D2720">
        <w:rPr>
          <w:rFonts w:ascii="Times New Roman" w:hAnsi="Times New Roman" w:cs="Times New Roman"/>
        </w:rPr>
        <w:t xml:space="preserve"> considered</w:t>
      </w:r>
      <w:r w:rsidR="001B7562" w:rsidRPr="006D2720">
        <w:rPr>
          <w:rFonts w:ascii="Times New Roman" w:hAnsi="Times New Roman" w:cs="Times New Roman"/>
        </w:rPr>
        <w:t xml:space="preserve"> in detail</w:t>
      </w:r>
      <w:r w:rsidR="00E15401" w:rsidRPr="006D2720">
        <w:rPr>
          <w:rFonts w:ascii="Times New Roman" w:hAnsi="Times New Roman" w:cs="Times New Roman"/>
        </w:rPr>
        <w:t xml:space="preserve"> in</w:t>
      </w:r>
      <w:r w:rsidR="00423BBD" w:rsidRPr="006D2720">
        <w:rPr>
          <w:rFonts w:ascii="Times New Roman" w:hAnsi="Times New Roman" w:cs="Times New Roman"/>
        </w:rPr>
        <w:t xml:space="preserve"> </w:t>
      </w:r>
      <w:hyperlink w:anchor="_Other_protections_of" w:history="1">
        <w:r w:rsidR="00423BBD" w:rsidRPr="006D2720">
          <w:rPr>
            <w:rStyle w:val="Hyperlink"/>
            <w:rFonts w:ascii="Times New Roman" w:hAnsi="Times New Roman" w:cs="Times New Roman"/>
          </w:rPr>
          <w:t>Part 4</w:t>
        </w:r>
      </w:hyperlink>
      <w:r w:rsidR="0042502B" w:rsidRPr="006D2720">
        <w:rPr>
          <w:rFonts w:ascii="Times New Roman" w:hAnsi="Times New Roman" w:cs="Times New Roman"/>
        </w:rPr>
        <w:t xml:space="preserve">, </w:t>
      </w:r>
      <w:r w:rsidR="003776CA" w:rsidRPr="006D2720">
        <w:rPr>
          <w:rFonts w:ascii="Times New Roman" w:hAnsi="Times New Roman" w:cs="Times New Roman"/>
        </w:rPr>
        <w:t xml:space="preserve">and </w:t>
      </w:r>
      <w:r w:rsidR="00E15401" w:rsidRPr="006D2720">
        <w:rPr>
          <w:rFonts w:ascii="Times New Roman" w:hAnsi="Times New Roman" w:cs="Times New Roman"/>
        </w:rPr>
        <w:t>include</w:t>
      </w:r>
      <w:r w:rsidR="00066868" w:rsidRPr="006D2720">
        <w:rPr>
          <w:rFonts w:ascii="Times New Roman" w:hAnsi="Times New Roman" w:cs="Times New Roman"/>
        </w:rPr>
        <w:t>:</w:t>
      </w:r>
    </w:p>
    <w:p w14:paraId="7B1F70CF" w14:textId="484202FD" w:rsidR="00066868" w:rsidRPr="006D2720" w:rsidRDefault="001266A2">
      <w:pPr>
        <w:numPr>
          <w:ilvl w:val="0"/>
          <w:numId w:val="23"/>
        </w:numPr>
        <w:rPr>
          <w:rFonts w:ascii="Times New Roman" w:hAnsi="Times New Roman" w:cs="Times New Roman"/>
        </w:rPr>
      </w:pPr>
      <w:r w:rsidRPr="006D2720">
        <w:rPr>
          <w:rFonts w:ascii="Times New Roman" w:hAnsi="Times New Roman" w:cs="Times New Roman"/>
        </w:rPr>
        <w:t xml:space="preserve">The </w:t>
      </w:r>
      <w:r w:rsidR="00E15401" w:rsidRPr="006D2720">
        <w:rPr>
          <w:rFonts w:ascii="Times New Roman" w:hAnsi="Times New Roman" w:cs="Times New Roman"/>
          <w:i/>
        </w:rPr>
        <w:t>Listening Devices Act 1991</w:t>
      </w:r>
      <w:r w:rsidR="00E15401" w:rsidRPr="006D2720">
        <w:rPr>
          <w:rFonts w:ascii="Times New Roman" w:hAnsi="Times New Roman" w:cs="Times New Roman"/>
          <w:iCs/>
        </w:rPr>
        <w:t xml:space="preserve"> (Tas)</w:t>
      </w:r>
      <w:r w:rsidR="00E41693" w:rsidRPr="006D2720">
        <w:rPr>
          <w:rFonts w:ascii="Times New Roman" w:hAnsi="Times New Roman" w:cs="Times New Roman"/>
          <w:iCs/>
        </w:rPr>
        <w:t>,</w:t>
      </w:r>
      <w:r w:rsidR="00E15401" w:rsidRPr="006D2720">
        <w:rPr>
          <w:rFonts w:ascii="Times New Roman" w:hAnsi="Times New Roman" w:cs="Times New Roman"/>
          <w:i/>
        </w:rPr>
        <w:t xml:space="preserve"> </w:t>
      </w:r>
      <w:r w:rsidR="00E15401" w:rsidRPr="006D2720">
        <w:rPr>
          <w:rFonts w:ascii="Times New Roman" w:hAnsi="Times New Roman" w:cs="Times New Roman"/>
          <w:iCs/>
        </w:rPr>
        <w:t xml:space="preserve">which restricts </w:t>
      </w:r>
      <w:r w:rsidR="00E15401" w:rsidRPr="006D2720">
        <w:rPr>
          <w:rFonts w:ascii="Times New Roman" w:hAnsi="Times New Roman" w:cs="Times New Roman"/>
        </w:rPr>
        <w:t>the use of listening devices to record and listen to private conversations</w:t>
      </w:r>
      <w:r w:rsidR="00066868" w:rsidRPr="006D2720">
        <w:rPr>
          <w:rFonts w:ascii="Times New Roman" w:hAnsi="Times New Roman" w:cs="Times New Roman"/>
        </w:rPr>
        <w:t>.</w:t>
      </w:r>
    </w:p>
    <w:p w14:paraId="6552B548" w14:textId="5E3787D3" w:rsidR="00066868" w:rsidRPr="006D2720" w:rsidRDefault="00524E28">
      <w:pPr>
        <w:numPr>
          <w:ilvl w:val="0"/>
          <w:numId w:val="23"/>
        </w:numPr>
        <w:rPr>
          <w:rFonts w:ascii="Times New Roman" w:hAnsi="Times New Roman" w:cs="Times New Roman"/>
        </w:rPr>
      </w:pPr>
      <w:r w:rsidRPr="006D2720">
        <w:rPr>
          <w:rFonts w:ascii="Times New Roman" w:hAnsi="Times New Roman" w:cs="Times New Roman"/>
        </w:rPr>
        <w:t xml:space="preserve">Criminal laws, </w:t>
      </w:r>
      <w:r w:rsidR="00AE5318" w:rsidRPr="006D2720">
        <w:rPr>
          <w:rFonts w:ascii="Times New Roman" w:hAnsi="Times New Roman" w:cs="Times New Roman"/>
        </w:rPr>
        <w:t xml:space="preserve">such as </w:t>
      </w:r>
      <w:r w:rsidRPr="006D2720">
        <w:rPr>
          <w:rFonts w:ascii="Times New Roman" w:hAnsi="Times New Roman" w:cs="Times New Roman"/>
        </w:rPr>
        <w:t xml:space="preserve">the </w:t>
      </w:r>
      <w:r w:rsidR="00E15401" w:rsidRPr="006D2720">
        <w:rPr>
          <w:rFonts w:ascii="Times New Roman" w:hAnsi="Times New Roman" w:cs="Times New Roman"/>
          <w:i/>
        </w:rPr>
        <w:t xml:space="preserve">Police Offences Act 1935 </w:t>
      </w:r>
      <w:r w:rsidR="00E15401" w:rsidRPr="006D2720">
        <w:rPr>
          <w:rFonts w:ascii="Times New Roman" w:hAnsi="Times New Roman" w:cs="Times New Roman"/>
          <w:iCs/>
        </w:rPr>
        <w:t>(Tas)</w:t>
      </w:r>
      <w:r w:rsidR="00E41693" w:rsidRPr="006D2720">
        <w:rPr>
          <w:rFonts w:ascii="Times New Roman" w:hAnsi="Times New Roman" w:cs="Times New Roman"/>
          <w:iCs/>
        </w:rPr>
        <w:t>,</w:t>
      </w:r>
      <w:r w:rsidR="00E15401" w:rsidRPr="006D2720">
        <w:rPr>
          <w:rFonts w:ascii="Times New Roman" w:hAnsi="Times New Roman" w:cs="Times New Roman"/>
        </w:rPr>
        <w:t xml:space="preserve"> which </w:t>
      </w:r>
      <w:r w:rsidRPr="006D2720">
        <w:rPr>
          <w:rFonts w:ascii="Times New Roman" w:hAnsi="Times New Roman" w:cs="Times New Roman"/>
        </w:rPr>
        <w:t xml:space="preserve">makes it an </w:t>
      </w:r>
      <w:r w:rsidR="00E15401" w:rsidRPr="006D2720">
        <w:rPr>
          <w:rFonts w:ascii="Times New Roman" w:hAnsi="Times New Roman" w:cs="Times New Roman"/>
        </w:rPr>
        <w:t>offence to observe or visually record another person in breach of privacy</w:t>
      </w:r>
      <w:r w:rsidR="00AE5318" w:rsidRPr="006D2720">
        <w:rPr>
          <w:rFonts w:ascii="Times New Roman" w:hAnsi="Times New Roman" w:cs="Times New Roman"/>
        </w:rPr>
        <w:t>,</w:t>
      </w:r>
      <w:r w:rsidRPr="006D2720">
        <w:rPr>
          <w:rFonts w:ascii="Times New Roman" w:hAnsi="Times New Roman" w:cs="Times New Roman"/>
        </w:rPr>
        <w:t xml:space="preserve"> and the </w:t>
      </w:r>
      <w:r w:rsidR="00316580" w:rsidRPr="006D2720">
        <w:rPr>
          <w:rFonts w:ascii="Times New Roman" w:hAnsi="Times New Roman" w:cs="Times New Roman"/>
          <w:i/>
          <w:iCs/>
        </w:rPr>
        <w:t xml:space="preserve">Criminal </w:t>
      </w:r>
      <w:r w:rsidR="004C7BB6" w:rsidRPr="006D2720">
        <w:rPr>
          <w:rFonts w:ascii="Times New Roman" w:hAnsi="Times New Roman" w:cs="Times New Roman"/>
          <w:i/>
          <w:iCs/>
        </w:rPr>
        <w:t xml:space="preserve">Code </w:t>
      </w:r>
      <w:r w:rsidR="004C7BB6" w:rsidRPr="006D2720">
        <w:rPr>
          <w:rFonts w:ascii="Times New Roman" w:hAnsi="Times New Roman" w:cs="Times New Roman"/>
        </w:rPr>
        <w:t>(Tas)</w:t>
      </w:r>
      <w:r w:rsidR="00AE5318" w:rsidRPr="006D2720">
        <w:rPr>
          <w:rFonts w:ascii="Times New Roman" w:hAnsi="Times New Roman" w:cs="Times New Roman"/>
        </w:rPr>
        <w:t>,</w:t>
      </w:r>
      <w:r w:rsidR="004C7BB6" w:rsidRPr="006D2720">
        <w:rPr>
          <w:rFonts w:ascii="Times New Roman" w:hAnsi="Times New Roman" w:cs="Times New Roman"/>
        </w:rPr>
        <w:t xml:space="preserve"> </w:t>
      </w:r>
      <w:r w:rsidRPr="006D2720">
        <w:rPr>
          <w:rFonts w:ascii="Times New Roman" w:hAnsi="Times New Roman" w:cs="Times New Roman"/>
        </w:rPr>
        <w:t xml:space="preserve">which </w:t>
      </w:r>
      <w:r w:rsidR="001B7562" w:rsidRPr="006D2720">
        <w:rPr>
          <w:rFonts w:ascii="Times New Roman" w:hAnsi="Times New Roman" w:cs="Times New Roman"/>
        </w:rPr>
        <w:t xml:space="preserve">makes it </w:t>
      </w:r>
      <w:r w:rsidR="00C838E7" w:rsidRPr="006D2720">
        <w:rPr>
          <w:rFonts w:ascii="Times New Roman" w:hAnsi="Times New Roman" w:cs="Times New Roman"/>
        </w:rPr>
        <w:t xml:space="preserve">a crime to engage in </w:t>
      </w:r>
      <w:r w:rsidRPr="006D2720">
        <w:rPr>
          <w:rFonts w:ascii="Times New Roman" w:hAnsi="Times New Roman" w:cs="Times New Roman"/>
        </w:rPr>
        <w:t xml:space="preserve">stalking or bullying. </w:t>
      </w:r>
    </w:p>
    <w:p w14:paraId="6A7C748B" w14:textId="36A80DD5" w:rsidR="00F22B12" w:rsidRPr="006D2720" w:rsidRDefault="00E15401" w:rsidP="00CA1A69">
      <w:pPr>
        <w:pStyle w:val="Dotpointlist"/>
        <w:rPr>
          <w:rFonts w:ascii="Times New Roman" w:hAnsi="Times New Roman" w:cs="Times New Roman"/>
        </w:rPr>
      </w:pPr>
      <w:r w:rsidRPr="006D2720">
        <w:rPr>
          <w:rFonts w:ascii="Times New Roman" w:hAnsi="Times New Roman" w:cs="Times New Roman"/>
        </w:rPr>
        <w:t xml:space="preserve">Other legislation </w:t>
      </w:r>
      <w:r w:rsidR="00066868" w:rsidRPr="006D2720">
        <w:rPr>
          <w:rFonts w:ascii="Times New Roman" w:hAnsi="Times New Roman" w:cs="Times New Roman"/>
        </w:rPr>
        <w:t xml:space="preserve">where the powers or activities regulated by the </w:t>
      </w:r>
      <w:r w:rsidR="00A967BF" w:rsidRPr="006D2720">
        <w:rPr>
          <w:rFonts w:ascii="Times New Roman" w:hAnsi="Times New Roman" w:cs="Times New Roman"/>
        </w:rPr>
        <w:t>legislation</w:t>
      </w:r>
      <w:r w:rsidR="00066868" w:rsidRPr="006D2720">
        <w:rPr>
          <w:rFonts w:ascii="Times New Roman" w:hAnsi="Times New Roman" w:cs="Times New Roman"/>
        </w:rPr>
        <w:t xml:space="preserve"> may impact on a person’s privacy</w:t>
      </w:r>
      <w:r w:rsidR="00AE5318" w:rsidRPr="006D2720">
        <w:rPr>
          <w:rFonts w:ascii="Times New Roman" w:hAnsi="Times New Roman" w:cs="Times New Roman"/>
        </w:rPr>
        <w:t>, such as</w:t>
      </w:r>
      <w:r w:rsidRPr="006D2720">
        <w:rPr>
          <w:rFonts w:ascii="Times New Roman" w:hAnsi="Times New Roman" w:cs="Times New Roman"/>
        </w:rPr>
        <w:t xml:space="preserve"> the </w:t>
      </w:r>
      <w:r w:rsidRPr="006D2720">
        <w:rPr>
          <w:rFonts w:ascii="Times New Roman" w:hAnsi="Times New Roman" w:cs="Times New Roman"/>
          <w:i/>
        </w:rPr>
        <w:t xml:space="preserve">Children, Young Persons and Their Families Act 1997 </w:t>
      </w:r>
      <w:r w:rsidRPr="006D2720">
        <w:rPr>
          <w:rFonts w:ascii="Times New Roman" w:hAnsi="Times New Roman" w:cs="Times New Roman"/>
          <w:iCs/>
        </w:rPr>
        <w:t>(Tas)</w:t>
      </w:r>
      <w:r w:rsidR="005E4E91" w:rsidRPr="006D2720">
        <w:rPr>
          <w:rFonts w:ascii="Times New Roman" w:hAnsi="Times New Roman" w:cs="Times New Roman"/>
        </w:rPr>
        <w:t xml:space="preserve"> </w:t>
      </w:r>
      <w:r w:rsidR="004E5616" w:rsidRPr="006D2720">
        <w:rPr>
          <w:rFonts w:ascii="Times New Roman" w:hAnsi="Times New Roman" w:cs="Times New Roman"/>
        </w:rPr>
        <w:t xml:space="preserve">and the </w:t>
      </w:r>
      <w:r w:rsidR="004E5616" w:rsidRPr="006D2720">
        <w:rPr>
          <w:rFonts w:ascii="Times New Roman" w:hAnsi="Times New Roman" w:cs="Times New Roman"/>
          <w:i/>
        </w:rPr>
        <w:t xml:space="preserve">Disability Services Act 2011 </w:t>
      </w:r>
      <w:r w:rsidR="004E5616" w:rsidRPr="006D2720">
        <w:rPr>
          <w:rFonts w:ascii="Times New Roman" w:hAnsi="Times New Roman" w:cs="Times New Roman"/>
          <w:iCs/>
        </w:rPr>
        <w:t>(Tas)</w:t>
      </w:r>
      <w:r w:rsidR="00E41693" w:rsidRPr="006D2720">
        <w:rPr>
          <w:rFonts w:ascii="Times New Roman" w:hAnsi="Times New Roman" w:cs="Times New Roman"/>
          <w:iCs/>
        </w:rPr>
        <w:t>, which</w:t>
      </w:r>
      <w:r w:rsidR="000444AB" w:rsidRPr="006D2720">
        <w:rPr>
          <w:rFonts w:ascii="Times New Roman" w:hAnsi="Times New Roman" w:cs="Times New Roman"/>
          <w:iCs/>
        </w:rPr>
        <w:t xml:space="preserve"> </w:t>
      </w:r>
      <w:r w:rsidR="00AE5318" w:rsidRPr="006D2720">
        <w:rPr>
          <w:rFonts w:ascii="Times New Roman" w:hAnsi="Times New Roman" w:cs="Times New Roman"/>
          <w:iCs/>
        </w:rPr>
        <w:t xml:space="preserve">correspondingly </w:t>
      </w:r>
      <w:r w:rsidRPr="006D2720">
        <w:rPr>
          <w:rFonts w:ascii="Times New Roman" w:hAnsi="Times New Roman" w:cs="Times New Roman"/>
        </w:rPr>
        <w:t xml:space="preserve">mandate </w:t>
      </w:r>
      <w:r w:rsidR="00984745" w:rsidRPr="006D2720">
        <w:rPr>
          <w:rFonts w:ascii="Times New Roman" w:hAnsi="Times New Roman" w:cs="Times New Roman"/>
        </w:rPr>
        <w:t xml:space="preserve">that </w:t>
      </w:r>
      <w:r w:rsidR="000A4958" w:rsidRPr="006D2720">
        <w:rPr>
          <w:rFonts w:ascii="Times New Roman" w:hAnsi="Times New Roman" w:cs="Times New Roman"/>
        </w:rPr>
        <w:t xml:space="preserve">children </w:t>
      </w:r>
      <w:r w:rsidR="00AE5318" w:rsidRPr="006D2720">
        <w:rPr>
          <w:rFonts w:ascii="Times New Roman" w:hAnsi="Times New Roman" w:cs="Times New Roman"/>
        </w:rPr>
        <w:t xml:space="preserve">and </w:t>
      </w:r>
      <w:r w:rsidR="000A4958" w:rsidRPr="006D2720">
        <w:rPr>
          <w:rFonts w:ascii="Times New Roman" w:hAnsi="Times New Roman" w:cs="Times New Roman"/>
        </w:rPr>
        <w:t xml:space="preserve">persons </w:t>
      </w:r>
      <w:r w:rsidR="000C25D5" w:rsidRPr="006D2720">
        <w:rPr>
          <w:rFonts w:ascii="Times New Roman" w:hAnsi="Times New Roman" w:cs="Times New Roman"/>
        </w:rPr>
        <w:t>with disability</w:t>
      </w:r>
      <w:r w:rsidR="000A4958" w:rsidRPr="006D2720">
        <w:rPr>
          <w:rFonts w:ascii="Times New Roman" w:hAnsi="Times New Roman" w:cs="Times New Roman"/>
        </w:rPr>
        <w:t xml:space="preserve"> </w:t>
      </w:r>
      <w:r w:rsidR="00F42CBD" w:rsidRPr="006D2720">
        <w:rPr>
          <w:rFonts w:ascii="Times New Roman" w:hAnsi="Times New Roman" w:cs="Times New Roman"/>
        </w:rPr>
        <w:t xml:space="preserve">must </w:t>
      </w:r>
      <w:r w:rsidRPr="006D2720">
        <w:rPr>
          <w:rFonts w:ascii="Times New Roman" w:hAnsi="Times New Roman" w:cs="Times New Roman"/>
        </w:rPr>
        <w:t xml:space="preserve">be treated in a manner respecting </w:t>
      </w:r>
      <w:r w:rsidR="00397249" w:rsidRPr="006D2720">
        <w:rPr>
          <w:rFonts w:ascii="Times New Roman" w:hAnsi="Times New Roman" w:cs="Times New Roman"/>
        </w:rPr>
        <w:t>their</w:t>
      </w:r>
      <w:r w:rsidRPr="006D2720">
        <w:rPr>
          <w:rFonts w:ascii="Times New Roman" w:hAnsi="Times New Roman" w:cs="Times New Roman"/>
        </w:rPr>
        <w:t xml:space="preserve"> dignity and privacy</w:t>
      </w:r>
      <w:r w:rsidR="005E4E91" w:rsidRPr="006D2720">
        <w:rPr>
          <w:rFonts w:ascii="Times New Roman" w:hAnsi="Times New Roman" w:cs="Times New Roman"/>
        </w:rPr>
        <w:t>.</w:t>
      </w:r>
    </w:p>
    <w:p w14:paraId="039CE45A" w14:textId="2A4B0480" w:rsidR="00244A6F" w:rsidRPr="006D2720" w:rsidRDefault="000735C6" w:rsidP="00CA1A69">
      <w:pPr>
        <w:pStyle w:val="Dotpointlist"/>
        <w:rPr>
          <w:rFonts w:ascii="Times New Roman" w:hAnsi="Times New Roman" w:cs="Times New Roman"/>
        </w:rPr>
      </w:pPr>
      <w:r w:rsidRPr="006D2720">
        <w:rPr>
          <w:rFonts w:ascii="Times New Roman" w:hAnsi="Times New Roman" w:cs="Times New Roman"/>
        </w:rPr>
        <w:t xml:space="preserve">The general law, where </w:t>
      </w:r>
      <w:r w:rsidR="00E15401" w:rsidRPr="006D2720">
        <w:rPr>
          <w:rFonts w:ascii="Times New Roman" w:hAnsi="Times New Roman" w:cs="Times New Roman"/>
        </w:rPr>
        <w:t xml:space="preserve">Tasmanian courts have </w:t>
      </w:r>
      <w:r w:rsidR="001C5C80" w:rsidRPr="006D2720">
        <w:rPr>
          <w:rFonts w:ascii="Times New Roman" w:hAnsi="Times New Roman" w:cs="Times New Roman"/>
        </w:rPr>
        <w:t>made references to</w:t>
      </w:r>
      <w:r w:rsidR="00E15401" w:rsidRPr="006D2720">
        <w:rPr>
          <w:rFonts w:ascii="Times New Roman" w:hAnsi="Times New Roman" w:cs="Times New Roman"/>
        </w:rPr>
        <w:t xml:space="preserve"> privacy in several important contexts. </w:t>
      </w:r>
    </w:p>
    <w:p w14:paraId="3D44D5AC" w14:textId="1B001114" w:rsidR="00E15401" w:rsidRPr="006D2720" w:rsidRDefault="00840DF4" w:rsidP="00CA1A69">
      <w:pPr>
        <w:pStyle w:val="Heading3"/>
        <w:rPr>
          <w:rFonts w:ascii="Times New Roman" w:hAnsi="Times New Roman" w:cs="Times New Roman"/>
        </w:rPr>
      </w:pPr>
      <w:r w:rsidRPr="006D2720">
        <w:rPr>
          <w:rFonts w:ascii="Times New Roman" w:hAnsi="Times New Roman" w:cs="Times New Roman"/>
        </w:rPr>
        <w:t xml:space="preserve">This Paper considers these </w:t>
      </w:r>
      <w:r w:rsidR="00CF067B" w:rsidRPr="006D2720">
        <w:rPr>
          <w:rFonts w:ascii="Times New Roman" w:hAnsi="Times New Roman" w:cs="Times New Roman"/>
        </w:rPr>
        <w:t>protections</w:t>
      </w:r>
      <w:r w:rsidRPr="006D2720">
        <w:rPr>
          <w:rFonts w:ascii="Times New Roman" w:hAnsi="Times New Roman" w:cs="Times New Roman"/>
        </w:rPr>
        <w:t xml:space="preserve"> and raises questions about whether and how they may be reformed to </w:t>
      </w:r>
      <w:r w:rsidR="00C20206" w:rsidRPr="006D2720">
        <w:rPr>
          <w:rFonts w:ascii="Times New Roman" w:hAnsi="Times New Roman" w:cs="Times New Roman"/>
        </w:rPr>
        <w:t xml:space="preserve">better </w:t>
      </w:r>
      <w:r w:rsidRPr="006D2720">
        <w:rPr>
          <w:rFonts w:ascii="Times New Roman" w:hAnsi="Times New Roman" w:cs="Times New Roman"/>
        </w:rPr>
        <w:t>protect the privacy of Tasmanians.</w:t>
      </w:r>
    </w:p>
    <w:p w14:paraId="121C305C" w14:textId="054322D2" w:rsidR="009954FA" w:rsidRPr="006D2720" w:rsidRDefault="009954FA" w:rsidP="008E66D4">
      <w:pPr>
        <w:pStyle w:val="Heading2"/>
        <w:rPr>
          <w:rFonts w:ascii="Times New Roman" w:hAnsi="Times New Roman" w:cs="Times New Roman"/>
        </w:rPr>
      </w:pPr>
      <w:bookmarkStart w:id="73" w:name="_Toc130540423"/>
      <w:r w:rsidRPr="006D2720">
        <w:rPr>
          <w:rFonts w:ascii="Times New Roman" w:hAnsi="Times New Roman" w:cs="Times New Roman"/>
        </w:rPr>
        <w:t>Privacy protection in other Australian jurisdictions</w:t>
      </w:r>
      <w:bookmarkEnd w:id="73"/>
    </w:p>
    <w:p w14:paraId="7F958DEA" w14:textId="72BC1718" w:rsidR="00051C77" w:rsidRPr="006D2720" w:rsidRDefault="009954FA" w:rsidP="000C338F">
      <w:pPr>
        <w:pStyle w:val="Heading3"/>
        <w:rPr>
          <w:rFonts w:ascii="Times New Roman" w:hAnsi="Times New Roman" w:cs="Times New Roman"/>
        </w:rPr>
      </w:pPr>
      <w:bookmarkStart w:id="74" w:name="_Toc91536369"/>
      <w:bookmarkStart w:id="75" w:name="_Toc91536875"/>
      <w:bookmarkStart w:id="76" w:name="_Toc91685197"/>
      <w:bookmarkStart w:id="77" w:name="_Toc91691954"/>
      <w:bookmarkStart w:id="78" w:name="_Toc91769135"/>
      <w:bookmarkStart w:id="79" w:name="_Toc91770047"/>
      <w:bookmarkStart w:id="80" w:name="_Toc91830005"/>
      <w:bookmarkStart w:id="81" w:name="_Toc91536370"/>
      <w:bookmarkStart w:id="82" w:name="_Toc91536876"/>
      <w:bookmarkStart w:id="83" w:name="_Toc91685198"/>
      <w:bookmarkStart w:id="84" w:name="_Toc91691955"/>
      <w:bookmarkStart w:id="85" w:name="_Toc91769136"/>
      <w:bookmarkStart w:id="86" w:name="_Toc91770048"/>
      <w:bookmarkStart w:id="87" w:name="_Toc91830006"/>
      <w:bookmarkStart w:id="88" w:name="_Toc85381214"/>
      <w:bookmarkStart w:id="89" w:name="_Toc85537733"/>
      <w:bookmarkStart w:id="90" w:name="_Toc85537867"/>
      <w:bookmarkStart w:id="91" w:name="_Toc91536377"/>
      <w:bookmarkStart w:id="92" w:name="_Toc77846271"/>
      <w:bookmarkStart w:id="93" w:name="_Toc77846323"/>
      <w:bookmarkStart w:id="94" w:name="_Toc77846375"/>
      <w:bookmarkStart w:id="95" w:name="_Toc77846535"/>
      <w:bookmarkStart w:id="96" w:name="_Toc7793332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D2720">
        <w:rPr>
          <w:rFonts w:ascii="Times New Roman" w:hAnsi="Times New Roman" w:cs="Times New Roman"/>
        </w:rPr>
        <w:t xml:space="preserve">The </w:t>
      </w:r>
      <w:r w:rsidRPr="006D2720">
        <w:rPr>
          <w:rFonts w:ascii="Times New Roman" w:hAnsi="Times New Roman" w:cs="Times New Roman"/>
          <w:i/>
          <w:iCs/>
        </w:rPr>
        <w:t>Privacy Act 1988</w:t>
      </w:r>
      <w:r w:rsidRPr="006D2720">
        <w:rPr>
          <w:rFonts w:ascii="Times New Roman" w:hAnsi="Times New Roman" w:cs="Times New Roman"/>
        </w:rPr>
        <w:t xml:space="preserve"> (Cth) </w:t>
      </w:r>
      <w:r w:rsidR="00FC4F03" w:rsidRPr="006D2720">
        <w:rPr>
          <w:rFonts w:ascii="Times New Roman" w:hAnsi="Times New Roman" w:cs="Times New Roman"/>
        </w:rPr>
        <w:t>(‘</w:t>
      </w:r>
      <w:r w:rsidR="004F306F" w:rsidRPr="006D2720">
        <w:rPr>
          <w:rFonts w:ascii="Times New Roman" w:hAnsi="Times New Roman" w:cs="Times New Roman"/>
        </w:rPr>
        <w:t>Privacy Act</w:t>
      </w:r>
      <w:r w:rsidR="00FC4F03" w:rsidRPr="006D2720">
        <w:rPr>
          <w:rFonts w:ascii="Times New Roman" w:hAnsi="Times New Roman" w:cs="Times New Roman"/>
        </w:rPr>
        <w:t xml:space="preserve">’) </w:t>
      </w:r>
      <w:r w:rsidRPr="006D2720">
        <w:rPr>
          <w:rFonts w:ascii="Times New Roman" w:hAnsi="Times New Roman" w:cs="Times New Roman"/>
        </w:rPr>
        <w:t xml:space="preserve">is the main privacy legislation operating at the federal level in Australia. </w:t>
      </w:r>
      <w:r w:rsidR="00FD0596" w:rsidRPr="006D2720">
        <w:rPr>
          <w:rFonts w:ascii="Times New Roman" w:hAnsi="Times New Roman" w:cs="Times New Roman"/>
        </w:rPr>
        <w:t>T</w:t>
      </w:r>
      <w:r w:rsidR="000F0133" w:rsidRPr="006D2720">
        <w:rPr>
          <w:rFonts w:ascii="Times New Roman" w:hAnsi="Times New Roman" w:cs="Times New Roman"/>
        </w:rPr>
        <w:t xml:space="preserve">he introduction of </w:t>
      </w:r>
      <w:r w:rsidR="00FD0596" w:rsidRPr="006D2720">
        <w:rPr>
          <w:rFonts w:ascii="Times New Roman" w:hAnsi="Times New Roman" w:cs="Times New Roman"/>
        </w:rPr>
        <w:t>t</w:t>
      </w:r>
      <w:r w:rsidRPr="006D2720">
        <w:rPr>
          <w:rFonts w:ascii="Times New Roman" w:hAnsi="Times New Roman" w:cs="Times New Roman"/>
        </w:rPr>
        <w:t>his</w:t>
      </w:r>
      <w:r w:rsidR="00FD0596" w:rsidRPr="006D2720">
        <w:rPr>
          <w:rFonts w:ascii="Times New Roman" w:hAnsi="Times New Roman" w:cs="Times New Roman"/>
        </w:rPr>
        <w:t xml:space="preserve"> Act</w:t>
      </w:r>
      <w:r w:rsidR="000F0133" w:rsidRPr="006D2720">
        <w:rPr>
          <w:rFonts w:ascii="Times New Roman" w:hAnsi="Times New Roman" w:cs="Times New Roman"/>
          <w:i/>
          <w:iCs/>
        </w:rPr>
        <w:t xml:space="preserve"> </w:t>
      </w:r>
      <w:r w:rsidR="000F0133" w:rsidRPr="006D2720">
        <w:rPr>
          <w:rFonts w:ascii="Times New Roman" w:hAnsi="Times New Roman" w:cs="Times New Roman"/>
        </w:rPr>
        <w:t xml:space="preserve">partially implemented </w:t>
      </w:r>
      <w:r w:rsidR="00D01723" w:rsidRPr="006D2720">
        <w:rPr>
          <w:rFonts w:ascii="Times New Roman" w:hAnsi="Times New Roman" w:cs="Times New Roman"/>
        </w:rPr>
        <w:t>A</w:t>
      </w:r>
      <w:r w:rsidR="00067869" w:rsidRPr="006D2720">
        <w:rPr>
          <w:rFonts w:ascii="Times New Roman" w:hAnsi="Times New Roman" w:cs="Times New Roman"/>
        </w:rPr>
        <w:t xml:space="preserve">ustralia’s obligations under </w:t>
      </w:r>
      <w:r w:rsidR="00BC3300" w:rsidRPr="006D2720">
        <w:rPr>
          <w:rFonts w:ascii="Times New Roman" w:hAnsi="Times New Roman" w:cs="Times New Roman"/>
        </w:rPr>
        <w:t>art</w:t>
      </w:r>
      <w:r w:rsidR="00092C18" w:rsidRPr="006D2720">
        <w:rPr>
          <w:rFonts w:ascii="Times New Roman" w:hAnsi="Times New Roman" w:cs="Times New Roman"/>
        </w:rPr>
        <w:t>icle</w:t>
      </w:r>
      <w:r w:rsidR="001A4231" w:rsidRPr="006D2720">
        <w:rPr>
          <w:rFonts w:ascii="Times New Roman" w:hAnsi="Times New Roman" w:cs="Times New Roman"/>
        </w:rPr>
        <w:t xml:space="preserve"> </w:t>
      </w:r>
      <w:r w:rsidR="00067869" w:rsidRPr="006D2720">
        <w:rPr>
          <w:rFonts w:ascii="Times New Roman" w:hAnsi="Times New Roman" w:cs="Times New Roman"/>
        </w:rPr>
        <w:t xml:space="preserve">17 of the </w:t>
      </w:r>
      <w:r w:rsidR="000E58B3" w:rsidRPr="006D2720">
        <w:rPr>
          <w:rFonts w:ascii="Times New Roman" w:hAnsi="Times New Roman" w:cs="Times New Roman"/>
        </w:rPr>
        <w:t>ICCPR</w:t>
      </w:r>
      <w:r w:rsidR="00067869" w:rsidRPr="006D2720">
        <w:rPr>
          <w:rFonts w:ascii="Times New Roman" w:hAnsi="Times New Roman" w:cs="Times New Roman"/>
        </w:rPr>
        <w:t>.</w:t>
      </w:r>
      <w:r w:rsidR="00067869" w:rsidRPr="006D2720">
        <w:rPr>
          <w:rStyle w:val="FootnoteReference"/>
          <w:rFonts w:ascii="Times New Roman" w:hAnsi="Times New Roman" w:cs="Times New Roman"/>
        </w:rPr>
        <w:footnoteReference w:id="15"/>
      </w:r>
      <w:r w:rsidR="00067869" w:rsidRPr="006D2720">
        <w:rPr>
          <w:rFonts w:ascii="Times New Roman" w:hAnsi="Times New Roman" w:cs="Times New Roman"/>
        </w:rPr>
        <w:t xml:space="preserve"> </w:t>
      </w:r>
      <w:r w:rsidR="000C338F" w:rsidRPr="006D2720">
        <w:rPr>
          <w:rFonts w:ascii="Times New Roman" w:hAnsi="Times New Roman" w:cs="Times New Roman"/>
        </w:rPr>
        <w:t>I</w:t>
      </w:r>
      <w:r w:rsidR="00A86D4E" w:rsidRPr="006D2720">
        <w:rPr>
          <w:rFonts w:ascii="Times New Roman" w:hAnsi="Times New Roman" w:cs="Times New Roman"/>
        </w:rPr>
        <w:t>t should be noted that</w:t>
      </w:r>
      <w:r w:rsidR="00980AC6" w:rsidRPr="006D2720">
        <w:rPr>
          <w:rFonts w:ascii="Times New Roman" w:hAnsi="Times New Roman" w:cs="Times New Roman"/>
        </w:rPr>
        <w:t xml:space="preserve">, in </w:t>
      </w:r>
      <w:r w:rsidR="000C338F" w:rsidRPr="006D2720">
        <w:rPr>
          <w:rFonts w:ascii="Times New Roman" w:hAnsi="Times New Roman" w:cs="Times New Roman"/>
        </w:rPr>
        <w:t xml:space="preserve">Australia, </w:t>
      </w:r>
      <w:r w:rsidR="0008557C" w:rsidRPr="006D2720">
        <w:rPr>
          <w:rFonts w:ascii="Times New Roman" w:hAnsi="Times New Roman" w:cs="Times New Roman"/>
        </w:rPr>
        <w:t xml:space="preserve">such implementing legislation </w:t>
      </w:r>
      <w:r w:rsidR="008D28FD" w:rsidRPr="006D2720">
        <w:rPr>
          <w:rFonts w:ascii="Times New Roman" w:hAnsi="Times New Roman" w:cs="Times New Roman"/>
        </w:rPr>
        <w:t xml:space="preserve">is necessary </w:t>
      </w:r>
      <w:r w:rsidR="0008557C" w:rsidRPr="006D2720">
        <w:rPr>
          <w:rFonts w:ascii="Times New Roman" w:hAnsi="Times New Roman" w:cs="Times New Roman"/>
        </w:rPr>
        <w:t xml:space="preserve">before </w:t>
      </w:r>
      <w:r w:rsidR="000C338F" w:rsidRPr="006D2720">
        <w:rPr>
          <w:rFonts w:ascii="Times New Roman" w:hAnsi="Times New Roman" w:cs="Times New Roman"/>
        </w:rPr>
        <w:t xml:space="preserve">international treaties </w:t>
      </w:r>
      <w:r w:rsidR="0008557C" w:rsidRPr="006D2720">
        <w:rPr>
          <w:rFonts w:ascii="Times New Roman" w:hAnsi="Times New Roman" w:cs="Times New Roman"/>
        </w:rPr>
        <w:t xml:space="preserve">have any domestic </w:t>
      </w:r>
      <w:r w:rsidR="00554049" w:rsidRPr="006D2720">
        <w:rPr>
          <w:rFonts w:ascii="Times New Roman" w:hAnsi="Times New Roman" w:cs="Times New Roman"/>
        </w:rPr>
        <w:t xml:space="preserve">legal </w:t>
      </w:r>
      <w:r w:rsidR="0008557C" w:rsidRPr="006D2720">
        <w:rPr>
          <w:rFonts w:ascii="Times New Roman" w:hAnsi="Times New Roman" w:cs="Times New Roman"/>
        </w:rPr>
        <w:t xml:space="preserve">effect—international obligations are </w:t>
      </w:r>
      <w:r w:rsidR="000C338F" w:rsidRPr="006D2720">
        <w:rPr>
          <w:rFonts w:ascii="Times New Roman" w:hAnsi="Times New Roman" w:cs="Times New Roman"/>
        </w:rPr>
        <w:t>not automatically enforceable in domestic law.</w:t>
      </w:r>
    </w:p>
    <w:p w14:paraId="45A1FF6B" w14:textId="326BA9B0" w:rsidR="00D77489" w:rsidRPr="006D2720" w:rsidRDefault="00A56C0E" w:rsidP="00CA1A69">
      <w:pPr>
        <w:pStyle w:val="Heading3"/>
        <w:rPr>
          <w:rFonts w:ascii="Times New Roman" w:hAnsi="Times New Roman" w:cs="Times New Roman"/>
        </w:rPr>
      </w:pPr>
      <w:r w:rsidRPr="006D2720">
        <w:rPr>
          <w:rFonts w:ascii="Times New Roman" w:hAnsi="Times New Roman" w:cs="Times New Roman"/>
        </w:rPr>
        <w:t>D</w:t>
      </w:r>
      <w:r w:rsidR="00067869" w:rsidRPr="006D2720">
        <w:rPr>
          <w:rFonts w:ascii="Times New Roman" w:hAnsi="Times New Roman" w:cs="Times New Roman"/>
        </w:rPr>
        <w:t xml:space="preserve">eveloped in response to the </w:t>
      </w:r>
      <w:r w:rsidR="00742539" w:rsidRPr="006D2720">
        <w:rPr>
          <w:rFonts w:ascii="Times New Roman" w:hAnsi="Times New Roman" w:cs="Times New Roman"/>
        </w:rPr>
        <w:t>ALRC</w:t>
      </w:r>
      <w:r w:rsidR="00205BED" w:rsidRPr="006D2720">
        <w:rPr>
          <w:rFonts w:ascii="Times New Roman" w:hAnsi="Times New Roman" w:cs="Times New Roman"/>
        </w:rPr>
        <w:t>’s</w:t>
      </w:r>
      <w:r w:rsidR="00644640" w:rsidRPr="006D2720">
        <w:rPr>
          <w:rFonts w:ascii="Times New Roman" w:hAnsi="Times New Roman" w:cs="Times New Roman"/>
        </w:rPr>
        <w:t xml:space="preserve"> </w:t>
      </w:r>
      <w:r w:rsidR="00067869" w:rsidRPr="006D2720">
        <w:rPr>
          <w:rFonts w:ascii="Times New Roman" w:hAnsi="Times New Roman" w:cs="Times New Roman"/>
        </w:rPr>
        <w:t>Privacy Report</w:t>
      </w:r>
      <w:r w:rsidRPr="006D2720">
        <w:rPr>
          <w:rFonts w:ascii="Times New Roman" w:hAnsi="Times New Roman" w:cs="Times New Roman"/>
        </w:rPr>
        <w:t>,</w:t>
      </w:r>
      <w:r w:rsidR="00067869" w:rsidRPr="006D2720">
        <w:rPr>
          <w:rStyle w:val="FootnoteReference"/>
          <w:rFonts w:ascii="Times New Roman" w:hAnsi="Times New Roman" w:cs="Times New Roman"/>
        </w:rPr>
        <w:footnoteReference w:id="16"/>
      </w:r>
      <w:r w:rsidR="00067869" w:rsidRPr="006D2720">
        <w:rPr>
          <w:rFonts w:ascii="Times New Roman" w:hAnsi="Times New Roman" w:cs="Times New Roman"/>
        </w:rPr>
        <w:t xml:space="preserve"> </w:t>
      </w:r>
      <w:r w:rsidRPr="006D2720">
        <w:rPr>
          <w:rFonts w:ascii="Times New Roman" w:hAnsi="Times New Roman" w:cs="Times New Roman"/>
        </w:rPr>
        <w:t xml:space="preserve">the Privacy Act </w:t>
      </w:r>
      <w:r w:rsidR="00F42EDA" w:rsidRPr="006D2720">
        <w:rPr>
          <w:rFonts w:ascii="Times New Roman" w:hAnsi="Times New Roman" w:cs="Times New Roman"/>
        </w:rPr>
        <w:t>introduced various privacy principles applicable to the handling of personal information by Commonwealth government agencies</w:t>
      </w:r>
      <w:r w:rsidR="007F3211" w:rsidRPr="006D2720">
        <w:rPr>
          <w:rFonts w:ascii="Times New Roman" w:hAnsi="Times New Roman" w:cs="Times New Roman"/>
        </w:rPr>
        <w:t xml:space="preserve">. </w:t>
      </w:r>
      <w:r w:rsidR="001060FA" w:rsidRPr="006D2720">
        <w:rPr>
          <w:rFonts w:ascii="Times New Roman" w:hAnsi="Times New Roman" w:cs="Times New Roman"/>
        </w:rPr>
        <w:t>It</w:t>
      </w:r>
      <w:r w:rsidR="007F3211" w:rsidRPr="006D2720">
        <w:rPr>
          <w:rFonts w:ascii="Times New Roman" w:hAnsi="Times New Roman" w:cs="Times New Roman"/>
        </w:rPr>
        <w:t xml:space="preserve"> also established </w:t>
      </w:r>
      <w:r w:rsidR="00AC68A3" w:rsidRPr="006D2720">
        <w:rPr>
          <w:rFonts w:ascii="Times New Roman" w:hAnsi="Times New Roman" w:cs="Times New Roman"/>
        </w:rPr>
        <w:t>a Privacy Commissioner to investigate complaints against mishandling</w:t>
      </w:r>
      <w:r w:rsidR="00F42EDA" w:rsidRPr="006D2720">
        <w:rPr>
          <w:rFonts w:ascii="Times New Roman" w:hAnsi="Times New Roman" w:cs="Times New Roman"/>
        </w:rPr>
        <w:t xml:space="preserve">. </w:t>
      </w:r>
    </w:p>
    <w:p w14:paraId="2CD47E3C" w14:textId="412702D3" w:rsidR="00067869" w:rsidRPr="006D2720" w:rsidRDefault="00644640" w:rsidP="00CA1A69">
      <w:pPr>
        <w:pStyle w:val="Heading3"/>
        <w:rPr>
          <w:rFonts w:ascii="Times New Roman" w:hAnsi="Times New Roman" w:cs="Times New Roman"/>
        </w:rPr>
      </w:pPr>
      <w:r w:rsidRPr="006D2720">
        <w:rPr>
          <w:rFonts w:ascii="Times New Roman" w:hAnsi="Times New Roman" w:cs="Times New Roman"/>
        </w:rPr>
        <w:t xml:space="preserve">In 2000, the </w:t>
      </w:r>
      <w:r w:rsidR="00FC4F03" w:rsidRPr="006D2720">
        <w:rPr>
          <w:rFonts w:ascii="Times New Roman" w:hAnsi="Times New Roman" w:cs="Times New Roman"/>
        </w:rPr>
        <w:t xml:space="preserve">Privacy </w:t>
      </w:r>
      <w:r w:rsidRPr="006D2720">
        <w:rPr>
          <w:rFonts w:ascii="Times New Roman" w:hAnsi="Times New Roman" w:cs="Times New Roman"/>
        </w:rPr>
        <w:t xml:space="preserve">Act </w:t>
      </w:r>
      <w:r w:rsidR="00F42EDA" w:rsidRPr="006D2720">
        <w:rPr>
          <w:rFonts w:ascii="Times New Roman" w:hAnsi="Times New Roman" w:cs="Times New Roman"/>
        </w:rPr>
        <w:t>was amended to establish a separate set of principles applicable to some private sector organisations.</w:t>
      </w:r>
      <w:r w:rsidR="00E92307" w:rsidRPr="006D2720">
        <w:rPr>
          <w:rStyle w:val="FootnoteReference"/>
          <w:rFonts w:ascii="Times New Roman" w:hAnsi="Times New Roman" w:cs="Times New Roman"/>
        </w:rPr>
        <w:footnoteReference w:id="17"/>
      </w:r>
      <w:r w:rsidR="00F42EDA" w:rsidRPr="006D2720">
        <w:rPr>
          <w:rFonts w:ascii="Times New Roman" w:hAnsi="Times New Roman" w:cs="Times New Roman"/>
        </w:rPr>
        <w:t xml:space="preserve"> </w:t>
      </w:r>
      <w:r w:rsidR="00742539" w:rsidRPr="006D2720">
        <w:rPr>
          <w:rFonts w:ascii="Times New Roman" w:hAnsi="Times New Roman" w:cs="Times New Roman"/>
        </w:rPr>
        <w:t>In</w:t>
      </w:r>
      <w:r w:rsidRPr="006D2720">
        <w:rPr>
          <w:rFonts w:ascii="Times New Roman" w:hAnsi="Times New Roman" w:cs="Times New Roman"/>
        </w:rPr>
        <w:t xml:space="preserve"> 2012 a</w:t>
      </w:r>
      <w:r w:rsidR="00E92307" w:rsidRPr="006D2720">
        <w:rPr>
          <w:rFonts w:ascii="Times New Roman" w:hAnsi="Times New Roman" w:cs="Times New Roman"/>
        </w:rPr>
        <w:t>fter a</w:t>
      </w:r>
      <w:r w:rsidR="00742539" w:rsidRPr="006D2720">
        <w:rPr>
          <w:rFonts w:ascii="Times New Roman" w:hAnsi="Times New Roman" w:cs="Times New Roman"/>
        </w:rPr>
        <w:t>nother</w:t>
      </w:r>
      <w:r w:rsidR="00E92307" w:rsidRPr="006D2720">
        <w:rPr>
          <w:rFonts w:ascii="Times New Roman" w:hAnsi="Times New Roman" w:cs="Times New Roman"/>
        </w:rPr>
        <w:t xml:space="preserve"> </w:t>
      </w:r>
      <w:r w:rsidR="00FC4F03" w:rsidRPr="006D2720">
        <w:rPr>
          <w:rFonts w:ascii="Times New Roman" w:hAnsi="Times New Roman" w:cs="Times New Roman"/>
        </w:rPr>
        <w:t xml:space="preserve">ALRC </w:t>
      </w:r>
      <w:r w:rsidR="00E92307" w:rsidRPr="006D2720">
        <w:rPr>
          <w:rFonts w:ascii="Times New Roman" w:hAnsi="Times New Roman" w:cs="Times New Roman"/>
        </w:rPr>
        <w:t>inquiry,</w:t>
      </w:r>
      <w:r w:rsidR="00E92307" w:rsidRPr="006D2720">
        <w:rPr>
          <w:rStyle w:val="FootnoteReference"/>
          <w:rFonts w:ascii="Times New Roman" w:hAnsi="Times New Roman" w:cs="Times New Roman"/>
        </w:rPr>
        <w:footnoteReference w:id="18"/>
      </w:r>
      <w:r w:rsidR="00E92307" w:rsidRPr="006D2720">
        <w:rPr>
          <w:rFonts w:ascii="Times New Roman" w:hAnsi="Times New Roman" w:cs="Times New Roman"/>
        </w:rPr>
        <w:t xml:space="preserve"> the Act was further amended to provide a common set of privacy principles applicable to both the Commonwealth public sector and private organisations</w:t>
      </w:r>
      <w:r w:rsidR="00637EC2" w:rsidRPr="006D2720">
        <w:rPr>
          <w:rFonts w:ascii="Times New Roman" w:hAnsi="Times New Roman" w:cs="Times New Roman"/>
        </w:rPr>
        <w:t xml:space="preserve">. These are known as </w:t>
      </w:r>
      <w:r w:rsidR="00E92307" w:rsidRPr="006D2720">
        <w:rPr>
          <w:rFonts w:ascii="Times New Roman" w:hAnsi="Times New Roman" w:cs="Times New Roman"/>
        </w:rPr>
        <w:t>the Australian Privacy Principles (</w:t>
      </w:r>
      <w:r w:rsidR="00637EC2" w:rsidRPr="006D2720">
        <w:rPr>
          <w:rFonts w:ascii="Times New Roman" w:hAnsi="Times New Roman" w:cs="Times New Roman"/>
        </w:rPr>
        <w:t>‘</w:t>
      </w:r>
      <w:r w:rsidR="00E92307" w:rsidRPr="006D2720">
        <w:rPr>
          <w:rFonts w:ascii="Times New Roman" w:hAnsi="Times New Roman" w:cs="Times New Roman"/>
        </w:rPr>
        <w:t>APPs</w:t>
      </w:r>
      <w:r w:rsidR="00637EC2" w:rsidRPr="006D2720">
        <w:rPr>
          <w:rFonts w:ascii="Times New Roman" w:hAnsi="Times New Roman" w:cs="Times New Roman"/>
        </w:rPr>
        <w:t>’</w:t>
      </w:r>
      <w:r w:rsidR="00E92307" w:rsidRPr="006D2720">
        <w:rPr>
          <w:rFonts w:ascii="Times New Roman" w:hAnsi="Times New Roman" w:cs="Times New Roman"/>
        </w:rPr>
        <w:t>).</w:t>
      </w:r>
      <w:r w:rsidR="00E92307" w:rsidRPr="006D2720">
        <w:rPr>
          <w:rStyle w:val="FootnoteReference"/>
          <w:rFonts w:ascii="Times New Roman" w:hAnsi="Times New Roman" w:cs="Times New Roman"/>
        </w:rPr>
        <w:footnoteReference w:id="19"/>
      </w:r>
      <w:r w:rsidR="00E92307" w:rsidRPr="006D2720">
        <w:rPr>
          <w:rFonts w:ascii="Times New Roman" w:hAnsi="Times New Roman" w:cs="Times New Roman"/>
        </w:rPr>
        <w:t xml:space="preserve"> </w:t>
      </w:r>
    </w:p>
    <w:p w14:paraId="316C0AA2" w14:textId="7919FA2A" w:rsidR="006E7F53" w:rsidRPr="006D2720" w:rsidRDefault="00B20EA6" w:rsidP="0066337D">
      <w:pPr>
        <w:pStyle w:val="Heading3"/>
        <w:rPr>
          <w:rFonts w:ascii="Times New Roman" w:hAnsi="Times New Roman" w:cs="Times New Roman"/>
        </w:rPr>
      </w:pPr>
      <w:r w:rsidRPr="006D2720">
        <w:rPr>
          <w:rFonts w:ascii="Times New Roman" w:hAnsi="Times New Roman" w:cs="Times New Roman"/>
        </w:rPr>
        <w:t xml:space="preserve">At the </w:t>
      </w:r>
      <w:r w:rsidR="00FC4F03" w:rsidRPr="006D2720">
        <w:rPr>
          <w:rFonts w:ascii="Times New Roman" w:hAnsi="Times New Roman" w:cs="Times New Roman"/>
        </w:rPr>
        <w:t>s</w:t>
      </w:r>
      <w:r w:rsidR="00594C83" w:rsidRPr="006D2720">
        <w:rPr>
          <w:rFonts w:ascii="Times New Roman" w:hAnsi="Times New Roman" w:cs="Times New Roman"/>
        </w:rPr>
        <w:t xml:space="preserve">tate </w:t>
      </w:r>
      <w:r w:rsidR="00E97F00" w:rsidRPr="006D2720">
        <w:rPr>
          <w:rFonts w:ascii="Times New Roman" w:hAnsi="Times New Roman" w:cs="Times New Roman"/>
        </w:rPr>
        <w:t>and</w:t>
      </w:r>
      <w:r w:rsidRPr="006D2720">
        <w:rPr>
          <w:rFonts w:ascii="Times New Roman" w:hAnsi="Times New Roman" w:cs="Times New Roman"/>
        </w:rPr>
        <w:t xml:space="preserve"> </w:t>
      </w:r>
      <w:r w:rsidR="00FC4F03" w:rsidRPr="006D2720">
        <w:rPr>
          <w:rFonts w:ascii="Times New Roman" w:hAnsi="Times New Roman" w:cs="Times New Roman"/>
        </w:rPr>
        <w:t>t</w:t>
      </w:r>
      <w:r w:rsidR="00594C83" w:rsidRPr="006D2720">
        <w:rPr>
          <w:rFonts w:ascii="Times New Roman" w:hAnsi="Times New Roman" w:cs="Times New Roman"/>
        </w:rPr>
        <w:t xml:space="preserve">erritory </w:t>
      </w:r>
      <w:r w:rsidRPr="006D2720">
        <w:rPr>
          <w:rFonts w:ascii="Times New Roman" w:hAnsi="Times New Roman" w:cs="Times New Roman"/>
        </w:rPr>
        <w:t>level,</w:t>
      </w:r>
      <w:r w:rsidR="00D53C04" w:rsidRPr="006D2720">
        <w:rPr>
          <w:rFonts w:ascii="Times New Roman" w:hAnsi="Times New Roman" w:cs="Times New Roman"/>
        </w:rPr>
        <w:t xml:space="preserve"> </w:t>
      </w:r>
      <w:r w:rsidR="00C17865" w:rsidRPr="006D2720">
        <w:rPr>
          <w:rFonts w:ascii="Times New Roman" w:hAnsi="Times New Roman" w:cs="Times New Roman"/>
        </w:rPr>
        <w:t>all</w:t>
      </w:r>
      <w:r w:rsidRPr="006D2720">
        <w:rPr>
          <w:rFonts w:ascii="Times New Roman" w:hAnsi="Times New Roman" w:cs="Times New Roman"/>
        </w:rPr>
        <w:t xml:space="preserve"> jurisdiction</w:t>
      </w:r>
      <w:r w:rsidR="00C17865" w:rsidRPr="006D2720">
        <w:rPr>
          <w:rFonts w:ascii="Times New Roman" w:hAnsi="Times New Roman" w:cs="Times New Roman"/>
        </w:rPr>
        <w:t>s</w:t>
      </w:r>
      <w:r w:rsidRPr="006D2720">
        <w:rPr>
          <w:rFonts w:ascii="Times New Roman" w:hAnsi="Times New Roman" w:cs="Times New Roman"/>
        </w:rPr>
        <w:t xml:space="preserve"> </w:t>
      </w:r>
      <w:r w:rsidR="00D53C04" w:rsidRPr="006D2720">
        <w:rPr>
          <w:rFonts w:ascii="Times New Roman" w:hAnsi="Times New Roman" w:cs="Times New Roman"/>
        </w:rPr>
        <w:t xml:space="preserve">except Western Australia and South Australia </w:t>
      </w:r>
      <w:r w:rsidR="00C17865" w:rsidRPr="006D2720">
        <w:rPr>
          <w:rFonts w:ascii="Times New Roman" w:hAnsi="Times New Roman" w:cs="Times New Roman"/>
        </w:rPr>
        <w:t xml:space="preserve">have </w:t>
      </w:r>
      <w:r w:rsidR="00594C83" w:rsidRPr="006D2720">
        <w:rPr>
          <w:rFonts w:ascii="Times New Roman" w:hAnsi="Times New Roman" w:cs="Times New Roman"/>
        </w:rPr>
        <w:t xml:space="preserve">general legislation regulating how the public sector </w:t>
      </w:r>
      <w:r w:rsidR="004F6557" w:rsidRPr="006D2720">
        <w:rPr>
          <w:rFonts w:ascii="Times New Roman" w:hAnsi="Times New Roman" w:cs="Times New Roman"/>
        </w:rPr>
        <w:t xml:space="preserve">can </w:t>
      </w:r>
      <w:r w:rsidR="00594C83" w:rsidRPr="006D2720">
        <w:rPr>
          <w:rFonts w:ascii="Times New Roman" w:hAnsi="Times New Roman" w:cs="Times New Roman"/>
        </w:rPr>
        <w:t>handle</w:t>
      </w:r>
      <w:r w:rsidR="004F6557" w:rsidRPr="006D2720">
        <w:rPr>
          <w:rFonts w:ascii="Times New Roman" w:hAnsi="Times New Roman" w:cs="Times New Roman"/>
        </w:rPr>
        <w:t xml:space="preserve"> </w:t>
      </w:r>
      <w:r w:rsidR="00594C83" w:rsidRPr="006D2720">
        <w:rPr>
          <w:rFonts w:ascii="Times New Roman" w:hAnsi="Times New Roman" w:cs="Times New Roman"/>
        </w:rPr>
        <w:t>personal information</w:t>
      </w:r>
      <w:r w:rsidR="00C17865" w:rsidRPr="006D2720">
        <w:rPr>
          <w:rFonts w:ascii="Times New Roman" w:hAnsi="Times New Roman" w:cs="Times New Roman"/>
        </w:rPr>
        <w:t>.</w:t>
      </w:r>
      <w:r w:rsidR="00594C83" w:rsidRPr="006D2720">
        <w:rPr>
          <w:rFonts w:ascii="Times New Roman" w:hAnsi="Times New Roman" w:cs="Times New Roman"/>
        </w:rPr>
        <w:t xml:space="preserve"> </w:t>
      </w:r>
      <w:r w:rsidR="00D53C04" w:rsidRPr="006D2720">
        <w:rPr>
          <w:rFonts w:ascii="Times New Roman" w:hAnsi="Times New Roman" w:cs="Times New Roman"/>
        </w:rPr>
        <w:t xml:space="preserve">In </w:t>
      </w:r>
      <w:r w:rsidR="00BC00B1" w:rsidRPr="006D2720">
        <w:rPr>
          <w:rFonts w:ascii="Times New Roman" w:hAnsi="Times New Roman" w:cs="Times New Roman"/>
        </w:rPr>
        <w:t xml:space="preserve">the </w:t>
      </w:r>
      <w:r w:rsidR="00D53C04" w:rsidRPr="006D2720">
        <w:rPr>
          <w:rFonts w:ascii="Times New Roman" w:hAnsi="Times New Roman" w:cs="Times New Roman"/>
        </w:rPr>
        <w:t>s</w:t>
      </w:r>
      <w:r w:rsidR="00980828" w:rsidRPr="006D2720">
        <w:rPr>
          <w:rFonts w:ascii="Times New Roman" w:hAnsi="Times New Roman" w:cs="Times New Roman"/>
        </w:rPr>
        <w:t>tate</w:t>
      </w:r>
      <w:r w:rsidR="00D53C04" w:rsidRPr="006D2720">
        <w:rPr>
          <w:rFonts w:ascii="Times New Roman" w:hAnsi="Times New Roman" w:cs="Times New Roman"/>
        </w:rPr>
        <w:t>s</w:t>
      </w:r>
      <w:r w:rsidR="00980828" w:rsidRPr="006D2720">
        <w:rPr>
          <w:rFonts w:ascii="Times New Roman" w:hAnsi="Times New Roman" w:cs="Times New Roman"/>
        </w:rPr>
        <w:t xml:space="preserve"> and </w:t>
      </w:r>
      <w:r w:rsidR="00FC4F03" w:rsidRPr="006D2720">
        <w:rPr>
          <w:rFonts w:ascii="Times New Roman" w:hAnsi="Times New Roman" w:cs="Times New Roman"/>
        </w:rPr>
        <w:t>t</w:t>
      </w:r>
      <w:r w:rsidR="00980828" w:rsidRPr="006D2720">
        <w:rPr>
          <w:rFonts w:ascii="Times New Roman" w:hAnsi="Times New Roman" w:cs="Times New Roman"/>
        </w:rPr>
        <w:t>erritor</w:t>
      </w:r>
      <w:r w:rsidR="00D53C04" w:rsidRPr="006D2720">
        <w:rPr>
          <w:rFonts w:ascii="Times New Roman" w:hAnsi="Times New Roman" w:cs="Times New Roman"/>
        </w:rPr>
        <w:t xml:space="preserve">ies </w:t>
      </w:r>
      <w:r w:rsidR="001F7863" w:rsidRPr="006D2720">
        <w:rPr>
          <w:rFonts w:ascii="Times New Roman" w:hAnsi="Times New Roman" w:cs="Times New Roman"/>
        </w:rPr>
        <w:t xml:space="preserve">where such </w:t>
      </w:r>
      <w:r w:rsidR="00D53C04" w:rsidRPr="006D2720">
        <w:rPr>
          <w:rFonts w:ascii="Times New Roman" w:hAnsi="Times New Roman" w:cs="Times New Roman"/>
        </w:rPr>
        <w:t xml:space="preserve">general legislation exists, </w:t>
      </w:r>
      <w:r w:rsidR="001F7863" w:rsidRPr="006D2720">
        <w:rPr>
          <w:rFonts w:ascii="Times New Roman" w:hAnsi="Times New Roman" w:cs="Times New Roman"/>
        </w:rPr>
        <w:t xml:space="preserve">these </w:t>
      </w:r>
      <w:r w:rsidR="00C15AEF" w:rsidRPr="006D2720">
        <w:rPr>
          <w:rFonts w:ascii="Times New Roman" w:hAnsi="Times New Roman" w:cs="Times New Roman"/>
        </w:rPr>
        <w:t>laws</w:t>
      </w:r>
      <w:r w:rsidR="00AC68A3" w:rsidRPr="006D2720">
        <w:rPr>
          <w:rFonts w:ascii="Times New Roman" w:hAnsi="Times New Roman" w:cs="Times New Roman"/>
        </w:rPr>
        <w:t xml:space="preserve"> </w:t>
      </w:r>
      <w:r w:rsidR="00AB2C15" w:rsidRPr="006D2720">
        <w:rPr>
          <w:rFonts w:ascii="Times New Roman" w:hAnsi="Times New Roman" w:cs="Times New Roman"/>
        </w:rPr>
        <w:t xml:space="preserve">broadly </w:t>
      </w:r>
      <w:r w:rsidR="00AC68A3" w:rsidRPr="006D2720">
        <w:rPr>
          <w:rFonts w:ascii="Times New Roman" w:hAnsi="Times New Roman" w:cs="Times New Roman"/>
        </w:rPr>
        <w:t xml:space="preserve">provide </w:t>
      </w:r>
      <w:r w:rsidR="006E7F53" w:rsidRPr="006D2720">
        <w:rPr>
          <w:rFonts w:ascii="Times New Roman" w:hAnsi="Times New Roman" w:cs="Times New Roman"/>
        </w:rPr>
        <w:t>some variation o</w:t>
      </w:r>
      <w:r w:rsidR="001F7863" w:rsidRPr="006D2720">
        <w:rPr>
          <w:rFonts w:ascii="Times New Roman" w:hAnsi="Times New Roman" w:cs="Times New Roman"/>
        </w:rPr>
        <w:t>n</w:t>
      </w:r>
      <w:r w:rsidR="006E7F53" w:rsidRPr="006D2720">
        <w:rPr>
          <w:rFonts w:ascii="Times New Roman" w:hAnsi="Times New Roman" w:cs="Times New Roman"/>
        </w:rPr>
        <w:t xml:space="preserve"> the </w:t>
      </w:r>
      <w:r w:rsidR="00FC4F03" w:rsidRPr="006D2720">
        <w:rPr>
          <w:rFonts w:ascii="Times New Roman" w:hAnsi="Times New Roman" w:cs="Times New Roman"/>
        </w:rPr>
        <w:t xml:space="preserve">Commonwealth </w:t>
      </w:r>
      <w:r w:rsidR="006E7F53" w:rsidRPr="006D2720">
        <w:rPr>
          <w:rFonts w:ascii="Times New Roman" w:hAnsi="Times New Roman" w:cs="Times New Roman"/>
        </w:rPr>
        <w:t>APPs set out in the Privacy Act</w:t>
      </w:r>
      <w:r w:rsidR="00A641E3" w:rsidRPr="006D2720">
        <w:rPr>
          <w:rFonts w:ascii="Times New Roman" w:hAnsi="Times New Roman" w:cs="Times New Roman"/>
        </w:rPr>
        <w:t>. Further, s</w:t>
      </w:r>
      <w:r w:rsidR="00A0254F" w:rsidRPr="006D2720">
        <w:rPr>
          <w:rFonts w:ascii="Times New Roman" w:hAnsi="Times New Roman" w:cs="Times New Roman"/>
        </w:rPr>
        <w:t>imilar to the</w:t>
      </w:r>
      <w:r w:rsidR="0080375C" w:rsidRPr="006D2720">
        <w:rPr>
          <w:rFonts w:ascii="Times New Roman" w:hAnsi="Times New Roman" w:cs="Times New Roman"/>
        </w:rPr>
        <w:t xml:space="preserve"> federal </w:t>
      </w:r>
      <w:r w:rsidR="00A0254F" w:rsidRPr="006D2720">
        <w:rPr>
          <w:rFonts w:ascii="Times New Roman" w:hAnsi="Times New Roman" w:cs="Times New Roman"/>
        </w:rPr>
        <w:t>law</w:t>
      </w:r>
      <w:r w:rsidR="0080375C" w:rsidRPr="006D2720">
        <w:rPr>
          <w:rFonts w:ascii="Times New Roman" w:hAnsi="Times New Roman" w:cs="Times New Roman"/>
        </w:rPr>
        <w:t>, c</w:t>
      </w:r>
      <w:r w:rsidR="006E7F53" w:rsidRPr="006D2720">
        <w:rPr>
          <w:rFonts w:ascii="Times New Roman" w:hAnsi="Times New Roman" w:cs="Times New Roman"/>
        </w:rPr>
        <w:t xml:space="preserve">omplaints are </w:t>
      </w:r>
      <w:r w:rsidR="00AC68A3" w:rsidRPr="006D2720">
        <w:rPr>
          <w:rFonts w:ascii="Times New Roman" w:hAnsi="Times New Roman" w:cs="Times New Roman"/>
        </w:rPr>
        <w:t xml:space="preserve">investigated </w:t>
      </w:r>
      <w:r w:rsidR="006E7F53" w:rsidRPr="006D2720">
        <w:rPr>
          <w:rFonts w:ascii="Times New Roman" w:hAnsi="Times New Roman" w:cs="Times New Roman"/>
        </w:rPr>
        <w:t xml:space="preserve">by an independent body. </w:t>
      </w:r>
      <w:hyperlink w:anchor="_Appendix_1_1" w:history="1">
        <w:r w:rsidR="007E15D9" w:rsidRPr="006D2720">
          <w:rPr>
            <w:rStyle w:val="Hyperlink"/>
            <w:rFonts w:ascii="Times New Roman" w:hAnsi="Times New Roman" w:cs="Times New Roman"/>
          </w:rPr>
          <w:t>Appendix 1</w:t>
        </w:r>
      </w:hyperlink>
      <w:r w:rsidR="007E15D9" w:rsidRPr="006D2720">
        <w:rPr>
          <w:rFonts w:ascii="Times New Roman" w:hAnsi="Times New Roman" w:cs="Times New Roman"/>
        </w:rPr>
        <w:t xml:space="preserve"> p</w:t>
      </w:r>
      <w:r w:rsidR="00D7514E" w:rsidRPr="006D2720">
        <w:rPr>
          <w:rFonts w:ascii="Times New Roman" w:hAnsi="Times New Roman" w:cs="Times New Roman"/>
        </w:rPr>
        <w:t>rovides</w:t>
      </w:r>
      <w:r w:rsidR="00AC68A3" w:rsidRPr="006D2720">
        <w:rPr>
          <w:rFonts w:ascii="Times New Roman" w:hAnsi="Times New Roman" w:cs="Times New Roman"/>
        </w:rPr>
        <w:t xml:space="preserve"> a description of each </w:t>
      </w:r>
      <w:r w:rsidR="00FC4F03" w:rsidRPr="006D2720">
        <w:rPr>
          <w:rFonts w:ascii="Times New Roman" w:hAnsi="Times New Roman" w:cs="Times New Roman"/>
        </w:rPr>
        <w:t>s</w:t>
      </w:r>
      <w:r w:rsidR="00AC68A3" w:rsidRPr="006D2720">
        <w:rPr>
          <w:rFonts w:ascii="Times New Roman" w:hAnsi="Times New Roman" w:cs="Times New Roman"/>
        </w:rPr>
        <w:t xml:space="preserve">tate and </w:t>
      </w:r>
      <w:r w:rsidR="00FC4F03" w:rsidRPr="006D2720">
        <w:rPr>
          <w:rFonts w:ascii="Times New Roman" w:hAnsi="Times New Roman" w:cs="Times New Roman"/>
        </w:rPr>
        <w:t>t</w:t>
      </w:r>
      <w:r w:rsidR="00AC68A3" w:rsidRPr="006D2720">
        <w:rPr>
          <w:rFonts w:ascii="Times New Roman" w:hAnsi="Times New Roman" w:cs="Times New Roman"/>
        </w:rPr>
        <w:t>erritor</w:t>
      </w:r>
      <w:r w:rsidR="00B059B1" w:rsidRPr="006D2720">
        <w:rPr>
          <w:rFonts w:ascii="Times New Roman" w:hAnsi="Times New Roman" w:cs="Times New Roman"/>
        </w:rPr>
        <w:t>y’s</w:t>
      </w:r>
      <w:r w:rsidR="00AC68A3" w:rsidRPr="006D2720">
        <w:rPr>
          <w:rFonts w:ascii="Times New Roman" w:hAnsi="Times New Roman" w:cs="Times New Roman"/>
        </w:rPr>
        <w:t xml:space="preserve"> </w:t>
      </w:r>
      <w:r w:rsidR="00C96E94" w:rsidRPr="006D2720">
        <w:rPr>
          <w:rFonts w:ascii="Times New Roman" w:hAnsi="Times New Roman" w:cs="Times New Roman"/>
        </w:rPr>
        <w:t>framework</w:t>
      </w:r>
      <w:r w:rsidR="00AC68A3" w:rsidRPr="006D2720">
        <w:rPr>
          <w:rFonts w:ascii="Times New Roman" w:hAnsi="Times New Roman" w:cs="Times New Roman"/>
        </w:rPr>
        <w:t>.</w:t>
      </w:r>
      <w:r w:rsidR="00375E2F" w:rsidRPr="006D2720">
        <w:rPr>
          <w:rFonts w:ascii="Times New Roman" w:hAnsi="Times New Roman" w:cs="Times New Roman"/>
        </w:rPr>
        <w:t xml:space="preserve"> </w:t>
      </w:r>
      <w:r w:rsidR="00D53C04" w:rsidRPr="006D2720">
        <w:rPr>
          <w:rFonts w:ascii="Times New Roman" w:hAnsi="Times New Roman" w:cs="Times New Roman"/>
        </w:rPr>
        <w:t>Notably, i</w:t>
      </w:r>
      <w:r w:rsidR="00F52DAD" w:rsidRPr="006D2720">
        <w:rPr>
          <w:rFonts w:ascii="Times New Roman" w:hAnsi="Times New Roman" w:cs="Times New Roman"/>
        </w:rPr>
        <w:t xml:space="preserve">n </w:t>
      </w:r>
      <w:r w:rsidR="00375E2F" w:rsidRPr="006D2720">
        <w:rPr>
          <w:rFonts w:ascii="Times New Roman" w:hAnsi="Times New Roman" w:cs="Times New Roman"/>
        </w:rPr>
        <w:t>South Australia</w:t>
      </w:r>
      <w:r w:rsidR="001F7863" w:rsidRPr="006D2720">
        <w:rPr>
          <w:rFonts w:ascii="Times New Roman" w:hAnsi="Times New Roman" w:cs="Times New Roman"/>
        </w:rPr>
        <w:t>—</w:t>
      </w:r>
      <w:r w:rsidR="00814BDA" w:rsidRPr="006D2720">
        <w:rPr>
          <w:rFonts w:ascii="Times New Roman" w:hAnsi="Times New Roman" w:cs="Times New Roman"/>
        </w:rPr>
        <w:t xml:space="preserve">where there is no general </w:t>
      </w:r>
      <w:r w:rsidR="00FC4F03" w:rsidRPr="006D2720">
        <w:rPr>
          <w:rFonts w:ascii="Times New Roman" w:hAnsi="Times New Roman" w:cs="Times New Roman"/>
        </w:rPr>
        <w:t xml:space="preserve">privacy </w:t>
      </w:r>
      <w:r w:rsidR="00814BDA" w:rsidRPr="006D2720">
        <w:rPr>
          <w:rFonts w:ascii="Times New Roman" w:hAnsi="Times New Roman" w:cs="Times New Roman"/>
        </w:rPr>
        <w:t>legislation</w:t>
      </w:r>
      <w:r w:rsidR="001F7863" w:rsidRPr="006D2720">
        <w:rPr>
          <w:rFonts w:ascii="Times New Roman" w:hAnsi="Times New Roman" w:cs="Times New Roman"/>
        </w:rPr>
        <w:t>—</w:t>
      </w:r>
      <w:r w:rsidR="00375E2F" w:rsidRPr="006D2720">
        <w:rPr>
          <w:rFonts w:ascii="Times New Roman" w:hAnsi="Times New Roman" w:cs="Times New Roman"/>
        </w:rPr>
        <w:t xml:space="preserve">non-legislative administrative schemes </w:t>
      </w:r>
      <w:r w:rsidR="00BD2181" w:rsidRPr="006D2720">
        <w:rPr>
          <w:rFonts w:ascii="Times New Roman" w:hAnsi="Times New Roman" w:cs="Times New Roman"/>
        </w:rPr>
        <w:t>address</w:t>
      </w:r>
      <w:r w:rsidR="00F52DAD" w:rsidRPr="006D2720">
        <w:rPr>
          <w:rFonts w:ascii="Times New Roman" w:hAnsi="Times New Roman" w:cs="Times New Roman"/>
        </w:rPr>
        <w:t xml:space="preserve"> </w:t>
      </w:r>
      <w:r w:rsidR="00375E2F" w:rsidRPr="006D2720">
        <w:rPr>
          <w:rFonts w:ascii="Times New Roman" w:hAnsi="Times New Roman" w:cs="Times New Roman"/>
        </w:rPr>
        <w:t>complaints about the handling of personal information by the public sector.</w:t>
      </w:r>
    </w:p>
    <w:p w14:paraId="0E612FB8" w14:textId="033E4F13" w:rsidR="002E5142" w:rsidRPr="006D2720" w:rsidRDefault="00A250E4" w:rsidP="00CA1A69">
      <w:pPr>
        <w:pStyle w:val="Heading3"/>
        <w:rPr>
          <w:rFonts w:ascii="Times New Roman" w:hAnsi="Times New Roman" w:cs="Times New Roman"/>
        </w:rPr>
      </w:pPr>
      <w:r w:rsidRPr="006D2720">
        <w:rPr>
          <w:rFonts w:ascii="Times New Roman" w:hAnsi="Times New Roman" w:cs="Times New Roman"/>
        </w:rPr>
        <w:t>W</w:t>
      </w:r>
      <w:r w:rsidR="00056F3E" w:rsidRPr="006D2720">
        <w:rPr>
          <w:rFonts w:ascii="Times New Roman" w:hAnsi="Times New Roman" w:cs="Times New Roman"/>
        </w:rPr>
        <w:t xml:space="preserve">hile there are some similarities between </w:t>
      </w:r>
      <w:r w:rsidRPr="006D2720">
        <w:rPr>
          <w:rFonts w:ascii="Times New Roman" w:hAnsi="Times New Roman" w:cs="Times New Roman"/>
        </w:rPr>
        <w:t>separate</w:t>
      </w:r>
      <w:r w:rsidR="00056F3E" w:rsidRPr="006D2720">
        <w:rPr>
          <w:rFonts w:ascii="Times New Roman" w:hAnsi="Times New Roman" w:cs="Times New Roman"/>
        </w:rPr>
        <w:t xml:space="preserve"> state and territory</w:t>
      </w:r>
      <w:r w:rsidRPr="006D2720">
        <w:rPr>
          <w:rFonts w:ascii="Times New Roman" w:hAnsi="Times New Roman" w:cs="Times New Roman"/>
        </w:rPr>
        <w:t xml:space="preserve"> frameworks, consistency across privacy protections is a concern. Indeed, </w:t>
      </w:r>
      <w:r w:rsidR="002E5142" w:rsidRPr="006D2720">
        <w:rPr>
          <w:rFonts w:ascii="Times New Roman" w:hAnsi="Times New Roman" w:cs="Times New Roman"/>
        </w:rPr>
        <w:t>the ALRC</w:t>
      </w:r>
      <w:r w:rsidR="003C7951" w:rsidRPr="006D2720">
        <w:rPr>
          <w:rFonts w:ascii="Times New Roman" w:hAnsi="Times New Roman" w:cs="Times New Roman"/>
        </w:rPr>
        <w:t xml:space="preserve"> </w:t>
      </w:r>
      <w:r w:rsidR="005E0719" w:rsidRPr="006D2720">
        <w:rPr>
          <w:rFonts w:ascii="Times New Roman" w:hAnsi="Times New Roman" w:cs="Times New Roman"/>
        </w:rPr>
        <w:t xml:space="preserve">has </w:t>
      </w:r>
      <w:r w:rsidR="002E5142" w:rsidRPr="006D2720">
        <w:rPr>
          <w:rFonts w:ascii="Times New Roman" w:hAnsi="Times New Roman" w:cs="Times New Roman"/>
        </w:rPr>
        <w:t>discussed the importance of consistent privacy regulation:</w:t>
      </w:r>
    </w:p>
    <w:p w14:paraId="4170629C" w14:textId="5B9952C1" w:rsidR="002E5142" w:rsidRPr="006D2720" w:rsidRDefault="002E5142" w:rsidP="00CA1A69">
      <w:pPr>
        <w:pStyle w:val="Blockquote"/>
        <w:rPr>
          <w:rFonts w:ascii="Times New Roman" w:hAnsi="Times New Roman" w:cs="Times New Roman"/>
        </w:rPr>
      </w:pPr>
      <w:r w:rsidRPr="006D2720">
        <w:rPr>
          <w:rFonts w:ascii="Times New Roman" w:hAnsi="Times New Roman" w:cs="Times New Roman"/>
        </w:rPr>
        <w:t>Inconsistency and fragmentation in privacy regulation causes a number of problems, including unjustified compliance burden and cost, impediments to information sharing and national initiatives, and confusion about who to approach to make a privacy complaint. National consistency, therefore, should be one of the goals of privacy regulation.</w:t>
      </w:r>
      <w:r w:rsidR="001511D0" w:rsidRPr="006D2720">
        <w:rPr>
          <w:rStyle w:val="FootnoteReference"/>
          <w:rFonts w:ascii="Times New Roman" w:hAnsi="Times New Roman" w:cs="Times New Roman"/>
        </w:rPr>
        <w:footnoteReference w:id="20"/>
      </w:r>
    </w:p>
    <w:p w14:paraId="0F83E06E" w14:textId="59EDF3AC" w:rsidR="002E5142" w:rsidRPr="006D2720" w:rsidRDefault="003D5FAB" w:rsidP="00CA1A69">
      <w:pPr>
        <w:pStyle w:val="Heading3"/>
        <w:rPr>
          <w:rFonts w:ascii="Times New Roman" w:hAnsi="Times New Roman" w:cs="Times New Roman"/>
        </w:rPr>
      </w:pPr>
      <w:r w:rsidRPr="006D2720">
        <w:rPr>
          <w:rFonts w:ascii="Times New Roman" w:hAnsi="Times New Roman" w:cs="Times New Roman"/>
        </w:rPr>
        <w:t>To achieve consistency, t</w:t>
      </w:r>
      <w:r w:rsidR="002E5142" w:rsidRPr="006D2720">
        <w:rPr>
          <w:rFonts w:ascii="Times New Roman" w:hAnsi="Times New Roman" w:cs="Times New Roman"/>
        </w:rPr>
        <w:t xml:space="preserve">he ALRC recommended that the Commonwealth legislate exclusively with respect to the handling of personal information by non-government organisations, subject to some </w:t>
      </w:r>
      <w:r w:rsidR="00F57B1D" w:rsidRPr="006D2720">
        <w:rPr>
          <w:rFonts w:ascii="Times New Roman" w:hAnsi="Times New Roman" w:cs="Times New Roman"/>
        </w:rPr>
        <w:t xml:space="preserve">matters reserved to </w:t>
      </w:r>
      <w:r w:rsidR="00056F3E" w:rsidRPr="006D2720">
        <w:rPr>
          <w:rFonts w:ascii="Times New Roman" w:hAnsi="Times New Roman" w:cs="Times New Roman"/>
        </w:rPr>
        <w:t>s</w:t>
      </w:r>
      <w:r w:rsidR="00F57B1D" w:rsidRPr="006D2720">
        <w:rPr>
          <w:rFonts w:ascii="Times New Roman" w:hAnsi="Times New Roman" w:cs="Times New Roman"/>
        </w:rPr>
        <w:t>tates</w:t>
      </w:r>
      <w:r w:rsidR="00056F3E" w:rsidRPr="006D2720">
        <w:rPr>
          <w:rFonts w:ascii="Times New Roman" w:hAnsi="Times New Roman" w:cs="Times New Roman"/>
        </w:rPr>
        <w:t xml:space="preserve"> and territories</w:t>
      </w:r>
      <w:r w:rsidR="00745653" w:rsidRPr="006D2720">
        <w:rPr>
          <w:rFonts w:ascii="Times New Roman" w:hAnsi="Times New Roman" w:cs="Times New Roman"/>
        </w:rPr>
        <w:t xml:space="preserve">, </w:t>
      </w:r>
      <w:r w:rsidR="002E5142" w:rsidRPr="006D2720">
        <w:rPr>
          <w:rFonts w:ascii="Times New Roman" w:hAnsi="Times New Roman" w:cs="Times New Roman"/>
        </w:rPr>
        <w:t xml:space="preserve">including </w:t>
      </w:r>
      <w:r w:rsidR="00745653" w:rsidRPr="006D2720">
        <w:rPr>
          <w:rFonts w:ascii="Times New Roman" w:hAnsi="Times New Roman" w:cs="Times New Roman"/>
        </w:rPr>
        <w:t xml:space="preserve">matters </w:t>
      </w:r>
      <w:r w:rsidR="008B20AC" w:rsidRPr="006D2720">
        <w:rPr>
          <w:rFonts w:ascii="Times New Roman" w:hAnsi="Times New Roman" w:cs="Times New Roman"/>
        </w:rPr>
        <w:t xml:space="preserve">regarding </w:t>
      </w:r>
      <w:r w:rsidR="002E5142" w:rsidRPr="006D2720">
        <w:rPr>
          <w:rFonts w:ascii="Times New Roman" w:hAnsi="Times New Roman" w:cs="Times New Roman"/>
        </w:rPr>
        <w:t>public health.</w:t>
      </w:r>
      <w:r w:rsidR="002E5142" w:rsidRPr="006D2720">
        <w:rPr>
          <w:rStyle w:val="FootnoteReference"/>
          <w:rFonts w:ascii="Times New Roman" w:hAnsi="Times New Roman" w:cs="Times New Roman"/>
        </w:rPr>
        <w:footnoteReference w:id="21"/>
      </w:r>
      <w:r w:rsidR="002E5142" w:rsidRPr="006D2720">
        <w:rPr>
          <w:rFonts w:ascii="Times New Roman" w:hAnsi="Times New Roman" w:cs="Times New Roman"/>
        </w:rPr>
        <w:t xml:space="preserve"> State and </w:t>
      </w:r>
      <w:r w:rsidR="00056F3E" w:rsidRPr="006D2720">
        <w:rPr>
          <w:rFonts w:ascii="Times New Roman" w:hAnsi="Times New Roman" w:cs="Times New Roman"/>
        </w:rPr>
        <w:t>t</w:t>
      </w:r>
      <w:r w:rsidR="002E5142" w:rsidRPr="006D2720">
        <w:rPr>
          <w:rFonts w:ascii="Times New Roman" w:hAnsi="Times New Roman" w:cs="Times New Roman"/>
        </w:rPr>
        <w:t xml:space="preserve">erritory governments were encouraged to promote and maintain uniformity by agreeing to implement legislation </w:t>
      </w:r>
      <w:r w:rsidR="00063C0B" w:rsidRPr="006D2720">
        <w:rPr>
          <w:rFonts w:ascii="Times New Roman" w:hAnsi="Times New Roman" w:cs="Times New Roman"/>
        </w:rPr>
        <w:t>for</w:t>
      </w:r>
      <w:r w:rsidR="002E5142" w:rsidRPr="006D2720">
        <w:rPr>
          <w:rFonts w:ascii="Times New Roman" w:hAnsi="Times New Roman" w:cs="Times New Roman"/>
        </w:rPr>
        <w:t xml:space="preserve"> </w:t>
      </w:r>
      <w:r w:rsidR="00064C65" w:rsidRPr="006D2720">
        <w:rPr>
          <w:rFonts w:ascii="Times New Roman" w:hAnsi="Times New Roman" w:cs="Times New Roman"/>
        </w:rPr>
        <w:t xml:space="preserve">a set of </w:t>
      </w:r>
      <w:r w:rsidR="002E5142" w:rsidRPr="006D2720">
        <w:rPr>
          <w:rFonts w:ascii="Times New Roman" w:hAnsi="Times New Roman" w:cs="Times New Roman"/>
        </w:rPr>
        <w:t xml:space="preserve">common privacy principles </w:t>
      </w:r>
      <w:r w:rsidR="00FD718D" w:rsidRPr="006D2720">
        <w:rPr>
          <w:rFonts w:ascii="Times New Roman" w:hAnsi="Times New Roman" w:cs="Times New Roman"/>
        </w:rPr>
        <w:t xml:space="preserve">applicable </w:t>
      </w:r>
      <w:r w:rsidR="002E5142" w:rsidRPr="006D2720">
        <w:rPr>
          <w:rFonts w:ascii="Times New Roman" w:hAnsi="Times New Roman" w:cs="Times New Roman"/>
        </w:rPr>
        <w:t>to government agencies.</w:t>
      </w:r>
      <w:r w:rsidR="002E5142" w:rsidRPr="006D2720">
        <w:rPr>
          <w:rStyle w:val="FootnoteReference"/>
          <w:rFonts w:ascii="Times New Roman" w:hAnsi="Times New Roman" w:cs="Times New Roman"/>
        </w:rPr>
        <w:footnoteReference w:id="22"/>
      </w:r>
      <w:r w:rsidR="002E5142" w:rsidRPr="006D2720">
        <w:rPr>
          <w:rFonts w:ascii="Times New Roman" w:hAnsi="Times New Roman" w:cs="Times New Roman"/>
        </w:rPr>
        <w:t xml:space="preserve"> </w:t>
      </w:r>
    </w:p>
    <w:p w14:paraId="4B11D2B5" w14:textId="2B0EB923" w:rsidR="00693EAF" w:rsidRPr="006D2720" w:rsidRDefault="00A84868" w:rsidP="00CA1A69">
      <w:pPr>
        <w:pStyle w:val="Heading3"/>
        <w:rPr>
          <w:rFonts w:ascii="Times New Roman" w:hAnsi="Times New Roman" w:cs="Times New Roman"/>
        </w:rPr>
      </w:pPr>
      <w:r w:rsidRPr="006D2720">
        <w:rPr>
          <w:rFonts w:ascii="Times New Roman" w:hAnsi="Times New Roman" w:cs="Times New Roman"/>
        </w:rPr>
        <w:t xml:space="preserve">Consistency </w:t>
      </w:r>
      <w:r w:rsidR="00387540" w:rsidRPr="006D2720">
        <w:rPr>
          <w:rFonts w:ascii="Times New Roman" w:hAnsi="Times New Roman" w:cs="Times New Roman"/>
        </w:rPr>
        <w:t xml:space="preserve">has </w:t>
      </w:r>
      <w:r w:rsidRPr="006D2720">
        <w:rPr>
          <w:rFonts w:ascii="Times New Roman" w:hAnsi="Times New Roman" w:cs="Times New Roman"/>
        </w:rPr>
        <w:t xml:space="preserve">been similarly considered as an important goal for </w:t>
      </w:r>
      <w:r w:rsidR="00F669B4" w:rsidRPr="006D2720">
        <w:rPr>
          <w:rFonts w:ascii="Times New Roman" w:hAnsi="Times New Roman" w:cs="Times New Roman"/>
        </w:rPr>
        <w:t xml:space="preserve">law </w:t>
      </w:r>
      <w:r w:rsidRPr="006D2720">
        <w:rPr>
          <w:rFonts w:ascii="Times New Roman" w:hAnsi="Times New Roman" w:cs="Times New Roman"/>
        </w:rPr>
        <w:t xml:space="preserve">reform in reviews </w:t>
      </w:r>
      <w:r w:rsidR="00587591" w:rsidRPr="006D2720">
        <w:rPr>
          <w:rFonts w:ascii="Times New Roman" w:hAnsi="Times New Roman" w:cs="Times New Roman"/>
        </w:rPr>
        <w:t xml:space="preserve">of privacy legislation </w:t>
      </w:r>
      <w:r w:rsidRPr="006D2720">
        <w:rPr>
          <w:rFonts w:ascii="Times New Roman" w:hAnsi="Times New Roman" w:cs="Times New Roman"/>
        </w:rPr>
        <w:t xml:space="preserve">in </w:t>
      </w:r>
      <w:r w:rsidR="00587591" w:rsidRPr="006D2720">
        <w:rPr>
          <w:rFonts w:ascii="Times New Roman" w:hAnsi="Times New Roman" w:cs="Times New Roman"/>
        </w:rPr>
        <w:t>various</w:t>
      </w:r>
      <w:r w:rsidRPr="006D2720">
        <w:rPr>
          <w:rFonts w:ascii="Times New Roman" w:hAnsi="Times New Roman" w:cs="Times New Roman"/>
        </w:rPr>
        <w:t xml:space="preserve"> Australian jurisdictions</w:t>
      </w:r>
      <w:r w:rsidR="002E5142" w:rsidRPr="006D2720">
        <w:rPr>
          <w:rFonts w:ascii="Times New Roman" w:hAnsi="Times New Roman" w:cs="Times New Roman"/>
        </w:rPr>
        <w:t xml:space="preserve">. </w:t>
      </w:r>
      <w:r w:rsidR="001F7F1B" w:rsidRPr="006D2720">
        <w:rPr>
          <w:rFonts w:ascii="Times New Roman" w:hAnsi="Times New Roman" w:cs="Times New Roman"/>
        </w:rPr>
        <w:t xml:space="preserve">For example: </w:t>
      </w:r>
    </w:p>
    <w:p w14:paraId="313C1226" w14:textId="5C6E4983" w:rsidR="00693EAF" w:rsidRPr="006D2720" w:rsidRDefault="00F97428" w:rsidP="00693EAF">
      <w:pPr>
        <w:pStyle w:val="Dotpointlist"/>
        <w:rPr>
          <w:rFonts w:ascii="Times New Roman" w:hAnsi="Times New Roman" w:cs="Times New Roman"/>
        </w:rPr>
      </w:pPr>
      <w:r w:rsidRPr="006D2720">
        <w:rPr>
          <w:rFonts w:ascii="Times New Roman" w:hAnsi="Times New Roman" w:cs="Times New Roman"/>
        </w:rPr>
        <w:t>In New South Wales</w:t>
      </w:r>
      <w:r w:rsidR="00D07E69" w:rsidRPr="006D2720">
        <w:rPr>
          <w:rFonts w:ascii="Times New Roman" w:hAnsi="Times New Roman" w:cs="Times New Roman"/>
        </w:rPr>
        <w:t xml:space="preserve"> (‘NSW’)</w:t>
      </w:r>
      <w:r w:rsidRPr="006D2720">
        <w:rPr>
          <w:rFonts w:ascii="Times New Roman" w:hAnsi="Times New Roman" w:cs="Times New Roman"/>
        </w:rPr>
        <w:t xml:space="preserve">, </w:t>
      </w:r>
      <w:r w:rsidR="00594787" w:rsidRPr="006D2720">
        <w:rPr>
          <w:rFonts w:ascii="Times New Roman" w:hAnsi="Times New Roman" w:cs="Times New Roman"/>
        </w:rPr>
        <w:t xml:space="preserve">a </w:t>
      </w:r>
      <w:r w:rsidR="002E5142" w:rsidRPr="006D2720">
        <w:rPr>
          <w:rFonts w:ascii="Times New Roman" w:hAnsi="Times New Roman" w:cs="Times New Roman"/>
        </w:rPr>
        <w:t xml:space="preserve">2010 review of </w:t>
      </w:r>
      <w:r w:rsidRPr="006D2720">
        <w:rPr>
          <w:rFonts w:ascii="Times New Roman" w:hAnsi="Times New Roman" w:cs="Times New Roman"/>
        </w:rPr>
        <w:t xml:space="preserve">privacy </w:t>
      </w:r>
      <w:r w:rsidR="002E5142" w:rsidRPr="006D2720">
        <w:rPr>
          <w:rFonts w:ascii="Times New Roman" w:hAnsi="Times New Roman" w:cs="Times New Roman"/>
        </w:rPr>
        <w:t xml:space="preserve">protection recommended </w:t>
      </w:r>
      <w:r w:rsidR="00A84868" w:rsidRPr="006D2720">
        <w:rPr>
          <w:rFonts w:ascii="Times New Roman" w:hAnsi="Times New Roman" w:cs="Times New Roman"/>
        </w:rPr>
        <w:t xml:space="preserve">the </w:t>
      </w:r>
      <w:r w:rsidR="002E5142" w:rsidRPr="006D2720">
        <w:rPr>
          <w:rFonts w:ascii="Times New Roman" w:hAnsi="Times New Roman" w:cs="Times New Roman"/>
        </w:rPr>
        <w:t>adoption of uniform privacy principles across Australia</w:t>
      </w:r>
      <w:r w:rsidR="00A84868" w:rsidRPr="006D2720">
        <w:rPr>
          <w:rFonts w:ascii="Times New Roman" w:hAnsi="Times New Roman" w:cs="Times New Roman"/>
        </w:rPr>
        <w:t xml:space="preserve">. The review recommended that </w:t>
      </w:r>
      <w:r w:rsidR="00101FBC" w:rsidRPr="006D2720">
        <w:rPr>
          <w:rFonts w:ascii="Times New Roman" w:hAnsi="Times New Roman" w:cs="Times New Roman"/>
        </w:rPr>
        <w:t xml:space="preserve">national model privacy principles </w:t>
      </w:r>
      <w:r w:rsidR="00A84868" w:rsidRPr="006D2720">
        <w:rPr>
          <w:rFonts w:ascii="Times New Roman" w:hAnsi="Times New Roman" w:cs="Times New Roman"/>
        </w:rPr>
        <w:t xml:space="preserve">apply </w:t>
      </w:r>
      <w:r w:rsidR="002E5142" w:rsidRPr="006D2720">
        <w:rPr>
          <w:rFonts w:ascii="Times New Roman" w:hAnsi="Times New Roman" w:cs="Times New Roman"/>
        </w:rPr>
        <w:t>to private organisation</w:t>
      </w:r>
      <w:r w:rsidR="00BF14FB" w:rsidRPr="006D2720">
        <w:rPr>
          <w:rFonts w:ascii="Times New Roman" w:hAnsi="Times New Roman" w:cs="Times New Roman"/>
        </w:rPr>
        <w:t>s</w:t>
      </w:r>
      <w:r w:rsidR="00101FBC" w:rsidRPr="006D2720">
        <w:rPr>
          <w:rFonts w:ascii="Times New Roman" w:hAnsi="Times New Roman" w:cs="Times New Roman"/>
        </w:rPr>
        <w:t xml:space="preserve"> as third-party contractors</w:t>
      </w:r>
      <w:r w:rsidR="00CF79A1" w:rsidRPr="006D2720">
        <w:rPr>
          <w:rFonts w:ascii="Times New Roman" w:hAnsi="Times New Roman" w:cs="Times New Roman"/>
        </w:rPr>
        <w:t>,</w:t>
      </w:r>
      <w:r w:rsidR="002E5142" w:rsidRPr="006D2720">
        <w:rPr>
          <w:rFonts w:ascii="Times New Roman" w:hAnsi="Times New Roman" w:cs="Times New Roman"/>
        </w:rPr>
        <w:t xml:space="preserve"> and </w:t>
      </w:r>
      <w:r w:rsidR="00541C99" w:rsidRPr="006D2720">
        <w:rPr>
          <w:rFonts w:ascii="Times New Roman" w:hAnsi="Times New Roman" w:cs="Times New Roman"/>
        </w:rPr>
        <w:t xml:space="preserve">the </w:t>
      </w:r>
      <w:r w:rsidR="00614884" w:rsidRPr="006D2720">
        <w:rPr>
          <w:rFonts w:ascii="Times New Roman" w:hAnsi="Times New Roman" w:cs="Times New Roman"/>
        </w:rPr>
        <w:t>NSW</w:t>
      </w:r>
      <w:r w:rsidR="00A84868" w:rsidRPr="006D2720">
        <w:rPr>
          <w:rFonts w:ascii="Times New Roman" w:hAnsi="Times New Roman" w:cs="Times New Roman"/>
        </w:rPr>
        <w:t xml:space="preserve"> </w:t>
      </w:r>
      <w:r w:rsidR="002E5142" w:rsidRPr="006D2720">
        <w:rPr>
          <w:rFonts w:ascii="Times New Roman" w:hAnsi="Times New Roman" w:cs="Times New Roman"/>
        </w:rPr>
        <w:t xml:space="preserve">legislation </w:t>
      </w:r>
      <w:r w:rsidR="00541C99" w:rsidRPr="006D2720">
        <w:rPr>
          <w:rFonts w:ascii="Times New Roman" w:hAnsi="Times New Roman" w:cs="Times New Roman"/>
        </w:rPr>
        <w:t xml:space="preserve">be </w:t>
      </w:r>
      <w:r w:rsidR="002E5142" w:rsidRPr="006D2720">
        <w:rPr>
          <w:rFonts w:ascii="Times New Roman" w:hAnsi="Times New Roman" w:cs="Times New Roman"/>
        </w:rPr>
        <w:t>amended to apply the principles to public sector bodies.</w:t>
      </w:r>
      <w:r w:rsidR="002E5142" w:rsidRPr="006D2720">
        <w:rPr>
          <w:rStyle w:val="FootnoteReference"/>
          <w:rFonts w:ascii="Times New Roman" w:hAnsi="Times New Roman" w:cs="Times New Roman"/>
        </w:rPr>
        <w:footnoteReference w:id="23"/>
      </w:r>
      <w:r w:rsidR="002E5142" w:rsidRPr="006D2720">
        <w:rPr>
          <w:rFonts w:ascii="Times New Roman" w:hAnsi="Times New Roman" w:cs="Times New Roman"/>
        </w:rPr>
        <w:t xml:space="preserve"> </w:t>
      </w:r>
    </w:p>
    <w:p w14:paraId="6DEA242B" w14:textId="3C4E4752" w:rsidR="00693EAF" w:rsidRPr="006D2720" w:rsidRDefault="00693EAF" w:rsidP="00693EAF">
      <w:pPr>
        <w:pStyle w:val="Dotpointlist"/>
        <w:rPr>
          <w:rFonts w:ascii="Times New Roman" w:hAnsi="Times New Roman" w:cs="Times New Roman"/>
        </w:rPr>
      </w:pPr>
      <w:r w:rsidRPr="006D2720">
        <w:rPr>
          <w:rFonts w:ascii="Times New Roman" w:hAnsi="Times New Roman" w:cs="Times New Roman"/>
        </w:rPr>
        <w:t>In Western Australia, a 2019 discussion paper proposed using the APPs as the basis for establishing regulation for the collection and use of personal information.</w:t>
      </w:r>
      <w:r w:rsidRPr="006D2720">
        <w:rPr>
          <w:rStyle w:val="FootnoteReference"/>
          <w:rFonts w:ascii="Times New Roman" w:hAnsi="Times New Roman" w:cs="Times New Roman"/>
        </w:rPr>
        <w:footnoteReference w:id="24"/>
      </w:r>
    </w:p>
    <w:p w14:paraId="6AD8D840" w14:textId="04C2A71C" w:rsidR="00693EAF" w:rsidRPr="006D2720" w:rsidRDefault="00A409DE" w:rsidP="00693EAF">
      <w:pPr>
        <w:pStyle w:val="Dotpointlist"/>
        <w:rPr>
          <w:rFonts w:ascii="Times New Roman" w:hAnsi="Times New Roman" w:cs="Times New Roman"/>
        </w:rPr>
      </w:pPr>
      <w:r w:rsidRPr="006D2720">
        <w:rPr>
          <w:rFonts w:ascii="Times New Roman" w:hAnsi="Times New Roman" w:cs="Times New Roman"/>
        </w:rPr>
        <w:t>More recently, in</w:t>
      </w:r>
      <w:r w:rsidR="00A84868" w:rsidRPr="006D2720">
        <w:rPr>
          <w:rFonts w:ascii="Times New Roman" w:hAnsi="Times New Roman" w:cs="Times New Roman"/>
        </w:rPr>
        <w:t xml:space="preserve"> 2020, t</w:t>
      </w:r>
      <w:r w:rsidR="001833CC" w:rsidRPr="006D2720">
        <w:rPr>
          <w:rFonts w:ascii="Times New Roman" w:hAnsi="Times New Roman" w:cs="Times New Roman"/>
        </w:rPr>
        <w:t xml:space="preserve">he Queensland Crime and Corruption Commission recommended that the </w:t>
      </w:r>
      <w:r w:rsidR="001833CC" w:rsidRPr="006D2720">
        <w:rPr>
          <w:rFonts w:ascii="Times New Roman" w:hAnsi="Times New Roman" w:cs="Times New Roman"/>
          <w:i/>
          <w:iCs/>
        </w:rPr>
        <w:t>Information Privacy Act 2009</w:t>
      </w:r>
      <w:r w:rsidR="001833CC" w:rsidRPr="006D2720">
        <w:rPr>
          <w:rFonts w:ascii="Times New Roman" w:hAnsi="Times New Roman" w:cs="Times New Roman"/>
        </w:rPr>
        <w:t xml:space="preserve"> (Qld) be updated to reflect a common set of privacy principles based on the APPs.</w:t>
      </w:r>
      <w:r w:rsidR="001833CC" w:rsidRPr="006D2720">
        <w:rPr>
          <w:rStyle w:val="FootnoteReference"/>
          <w:rFonts w:ascii="Times New Roman" w:hAnsi="Times New Roman" w:cs="Times New Roman"/>
        </w:rPr>
        <w:footnoteReference w:id="25"/>
      </w:r>
      <w:r w:rsidR="007B3F48" w:rsidRPr="006D2720">
        <w:rPr>
          <w:rFonts w:ascii="Times New Roman" w:hAnsi="Times New Roman" w:cs="Times New Roman"/>
        </w:rPr>
        <w:t xml:space="preserve"> </w:t>
      </w:r>
    </w:p>
    <w:p w14:paraId="72B3E358" w14:textId="0E070022" w:rsidR="002E5142" w:rsidRPr="006D2720" w:rsidRDefault="004C36CC" w:rsidP="00CA1A69">
      <w:pPr>
        <w:pStyle w:val="Dotpointlist"/>
        <w:rPr>
          <w:rFonts w:ascii="Times New Roman" w:hAnsi="Times New Roman" w:cs="Times New Roman"/>
        </w:rPr>
      </w:pPr>
      <w:r w:rsidRPr="006D2720">
        <w:rPr>
          <w:rFonts w:ascii="Times New Roman" w:hAnsi="Times New Roman" w:cs="Times New Roman"/>
        </w:rPr>
        <w:t xml:space="preserve">The review of the </w:t>
      </w:r>
      <w:r w:rsidR="00675440" w:rsidRPr="006D2720">
        <w:rPr>
          <w:rFonts w:ascii="Times New Roman" w:hAnsi="Times New Roman" w:cs="Times New Roman"/>
        </w:rPr>
        <w:t>Commonwealth</w:t>
      </w:r>
      <w:r w:rsidR="002E5142" w:rsidRPr="006D2720">
        <w:rPr>
          <w:rFonts w:ascii="Times New Roman" w:hAnsi="Times New Roman" w:cs="Times New Roman"/>
        </w:rPr>
        <w:t xml:space="preserve"> Privacy Act </w:t>
      </w:r>
      <w:r w:rsidRPr="006D2720">
        <w:rPr>
          <w:rFonts w:ascii="Times New Roman" w:hAnsi="Times New Roman" w:cs="Times New Roman"/>
        </w:rPr>
        <w:t xml:space="preserve">has </w:t>
      </w:r>
      <w:r w:rsidR="00326FF2" w:rsidRPr="006D2720">
        <w:rPr>
          <w:rFonts w:ascii="Times New Roman" w:hAnsi="Times New Roman" w:cs="Times New Roman"/>
        </w:rPr>
        <w:t xml:space="preserve">also </w:t>
      </w:r>
      <w:r w:rsidR="00A1278F" w:rsidRPr="006D2720">
        <w:rPr>
          <w:rFonts w:ascii="Times New Roman" w:hAnsi="Times New Roman" w:cs="Times New Roman"/>
        </w:rPr>
        <w:t xml:space="preserve">emphasised </w:t>
      </w:r>
      <w:r w:rsidR="002E5142" w:rsidRPr="006D2720">
        <w:rPr>
          <w:rFonts w:ascii="Times New Roman" w:hAnsi="Times New Roman" w:cs="Times New Roman"/>
        </w:rPr>
        <w:t>the value of consistency.</w:t>
      </w:r>
      <w:bookmarkStart w:id="97" w:name="_Ref91746263"/>
      <w:r w:rsidR="002E5142" w:rsidRPr="006D2720">
        <w:rPr>
          <w:rStyle w:val="FootnoteReference"/>
          <w:rFonts w:ascii="Times New Roman" w:hAnsi="Times New Roman" w:cs="Times New Roman"/>
        </w:rPr>
        <w:footnoteReference w:id="26"/>
      </w:r>
      <w:bookmarkEnd w:id="97"/>
      <w:r w:rsidR="002E5142" w:rsidRPr="006D2720">
        <w:rPr>
          <w:rFonts w:ascii="Times New Roman" w:hAnsi="Times New Roman" w:cs="Times New Roman"/>
        </w:rPr>
        <w:t xml:space="preserve"> </w:t>
      </w:r>
      <w:r w:rsidR="001D67B9" w:rsidRPr="006D2720">
        <w:rPr>
          <w:rFonts w:ascii="Times New Roman" w:hAnsi="Times New Roman" w:cs="Times New Roman"/>
        </w:rPr>
        <w:t>In its submission to the review, t</w:t>
      </w:r>
      <w:r w:rsidR="002E5142" w:rsidRPr="006D2720">
        <w:rPr>
          <w:rFonts w:ascii="Times New Roman" w:hAnsi="Times New Roman" w:cs="Times New Roman"/>
        </w:rPr>
        <w:t>he Office of the Australian Information Commissioner</w:t>
      </w:r>
      <w:r w:rsidR="001D67B9" w:rsidRPr="006D2720">
        <w:rPr>
          <w:rFonts w:ascii="Times New Roman" w:hAnsi="Times New Roman" w:cs="Times New Roman"/>
        </w:rPr>
        <w:t xml:space="preserve"> </w:t>
      </w:r>
      <w:r w:rsidR="00920465" w:rsidRPr="006D2720">
        <w:rPr>
          <w:rFonts w:ascii="Times New Roman" w:hAnsi="Times New Roman" w:cs="Times New Roman"/>
        </w:rPr>
        <w:t xml:space="preserve">(‘OAIC’) </w:t>
      </w:r>
      <w:r w:rsidR="002E5142" w:rsidRPr="006D2720">
        <w:rPr>
          <w:rFonts w:ascii="Times New Roman" w:hAnsi="Times New Roman" w:cs="Times New Roman"/>
        </w:rPr>
        <w:t xml:space="preserve">recommended </w:t>
      </w:r>
      <w:r w:rsidR="001508BB" w:rsidRPr="006D2720">
        <w:rPr>
          <w:rFonts w:ascii="Times New Roman" w:hAnsi="Times New Roman" w:cs="Times New Roman"/>
        </w:rPr>
        <w:t xml:space="preserve">that harmonisation should be a key goal when designing </w:t>
      </w:r>
      <w:r w:rsidR="002E5142" w:rsidRPr="006D2720">
        <w:rPr>
          <w:rFonts w:ascii="Times New Roman" w:hAnsi="Times New Roman" w:cs="Times New Roman"/>
        </w:rPr>
        <w:t>any laws that purport to address privacy issues</w:t>
      </w:r>
      <w:r w:rsidR="00DD1B8E" w:rsidRPr="006D2720">
        <w:rPr>
          <w:rFonts w:ascii="Times New Roman" w:hAnsi="Times New Roman" w:cs="Times New Roman"/>
        </w:rPr>
        <w:t>.</w:t>
      </w:r>
      <w:r w:rsidR="00857B50" w:rsidRPr="006D2720">
        <w:rPr>
          <w:rFonts w:ascii="Times New Roman" w:hAnsi="Times New Roman" w:cs="Times New Roman"/>
        </w:rPr>
        <w:t xml:space="preserve"> </w:t>
      </w:r>
      <w:r w:rsidR="002422C0" w:rsidRPr="006D2720">
        <w:rPr>
          <w:rFonts w:ascii="Times New Roman" w:hAnsi="Times New Roman" w:cs="Times New Roman"/>
        </w:rPr>
        <w:t xml:space="preserve">The </w:t>
      </w:r>
      <w:r w:rsidR="00146C85" w:rsidRPr="006D2720">
        <w:rPr>
          <w:rFonts w:ascii="Times New Roman" w:hAnsi="Times New Roman" w:cs="Times New Roman"/>
        </w:rPr>
        <w:t xml:space="preserve">OAIC </w:t>
      </w:r>
      <w:r w:rsidR="00FB12CC" w:rsidRPr="006D2720">
        <w:rPr>
          <w:rFonts w:ascii="Times New Roman" w:hAnsi="Times New Roman" w:cs="Times New Roman"/>
        </w:rPr>
        <w:t xml:space="preserve">suggested that privacy protections in </w:t>
      </w:r>
      <w:r w:rsidR="00884B3A" w:rsidRPr="006D2720">
        <w:rPr>
          <w:rFonts w:ascii="Times New Roman" w:hAnsi="Times New Roman" w:cs="Times New Roman"/>
        </w:rPr>
        <w:t xml:space="preserve">any such federal, </w:t>
      </w:r>
      <w:r w:rsidR="00056F3E" w:rsidRPr="006D2720">
        <w:rPr>
          <w:rFonts w:ascii="Times New Roman" w:hAnsi="Times New Roman" w:cs="Times New Roman"/>
        </w:rPr>
        <w:t>s</w:t>
      </w:r>
      <w:r w:rsidR="00884B3A" w:rsidRPr="006D2720">
        <w:rPr>
          <w:rFonts w:ascii="Times New Roman" w:hAnsi="Times New Roman" w:cs="Times New Roman"/>
        </w:rPr>
        <w:t xml:space="preserve">tate, or </w:t>
      </w:r>
      <w:r w:rsidR="00056F3E" w:rsidRPr="006D2720">
        <w:rPr>
          <w:rFonts w:ascii="Times New Roman" w:hAnsi="Times New Roman" w:cs="Times New Roman"/>
        </w:rPr>
        <w:t>t</w:t>
      </w:r>
      <w:r w:rsidR="00884B3A" w:rsidRPr="006D2720">
        <w:rPr>
          <w:rFonts w:ascii="Times New Roman" w:hAnsi="Times New Roman" w:cs="Times New Roman"/>
        </w:rPr>
        <w:t xml:space="preserve">erritory </w:t>
      </w:r>
      <w:r w:rsidR="00FB12CC" w:rsidRPr="006D2720">
        <w:rPr>
          <w:rFonts w:ascii="Times New Roman" w:hAnsi="Times New Roman" w:cs="Times New Roman"/>
        </w:rPr>
        <w:t xml:space="preserve">laws be </w:t>
      </w:r>
      <w:r w:rsidR="002E5142" w:rsidRPr="006D2720">
        <w:rPr>
          <w:rFonts w:ascii="Times New Roman" w:hAnsi="Times New Roman" w:cs="Times New Roman"/>
        </w:rPr>
        <w:t xml:space="preserve">commensurate with those under the </w:t>
      </w:r>
      <w:r w:rsidR="00FB12CC" w:rsidRPr="006D2720">
        <w:rPr>
          <w:rFonts w:ascii="Times New Roman" w:hAnsi="Times New Roman" w:cs="Times New Roman"/>
        </w:rPr>
        <w:t>Privacy Act</w:t>
      </w:r>
      <w:r w:rsidR="002E5142" w:rsidRPr="006D2720">
        <w:rPr>
          <w:rFonts w:ascii="Times New Roman" w:hAnsi="Times New Roman" w:cs="Times New Roman"/>
        </w:rPr>
        <w:t>.</w:t>
      </w:r>
      <w:bookmarkStart w:id="98" w:name="_Ref85809175"/>
      <w:r w:rsidR="002E5142" w:rsidRPr="006D2720">
        <w:rPr>
          <w:rStyle w:val="FootnoteReference"/>
          <w:rFonts w:ascii="Times New Roman" w:hAnsi="Times New Roman" w:cs="Times New Roman"/>
        </w:rPr>
        <w:footnoteReference w:id="27"/>
      </w:r>
      <w:bookmarkEnd w:id="98"/>
    </w:p>
    <w:p w14:paraId="5B628008" w14:textId="3D9CCE27" w:rsidR="00C0687E" w:rsidRPr="006D2720" w:rsidRDefault="00C0687E" w:rsidP="00CA1A69">
      <w:pPr>
        <w:pStyle w:val="Heading3"/>
        <w:rPr>
          <w:rFonts w:ascii="Times New Roman" w:hAnsi="Times New Roman" w:cs="Times New Roman"/>
        </w:rPr>
      </w:pPr>
      <w:r w:rsidRPr="006D2720">
        <w:rPr>
          <w:rFonts w:ascii="Times New Roman" w:hAnsi="Times New Roman" w:cs="Times New Roman"/>
        </w:rPr>
        <w:t>Given th</w:t>
      </w:r>
      <w:r w:rsidR="00E352BD" w:rsidRPr="006D2720">
        <w:rPr>
          <w:rFonts w:ascii="Times New Roman" w:hAnsi="Times New Roman" w:cs="Times New Roman"/>
        </w:rPr>
        <w:t xml:space="preserve">e emphasis on </w:t>
      </w:r>
      <w:r w:rsidRPr="006D2720">
        <w:rPr>
          <w:rFonts w:ascii="Times New Roman" w:hAnsi="Times New Roman" w:cs="Times New Roman"/>
        </w:rPr>
        <w:t xml:space="preserve">consistency in privacy regulation, this </w:t>
      </w:r>
      <w:r w:rsidR="003055FC" w:rsidRPr="006D2720">
        <w:rPr>
          <w:rFonts w:ascii="Times New Roman" w:hAnsi="Times New Roman" w:cs="Times New Roman"/>
        </w:rPr>
        <w:t>I</w:t>
      </w:r>
      <w:r w:rsidRPr="006D2720">
        <w:rPr>
          <w:rFonts w:ascii="Times New Roman" w:hAnsi="Times New Roman" w:cs="Times New Roman"/>
        </w:rPr>
        <w:t xml:space="preserve">ssues </w:t>
      </w:r>
      <w:r w:rsidR="003055FC" w:rsidRPr="006D2720">
        <w:rPr>
          <w:rFonts w:ascii="Times New Roman" w:hAnsi="Times New Roman" w:cs="Times New Roman"/>
        </w:rPr>
        <w:t>P</w:t>
      </w:r>
      <w:r w:rsidRPr="006D2720">
        <w:rPr>
          <w:rFonts w:ascii="Times New Roman" w:hAnsi="Times New Roman" w:cs="Times New Roman"/>
        </w:rPr>
        <w:t xml:space="preserve">aper </w:t>
      </w:r>
      <w:r w:rsidR="00546876" w:rsidRPr="006D2720">
        <w:rPr>
          <w:rFonts w:ascii="Times New Roman" w:hAnsi="Times New Roman" w:cs="Times New Roman"/>
        </w:rPr>
        <w:t xml:space="preserve">takes a comparative approach to potential reform </w:t>
      </w:r>
      <w:r w:rsidR="00CD3249" w:rsidRPr="006D2720">
        <w:rPr>
          <w:rFonts w:ascii="Times New Roman" w:hAnsi="Times New Roman" w:cs="Times New Roman"/>
        </w:rPr>
        <w:t>of Tasmania’s laws</w:t>
      </w:r>
      <w:r w:rsidR="00546876" w:rsidRPr="006D2720">
        <w:rPr>
          <w:rFonts w:ascii="Times New Roman" w:hAnsi="Times New Roman" w:cs="Times New Roman"/>
        </w:rPr>
        <w:t xml:space="preserve">. Comparisons will be drawn between Tasmanian legislation and legislation </w:t>
      </w:r>
      <w:r w:rsidRPr="006D2720">
        <w:rPr>
          <w:rFonts w:ascii="Times New Roman" w:hAnsi="Times New Roman" w:cs="Times New Roman"/>
        </w:rPr>
        <w:t xml:space="preserve">in other Australian jurisdictions, with a focus on the </w:t>
      </w:r>
      <w:r w:rsidR="00E22EE8" w:rsidRPr="006D2720">
        <w:rPr>
          <w:rFonts w:ascii="Times New Roman" w:hAnsi="Times New Roman" w:cs="Times New Roman"/>
        </w:rPr>
        <w:t xml:space="preserve">Commonwealth </w:t>
      </w:r>
      <w:r w:rsidR="00182DEE" w:rsidRPr="006D2720">
        <w:rPr>
          <w:rFonts w:ascii="Times New Roman" w:hAnsi="Times New Roman" w:cs="Times New Roman"/>
        </w:rPr>
        <w:t>APPs</w:t>
      </w:r>
      <w:r w:rsidRPr="006D2720">
        <w:rPr>
          <w:rFonts w:ascii="Times New Roman" w:hAnsi="Times New Roman" w:cs="Times New Roman"/>
        </w:rPr>
        <w:t>.</w:t>
      </w:r>
      <w:r w:rsidR="00B01A12" w:rsidRPr="006D2720">
        <w:rPr>
          <w:rFonts w:ascii="Times New Roman" w:hAnsi="Times New Roman" w:cs="Times New Roman"/>
        </w:rPr>
        <w:t xml:space="preserve"> Where relevant, lessons will also be taken from international frameworks.</w:t>
      </w:r>
    </w:p>
    <w:p w14:paraId="0F0AD10E" w14:textId="447E8D68" w:rsidR="009B5CBE" w:rsidRPr="006D2720" w:rsidRDefault="00BD2A9E" w:rsidP="009B5CBE">
      <w:pPr>
        <w:pStyle w:val="Heading2"/>
        <w:rPr>
          <w:rFonts w:ascii="Times New Roman" w:hAnsi="Times New Roman" w:cs="Times New Roman"/>
        </w:rPr>
      </w:pPr>
      <w:bookmarkStart w:id="99" w:name="_Reviews_of_Australian"/>
      <w:bookmarkStart w:id="100" w:name="_Toc91831990"/>
      <w:bookmarkStart w:id="101" w:name="_Toc130540424"/>
      <w:bookmarkEnd w:id="99"/>
      <w:r w:rsidRPr="006D2720">
        <w:rPr>
          <w:rFonts w:ascii="Times New Roman" w:hAnsi="Times New Roman" w:cs="Times New Roman"/>
        </w:rPr>
        <w:t>Reviews of Australian p</w:t>
      </w:r>
      <w:r w:rsidR="009B5CBE" w:rsidRPr="006D2720">
        <w:rPr>
          <w:rFonts w:ascii="Times New Roman" w:hAnsi="Times New Roman" w:cs="Times New Roman"/>
        </w:rPr>
        <w:t xml:space="preserve">rivacy </w:t>
      </w:r>
      <w:r w:rsidRPr="006D2720">
        <w:rPr>
          <w:rFonts w:ascii="Times New Roman" w:hAnsi="Times New Roman" w:cs="Times New Roman"/>
        </w:rPr>
        <w:t>regulation</w:t>
      </w:r>
      <w:bookmarkEnd w:id="100"/>
      <w:bookmarkEnd w:id="101"/>
    </w:p>
    <w:p w14:paraId="2D02CE05" w14:textId="146E49E5" w:rsidR="009B5CBE" w:rsidRPr="006D2720" w:rsidRDefault="00E92317" w:rsidP="0066337D">
      <w:pPr>
        <w:pStyle w:val="Heading3"/>
        <w:rPr>
          <w:rFonts w:ascii="Times New Roman" w:hAnsi="Times New Roman" w:cs="Times New Roman"/>
        </w:rPr>
      </w:pPr>
      <w:r w:rsidRPr="006D2720">
        <w:rPr>
          <w:rFonts w:ascii="Times New Roman" w:hAnsi="Times New Roman" w:cs="Times New Roman"/>
        </w:rPr>
        <w:t xml:space="preserve">A number of </w:t>
      </w:r>
      <w:r w:rsidR="009B5CBE" w:rsidRPr="006D2720">
        <w:rPr>
          <w:rFonts w:ascii="Times New Roman" w:hAnsi="Times New Roman" w:cs="Times New Roman"/>
        </w:rPr>
        <w:t xml:space="preserve">law reform projects in Australian jurisdictions </w:t>
      </w:r>
      <w:r w:rsidR="00DD3164" w:rsidRPr="006D2720">
        <w:rPr>
          <w:rFonts w:ascii="Times New Roman" w:hAnsi="Times New Roman" w:cs="Times New Roman"/>
        </w:rPr>
        <w:t xml:space="preserve">have explored </w:t>
      </w:r>
      <w:r w:rsidR="009B5CBE" w:rsidRPr="006D2720">
        <w:rPr>
          <w:rFonts w:ascii="Times New Roman" w:hAnsi="Times New Roman" w:cs="Times New Roman"/>
        </w:rPr>
        <w:t xml:space="preserve">the value of privacy </w:t>
      </w:r>
      <w:r w:rsidR="00AB2C15" w:rsidRPr="006D2720">
        <w:rPr>
          <w:rFonts w:ascii="Times New Roman" w:hAnsi="Times New Roman" w:cs="Times New Roman"/>
        </w:rPr>
        <w:t xml:space="preserve">laws, </w:t>
      </w:r>
      <w:r w:rsidR="009B5CBE" w:rsidRPr="006D2720">
        <w:rPr>
          <w:rFonts w:ascii="Times New Roman" w:hAnsi="Times New Roman" w:cs="Times New Roman"/>
        </w:rPr>
        <w:t xml:space="preserve">and the extent to which </w:t>
      </w:r>
      <w:r w:rsidR="00AB2C15" w:rsidRPr="006D2720">
        <w:rPr>
          <w:rFonts w:ascii="Times New Roman" w:hAnsi="Times New Roman" w:cs="Times New Roman"/>
        </w:rPr>
        <w:t>they</w:t>
      </w:r>
      <w:r w:rsidR="009B5CBE" w:rsidRPr="006D2720">
        <w:rPr>
          <w:rFonts w:ascii="Times New Roman" w:hAnsi="Times New Roman" w:cs="Times New Roman"/>
        </w:rPr>
        <w:t xml:space="preserve"> </w:t>
      </w:r>
      <w:r w:rsidR="00DD3164" w:rsidRPr="006D2720">
        <w:rPr>
          <w:rFonts w:ascii="Times New Roman" w:hAnsi="Times New Roman" w:cs="Times New Roman"/>
        </w:rPr>
        <w:t>protect</w:t>
      </w:r>
      <w:r w:rsidR="009B5CBE" w:rsidRPr="006D2720">
        <w:rPr>
          <w:rFonts w:ascii="Times New Roman" w:hAnsi="Times New Roman" w:cs="Times New Roman"/>
        </w:rPr>
        <w:t xml:space="preserve"> privacy. </w:t>
      </w:r>
      <w:r w:rsidR="00080044" w:rsidRPr="006D2720">
        <w:rPr>
          <w:rFonts w:ascii="Times New Roman" w:hAnsi="Times New Roman" w:cs="Times New Roman"/>
        </w:rPr>
        <w:t xml:space="preserve">These reviews </w:t>
      </w:r>
      <w:r w:rsidR="009B5CBE" w:rsidRPr="006D2720">
        <w:rPr>
          <w:rFonts w:ascii="Times New Roman" w:hAnsi="Times New Roman" w:cs="Times New Roman"/>
        </w:rPr>
        <w:t>are set out in</w:t>
      </w:r>
      <w:r w:rsidR="004D00D6" w:rsidRPr="006D2720">
        <w:rPr>
          <w:rFonts w:ascii="Times New Roman" w:hAnsi="Times New Roman" w:cs="Times New Roman"/>
        </w:rPr>
        <w:t xml:space="preserve"> </w:t>
      </w:r>
      <w:hyperlink w:anchor="_Appendix_1" w:history="1">
        <w:r w:rsidR="004D00D6" w:rsidRPr="006D2720">
          <w:rPr>
            <w:rStyle w:val="Hyperlink"/>
            <w:rFonts w:ascii="Times New Roman" w:hAnsi="Times New Roman" w:cs="Times New Roman"/>
          </w:rPr>
          <w:t>Appendix 2</w:t>
        </w:r>
      </w:hyperlink>
      <w:r w:rsidR="00F550E6" w:rsidRPr="006D2720">
        <w:rPr>
          <w:rFonts w:ascii="Times New Roman" w:hAnsi="Times New Roman" w:cs="Times New Roman"/>
        </w:rPr>
        <w:t xml:space="preserve">. </w:t>
      </w:r>
    </w:p>
    <w:p w14:paraId="2955BCDE" w14:textId="0A1EECF1" w:rsidR="00C43028" w:rsidRPr="006D2720" w:rsidRDefault="000969A6" w:rsidP="00BE32CE">
      <w:pPr>
        <w:pStyle w:val="Heading3"/>
        <w:rPr>
          <w:rFonts w:ascii="Times New Roman" w:hAnsi="Times New Roman" w:cs="Times New Roman"/>
        </w:rPr>
      </w:pPr>
      <w:r w:rsidRPr="006D2720">
        <w:rPr>
          <w:rFonts w:ascii="Times New Roman" w:hAnsi="Times New Roman" w:cs="Times New Roman"/>
        </w:rPr>
        <w:t>In October 2020, t</w:t>
      </w:r>
      <w:r w:rsidR="00E15401" w:rsidRPr="006D2720">
        <w:rPr>
          <w:rFonts w:ascii="Times New Roman" w:hAnsi="Times New Roman" w:cs="Times New Roman"/>
        </w:rPr>
        <w:t xml:space="preserve">he </w:t>
      </w:r>
      <w:r w:rsidR="009B5CBE" w:rsidRPr="006D2720">
        <w:rPr>
          <w:rFonts w:ascii="Times New Roman" w:hAnsi="Times New Roman" w:cs="Times New Roman"/>
        </w:rPr>
        <w:t xml:space="preserve">Commonwealth </w:t>
      </w:r>
      <w:r w:rsidR="00792F85" w:rsidRPr="006D2720">
        <w:rPr>
          <w:rFonts w:ascii="Times New Roman" w:hAnsi="Times New Roman" w:cs="Times New Roman"/>
        </w:rPr>
        <w:t xml:space="preserve">Attorney-General’s Department </w:t>
      </w:r>
      <w:r w:rsidR="00E15401" w:rsidRPr="006D2720">
        <w:rPr>
          <w:rFonts w:ascii="Times New Roman" w:hAnsi="Times New Roman" w:cs="Times New Roman"/>
        </w:rPr>
        <w:t xml:space="preserve">commenced a review of the </w:t>
      </w:r>
      <w:r w:rsidR="009B5CBE" w:rsidRPr="006D2720">
        <w:rPr>
          <w:rFonts w:ascii="Times New Roman" w:hAnsi="Times New Roman" w:cs="Times New Roman"/>
        </w:rPr>
        <w:t>Privacy Act.</w:t>
      </w:r>
      <w:r w:rsidR="00E15401" w:rsidRPr="006D2720">
        <w:rPr>
          <w:rStyle w:val="FootnoteReference"/>
          <w:rFonts w:ascii="Times New Roman" w:hAnsi="Times New Roman" w:cs="Times New Roman"/>
        </w:rPr>
        <w:footnoteReference w:id="28"/>
      </w:r>
      <w:r w:rsidR="009B5CBE" w:rsidRPr="006D2720">
        <w:rPr>
          <w:rFonts w:ascii="Times New Roman" w:hAnsi="Times New Roman" w:cs="Times New Roman"/>
        </w:rPr>
        <w:t xml:space="preserve"> Th</w:t>
      </w:r>
      <w:r w:rsidR="00413629" w:rsidRPr="006D2720">
        <w:rPr>
          <w:rFonts w:ascii="Times New Roman" w:hAnsi="Times New Roman" w:cs="Times New Roman"/>
        </w:rPr>
        <w:t>e</w:t>
      </w:r>
      <w:r w:rsidR="009B5CBE" w:rsidRPr="006D2720">
        <w:rPr>
          <w:rFonts w:ascii="Times New Roman" w:hAnsi="Times New Roman" w:cs="Times New Roman"/>
        </w:rPr>
        <w:t xml:space="preserve"> review </w:t>
      </w:r>
      <w:r w:rsidR="00413629" w:rsidRPr="006D2720">
        <w:rPr>
          <w:rFonts w:ascii="Times New Roman" w:hAnsi="Times New Roman" w:cs="Times New Roman"/>
        </w:rPr>
        <w:t>covers</w:t>
      </w:r>
      <w:r w:rsidR="00C7752D" w:rsidRPr="006D2720">
        <w:rPr>
          <w:rFonts w:ascii="Times New Roman" w:hAnsi="Times New Roman" w:cs="Times New Roman"/>
        </w:rPr>
        <w:t xml:space="preserve"> </w:t>
      </w:r>
      <w:r w:rsidR="009B5CBE" w:rsidRPr="006D2720">
        <w:rPr>
          <w:rFonts w:ascii="Times New Roman" w:hAnsi="Times New Roman" w:cs="Times New Roman"/>
        </w:rPr>
        <w:t>the scope and application of the Privacy Act and its protection of personal information</w:t>
      </w:r>
      <w:r w:rsidR="00CF79A1" w:rsidRPr="006D2720">
        <w:rPr>
          <w:rFonts w:ascii="Times New Roman" w:hAnsi="Times New Roman" w:cs="Times New Roman"/>
        </w:rPr>
        <w:t>,</w:t>
      </w:r>
      <w:r w:rsidR="009B5CBE" w:rsidRPr="006D2720">
        <w:rPr>
          <w:rFonts w:ascii="Times New Roman" w:hAnsi="Times New Roman" w:cs="Times New Roman"/>
        </w:rPr>
        <w:t xml:space="preserve"> powers and practices under that Act</w:t>
      </w:r>
      <w:r w:rsidR="00340A1F" w:rsidRPr="006D2720">
        <w:rPr>
          <w:rFonts w:ascii="Times New Roman" w:hAnsi="Times New Roman" w:cs="Times New Roman"/>
        </w:rPr>
        <w:t xml:space="preserve"> for monitoring and enforcement</w:t>
      </w:r>
      <w:r w:rsidR="00CF79A1" w:rsidRPr="006D2720">
        <w:rPr>
          <w:rFonts w:ascii="Times New Roman" w:hAnsi="Times New Roman" w:cs="Times New Roman"/>
        </w:rPr>
        <w:t>,</w:t>
      </w:r>
      <w:r w:rsidR="009B5CBE" w:rsidRPr="006D2720">
        <w:rPr>
          <w:rFonts w:ascii="Times New Roman" w:hAnsi="Times New Roman" w:cs="Times New Roman"/>
        </w:rPr>
        <w:t xml:space="preserve"> and whether there should be a separate Commonwealth statutory civil remedy for interference with privacy. </w:t>
      </w:r>
    </w:p>
    <w:p w14:paraId="5FA6632E" w14:textId="03FCE8BA" w:rsidR="009B5CBE" w:rsidRPr="006D2720" w:rsidRDefault="00C43028" w:rsidP="0066337D">
      <w:pPr>
        <w:pStyle w:val="Heading3"/>
        <w:rPr>
          <w:rFonts w:ascii="Times New Roman" w:hAnsi="Times New Roman" w:cs="Times New Roman"/>
        </w:rPr>
      </w:pPr>
      <w:r w:rsidRPr="006D2720">
        <w:rPr>
          <w:rFonts w:ascii="Times New Roman" w:hAnsi="Times New Roman" w:cs="Times New Roman"/>
        </w:rPr>
        <w:t xml:space="preserve">Where relevant, this Issues Paper </w:t>
      </w:r>
      <w:r w:rsidR="00413629" w:rsidRPr="006D2720">
        <w:rPr>
          <w:rFonts w:ascii="Times New Roman" w:hAnsi="Times New Roman" w:cs="Times New Roman"/>
        </w:rPr>
        <w:t>pays regard to</w:t>
      </w:r>
      <w:r w:rsidRPr="006D2720">
        <w:rPr>
          <w:rFonts w:ascii="Times New Roman" w:hAnsi="Times New Roman" w:cs="Times New Roman"/>
        </w:rPr>
        <w:t xml:space="preserve"> m</w:t>
      </w:r>
      <w:r w:rsidR="00E15401" w:rsidRPr="006D2720">
        <w:rPr>
          <w:rFonts w:ascii="Times New Roman" w:hAnsi="Times New Roman" w:cs="Times New Roman"/>
        </w:rPr>
        <w:t xml:space="preserve">atters </w:t>
      </w:r>
      <w:r w:rsidR="009B5CBE" w:rsidRPr="006D2720">
        <w:rPr>
          <w:rFonts w:ascii="Times New Roman" w:hAnsi="Times New Roman" w:cs="Times New Roman"/>
        </w:rPr>
        <w:t xml:space="preserve">raised in the </w:t>
      </w:r>
      <w:r w:rsidR="00E15401" w:rsidRPr="006D2720">
        <w:rPr>
          <w:rFonts w:ascii="Times New Roman" w:hAnsi="Times New Roman" w:cs="Times New Roman"/>
        </w:rPr>
        <w:t xml:space="preserve">Commonwealth </w:t>
      </w:r>
      <w:r w:rsidR="00340A1F" w:rsidRPr="006D2720">
        <w:rPr>
          <w:rFonts w:ascii="Times New Roman" w:hAnsi="Times New Roman" w:cs="Times New Roman"/>
        </w:rPr>
        <w:t>review</w:t>
      </w:r>
      <w:r w:rsidR="002429C0" w:rsidRPr="006D2720">
        <w:rPr>
          <w:rFonts w:ascii="Times New Roman" w:hAnsi="Times New Roman" w:cs="Times New Roman"/>
        </w:rPr>
        <w:t>,</w:t>
      </w:r>
      <w:r w:rsidR="00340A1F" w:rsidRPr="006D2720">
        <w:rPr>
          <w:rFonts w:ascii="Times New Roman" w:hAnsi="Times New Roman" w:cs="Times New Roman"/>
        </w:rPr>
        <w:t xml:space="preserve"> </w:t>
      </w:r>
      <w:r w:rsidR="009B5CBE" w:rsidRPr="006D2720">
        <w:rPr>
          <w:rFonts w:ascii="Times New Roman" w:hAnsi="Times New Roman" w:cs="Times New Roman"/>
        </w:rPr>
        <w:t xml:space="preserve">and </w:t>
      </w:r>
      <w:r w:rsidR="003A5A3B" w:rsidRPr="006D2720">
        <w:rPr>
          <w:rFonts w:ascii="Times New Roman" w:hAnsi="Times New Roman" w:cs="Times New Roman"/>
        </w:rPr>
        <w:t xml:space="preserve">in </w:t>
      </w:r>
      <w:r w:rsidR="009B5CBE" w:rsidRPr="006D2720">
        <w:rPr>
          <w:rFonts w:ascii="Times New Roman" w:hAnsi="Times New Roman" w:cs="Times New Roman"/>
        </w:rPr>
        <w:t>some prominent submissions</w:t>
      </w:r>
      <w:r w:rsidR="000A035A" w:rsidRPr="006D2720">
        <w:rPr>
          <w:rFonts w:ascii="Times New Roman" w:hAnsi="Times New Roman" w:cs="Times New Roman"/>
        </w:rPr>
        <w:t xml:space="preserve"> </w:t>
      </w:r>
      <w:r w:rsidR="00010508" w:rsidRPr="006D2720">
        <w:rPr>
          <w:rFonts w:ascii="Times New Roman" w:hAnsi="Times New Roman" w:cs="Times New Roman"/>
        </w:rPr>
        <w:t>to that inquiry</w:t>
      </w:r>
      <w:r w:rsidR="000A035A" w:rsidRPr="006D2720">
        <w:rPr>
          <w:rFonts w:ascii="Times New Roman" w:hAnsi="Times New Roman" w:cs="Times New Roman"/>
        </w:rPr>
        <w:t>—</w:t>
      </w:r>
      <w:r w:rsidR="009B5CBE" w:rsidRPr="006D2720">
        <w:rPr>
          <w:rFonts w:ascii="Times New Roman" w:hAnsi="Times New Roman" w:cs="Times New Roman"/>
        </w:rPr>
        <w:t xml:space="preserve">in particular, the </w:t>
      </w:r>
      <w:r w:rsidR="00146C85" w:rsidRPr="006D2720">
        <w:rPr>
          <w:rFonts w:ascii="Times New Roman" w:hAnsi="Times New Roman" w:cs="Times New Roman"/>
        </w:rPr>
        <w:t xml:space="preserve">OAIC’s </w:t>
      </w:r>
      <w:r w:rsidR="009B5CBE" w:rsidRPr="006D2720">
        <w:rPr>
          <w:rFonts w:ascii="Times New Roman" w:hAnsi="Times New Roman" w:cs="Times New Roman"/>
        </w:rPr>
        <w:t>submission.</w:t>
      </w:r>
      <w:r w:rsidR="0053142A" w:rsidRPr="006D2720">
        <w:rPr>
          <w:rFonts w:ascii="Times New Roman" w:hAnsi="Times New Roman" w:cs="Times New Roman"/>
        </w:rPr>
        <w:t xml:space="preserve"> </w:t>
      </w:r>
      <w:r w:rsidR="002A7B04" w:rsidRPr="006D2720">
        <w:rPr>
          <w:rFonts w:ascii="Times New Roman" w:hAnsi="Times New Roman" w:cs="Times New Roman"/>
        </w:rPr>
        <w:t xml:space="preserve">The </w:t>
      </w:r>
      <w:r w:rsidR="00C64BB3" w:rsidRPr="006D2720">
        <w:rPr>
          <w:rFonts w:ascii="Times New Roman" w:hAnsi="Times New Roman" w:cs="Times New Roman"/>
        </w:rPr>
        <w:t>outcomes of the Commonwealth review are contained in a report</w:t>
      </w:r>
      <w:r w:rsidR="00C81C70" w:rsidRPr="006D2720">
        <w:rPr>
          <w:rFonts w:ascii="Times New Roman" w:hAnsi="Times New Roman" w:cs="Times New Roman"/>
        </w:rPr>
        <w:t xml:space="preserve"> </w:t>
      </w:r>
      <w:r w:rsidR="00C64BB3" w:rsidRPr="006D2720">
        <w:rPr>
          <w:rFonts w:ascii="Times New Roman" w:hAnsi="Times New Roman" w:cs="Times New Roman"/>
        </w:rPr>
        <w:t xml:space="preserve">that </w:t>
      </w:r>
      <w:r w:rsidR="0053142A" w:rsidRPr="006D2720">
        <w:rPr>
          <w:rFonts w:ascii="Times New Roman" w:hAnsi="Times New Roman" w:cs="Times New Roman"/>
        </w:rPr>
        <w:t>was released on 16 February 2023</w:t>
      </w:r>
      <w:r w:rsidR="002A7B04" w:rsidRPr="006D2720">
        <w:rPr>
          <w:rFonts w:ascii="Times New Roman" w:hAnsi="Times New Roman" w:cs="Times New Roman"/>
        </w:rPr>
        <w:t>.</w:t>
      </w:r>
      <w:r w:rsidR="00C81C70" w:rsidRPr="006D2720">
        <w:rPr>
          <w:rStyle w:val="FootnoteReference"/>
          <w:rFonts w:ascii="Times New Roman" w:hAnsi="Times New Roman" w:cs="Times New Roman"/>
        </w:rPr>
        <w:footnoteReference w:id="29"/>
      </w:r>
      <w:r w:rsidR="002A7B04" w:rsidRPr="006D2720">
        <w:rPr>
          <w:rFonts w:ascii="Times New Roman" w:hAnsi="Times New Roman" w:cs="Times New Roman"/>
        </w:rPr>
        <w:t xml:space="preserve"> As this Issues Paper was finalised in January 2023, it does not </w:t>
      </w:r>
      <w:r w:rsidR="00C81C70" w:rsidRPr="006D2720">
        <w:rPr>
          <w:rFonts w:ascii="Times New Roman" w:hAnsi="Times New Roman" w:cs="Times New Roman"/>
        </w:rPr>
        <w:t>consider</w:t>
      </w:r>
      <w:r w:rsidR="002A7B04" w:rsidRPr="006D2720">
        <w:rPr>
          <w:rFonts w:ascii="Times New Roman" w:hAnsi="Times New Roman" w:cs="Times New Roman"/>
        </w:rPr>
        <w:t xml:space="preserve"> the findings of the report as to options for reforming the Privacy Act</w:t>
      </w:r>
      <w:r w:rsidR="00C81C70" w:rsidRPr="006D2720">
        <w:rPr>
          <w:rFonts w:ascii="Times New Roman" w:hAnsi="Times New Roman" w:cs="Times New Roman"/>
        </w:rPr>
        <w:t>. H</w:t>
      </w:r>
      <w:r w:rsidR="002A7B04" w:rsidRPr="006D2720">
        <w:rPr>
          <w:rFonts w:ascii="Times New Roman" w:hAnsi="Times New Roman" w:cs="Times New Roman"/>
        </w:rPr>
        <w:t xml:space="preserve">owever, </w:t>
      </w:r>
      <w:r w:rsidR="00C81C70" w:rsidRPr="006D2720">
        <w:rPr>
          <w:rFonts w:ascii="Times New Roman" w:hAnsi="Times New Roman" w:cs="Times New Roman"/>
        </w:rPr>
        <w:t>the findings of the Commonwealth report</w:t>
      </w:r>
      <w:r w:rsidR="002A7B04" w:rsidRPr="006D2720">
        <w:rPr>
          <w:rFonts w:ascii="Times New Roman" w:hAnsi="Times New Roman" w:cs="Times New Roman"/>
        </w:rPr>
        <w:t xml:space="preserve"> will be considered in the drafting of the TLRI Final Report and </w:t>
      </w:r>
      <w:r w:rsidR="00C81C70" w:rsidRPr="006D2720">
        <w:rPr>
          <w:rFonts w:ascii="Times New Roman" w:hAnsi="Times New Roman" w:cs="Times New Roman"/>
        </w:rPr>
        <w:t xml:space="preserve">the formulation of </w:t>
      </w:r>
      <w:r w:rsidR="002A7B04" w:rsidRPr="006D2720">
        <w:rPr>
          <w:rFonts w:ascii="Times New Roman" w:hAnsi="Times New Roman" w:cs="Times New Roman"/>
        </w:rPr>
        <w:t xml:space="preserve">recommendations. </w:t>
      </w:r>
    </w:p>
    <w:p w14:paraId="655D36AA" w14:textId="5B14ACCD" w:rsidR="0025088E" w:rsidRPr="006D2720" w:rsidRDefault="0025088E" w:rsidP="00CA1A69">
      <w:pPr>
        <w:pStyle w:val="Heading2"/>
        <w:rPr>
          <w:rFonts w:ascii="Times New Roman" w:hAnsi="Times New Roman" w:cs="Times New Roman"/>
        </w:rPr>
      </w:pPr>
      <w:bookmarkStart w:id="102" w:name="_Ref89366058"/>
      <w:bookmarkStart w:id="103" w:name="_Toc91831991"/>
      <w:bookmarkStart w:id="104" w:name="_Toc130540425"/>
      <w:r w:rsidRPr="006D2720">
        <w:rPr>
          <w:rFonts w:ascii="Times New Roman" w:hAnsi="Times New Roman" w:cs="Times New Roman"/>
        </w:rPr>
        <w:t>International comparisons</w:t>
      </w:r>
      <w:bookmarkEnd w:id="102"/>
      <w:bookmarkEnd w:id="103"/>
      <w:bookmarkEnd w:id="104"/>
    </w:p>
    <w:p w14:paraId="25011DF9" w14:textId="447E1DD2" w:rsidR="009A6232" w:rsidRPr="006D2720" w:rsidRDefault="00276136" w:rsidP="00FB65B0">
      <w:pPr>
        <w:pStyle w:val="Heading3"/>
        <w:rPr>
          <w:rFonts w:ascii="Times New Roman" w:hAnsi="Times New Roman" w:cs="Times New Roman"/>
        </w:rPr>
      </w:pPr>
      <w:r w:rsidRPr="006D2720">
        <w:rPr>
          <w:rFonts w:ascii="Times New Roman" w:hAnsi="Times New Roman" w:cs="Times New Roman"/>
        </w:rPr>
        <w:t>The interaction</w:t>
      </w:r>
      <w:r w:rsidR="005F594D" w:rsidRPr="006D2720">
        <w:rPr>
          <w:rFonts w:ascii="Times New Roman" w:hAnsi="Times New Roman" w:cs="Times New Roman"/>
        </w:rPr>
        <w:t xml:space="preserve"> between individuals, organisations, and businesses around the world</w:t>
      </w:r>
      <w:r w:rsidRPr="006D2720">
        <w:rPr>
          <w:rFonts w:ascii="Times New Roman" w:hAnsi="Times New Roman" w:cs="Times New Roman"/>
        </w:rPr>
        <w:t xml:space="preserve"> means that</w:t>
      </w:r>
      <w:r w:rsidR="005F594D" w:rsidRPr="006D2720">
        <w:rPr>
          <w:rFonts w:ascii="Times New Roman" w:hAnsi="Times New Roman" w:cs="Times New Roman"/>
        </w:rPr>
        <w:t xml:space="preserve"> </w:t>
      </w:r>
      <w:r w:rsidR="0080133B" w:rsidRPr="006D2720">
        <w:rPr>
          <w:rFonts w:ascii="Times New Roman" w:hAnsi="Times New Roman" w:cs="Times New Roman"/>
        </w:rPr>
        <w:t xml:space="preserve">certain privacy regulations </w:t>
      </w:r>
      <w:r w:rsidR="006168A2" w:rsidRPr="006D2720">
        <w:rPr>
          <w:rFonts w:ascii="Times New Roman" w:hAnsi="Times New Roman" w:cs="Times New Roman"/>
        </w:rPr>
        <w:t xml:space="preserve">in international jurisdictions </w:t>
      </w:r>
      <w:r w:rsidR="0080133B" w:rsidRPr="006D2720">
        <w:rPr>
          <w:rFonts w:ascii="Times New Roman" w:hAnsi="Times New Roman" w:cs="Times New Roman"/>
        </w:rPr>
        <w:t xml:space="preserve">may also be relevant to </w:t>
      </w:r>
      <w:r w:rsidR="00413629" w:rsidRPr="006D2720">
        <w:rPr>
          <w:rFonts w:ascii="Times New Roman" w:hAnsi="Times New Roman" w:cs="Times New Roman"/>
        </w:rPr>
        <w:t>privacy protection</w:t>
      </w:r>
      <w:r w:rsidR="005C3F40" w:rsidRPr="006D2720">
        <w:rPr>
          <w:rFonts w:ascii="Times New Roman" w:hAnsi="Times New Roman" w:cs="Times New Roman"/>
        </w:rPr>
        <w:t xml:space="preserve"> in </w:t>
      </w:r>
      <w:r w:rsidR="0080133B" w:rsidRPr="006D2720">
        <w:rPr>
          <w:rFonts w:ascii="Times New Roman" w:hAnsi="Times New Roman" w:cs="Times New Roman"/>
        </w:rPr>
        <w:t xml:space="preserve">Tasmania. </w:t>
      </w:r>
    </w:p>
    <w:p w14:paraId="0527982E" w14:textId="2CC90D93" w:rsidR="003A769C" w:rsidRPr="006D2720" w:rsidRDefault="00015D14" w:rsidP="003A769C">
      <w:pPr>
        <w:pStyle w:val="Heading3"/>
        <w:rPr>
          <w:rFonts w:ascii="Times New Roman" w:hAnsi="Times New Roman" w:cs="Times New Roman"/>
        </w:rPr>
      </w:pPr>
      <w:r w:rsidRPr="006D2720">
        <w:rPr>
          <w:rFonts w:ascii="Times New Roman" w:hAnsi="Times New Roman" w:cs="Times New Roman"/>
        </w:rPr>
        <w:t xml:space="preserve">The </w:t>
      </w:r>
      <w:r w:rsidR="00AE7732" w:rsidRPr="006D2720">
        <w:rPr>
          <w:rFonts w:ascii="Times New Roman" w:hAnsi="Times New Roman" w:cs="Times New Roman"/>
          <w:i/>
          <w:iCs/>
        </w:rPr>
        <w:t>General Data Protection Regulation</w:t>
      </w:r>
      <w:r w:rsidR="004B48F0" w:rsidRPr="006D2720">
        <w:rPr>
          <w:rFonts w:ascii="Times New Roman" w:hAnsi="Times New Roman" w:cs="Times New Roman"/>
        </w:rPr>
        <w:t xml:space="preserve"> </w:t>
      </w:r>
      <w:r w:rsidR="005C3F40" w:rsidRPr="006D2720">
        <w:rPr>
          <w:rFonts w:ascii="Times New Roman" w:hAnsi="Times New Roman" w:cs="Times New Roman"/>
          <w:i/>
          <w:iCs/>
        </w:rPr>
        <w:t>2016/679</w:t>
      </w:r>
      <w:r w:rsidR="005C3F40" w:rsidRPr="006D2720" w:rsidDel="0089683E">
        <w:rPr>
          <w:rFonts w:ascii="Times New Roman" w:hAnsi="Times New Roman" w:cs="Times New Roman"/>
        </w:rPr>
        <w:t xml:space="preserve"> </w:t>
      </w:r>
      <w:r w:rsidR="004B48F0" w:rsidRPr="006D2720">
        <w:rPr>
          <w:rFonts w:ascii="Times New Roman" w:hAnsi="Times New Roman" w:cs="Times New Roman"/>
        </w:rPr>
        <w:t>(</w:t>
      </w:r>
      <w:r w:rsidR="00872E76" w:rsidRPr="006D2720">
        <w:rPr>
          <w:rFonts w:ascii="Times New Roman" w:hAnsi="Times New Roman" w:cs="Times New Roman"/>
        </w:rPr>
        <w:t>‘</w:t>
      </w:r>
      <w:r w:rsidR="004B48F0" w:rsidRPr="006D2720">
        <w:rPr>
          <w:rFonts w:ascii="Times New Roman" w:hAnsi="Times New Roman" w:cs="Times New Roman"/>
        </w:rPr>
        <w:t>GDPR</w:t>
      </w:r>
      <w:r w:rsidR="00872E76" w:rsidRPr="006D2720">
        <w:rPr>
          <w:rFonts w:ascii="Times New Roman" w:hAnsi="Times New Roman" w:cs="Times New Roman"/>
        </w:rPr>
        <w:t>’</w:t>
      </w:r>
      <w:r w:rsidR="004B48F0" w:rsidRPr="006D2720">
        <w:rPr>
          <w:rFonts w:ascii="Times New Roman" w:hAnsi="Times New Roman" w:cs="Times New Roman"/>
        </w:rPr>
        <w:t>)</w:t>
      </w:r>
      <w:bookmarkStart w:id="105" w:name="_Ref91746333"/>
      <w:r w:rsidR="00AE7732" w:rsidRPr="006D2720">
        <w:rPr>
          <w:rStyle w:val="FootnoteReference"/>
          <w:rFonts w:ascii="Times New Roman" w:hAnsi="Times New Roman" w:cs="Times New Roman"/>
        </w:rPr>
        <w:footnoteReference w:id="30"/>
      </w:r>
      <w:bookmarkEnd w:id="105"/>
      <w:r w:rsidR="00AE7732" w:rsidRPr="006D2720">
        <w:rPr>
          <w:rFonts w:ascii="Times New Roman" w:hAnsi="Times New Roman" w:cs="Times New Roman"/>
        </w:rPr>
        <w:t xml:space="preserve"> </w:t>
      </w:r>
      <w:r w:rsidR="00A363B1" w:rsidRPr="006D2720">
        <w:rPr>
          <w:rFonts w:ascii="Times New Roman" w:hAnsi="Times New Roman" w:cs="Times New Roman"/>
        </w:rPr>
        <w:t>of the European Union</w:t>
      </w:r>
      <w:r w:rsidR="00095F18" w:rsidRPr="006D2720">
        <w:rPr>
          <w:rFonts w:ascii="Times New Roman" w:hAnsi="Times New Roman" w:cs="Times New Roman"/>
        </w:rPr>
        <w:t xml:space="preserve"> </w:t>
      </w:r>
      <w:r w:rsidR="00CB2936" w:rsidRPr="006D2720">
        <w:rPr>
          <w:rFonts w:ascii="Times New Roman" w:hAnsi="Times New Roman" w:cs="Times New Roman"/>
        </w:rPr>
        <w:t xml:space="preserve">binds any public and private organisation that controls or processes personal information and </w:t>
      </w:r>
      <w:r w:rsidR="00AE7732" w:rsidRPr="006D2720">
        <w:rPr>
          <w:rFonts w:ascii="Times New Roman" w:hAnsi="Times New Roman" w:cs="Times New Roman"/>
        </w:rPr>
        <w:t xml:space="preserve">regulates </w:t>
      </w:r>
      <w:r w:rsidR="00CB2936" w:rsidRPr="006D2720">
        <w:rPr>
          <w:rFonts w:ascii="Times New Roman" w:hAnsi="Times New Roman" w:cs="Times New Roman"/>
        </w:rPr>
        <w:t xml:space="preserve">how </w:t>
      </w:r>
      <w:r w:rsidR="008A30FE" w:rsidRPr="006D2720">
        <w:rPr>
          <w:rFonts w:ascii="Times New Roman" w:hAnsi="Times New Roman" w:cs="Times New Roman"/>
        </w:rPr>
        <w:t>it</w:t>
      </w:r>
      <w:r w:rsidR="00CB2936" w:rsidRPr="006D2720">
        <w:rPr>
          <w:rFonts w:ascii="Times New Roman" w:hAnsi="Times New Roman" w:cs="Times New Roman"/>
        </w:rPr>
        <w:t xml:space="preserve"> can process that </w:t>
      </w:r>
      <w:r w:rsidR="00295459" w:rsidRPr="006D2720">
        <w:rPr>
          <w:rFonts w:ascii="Times New Roman" w:hAnsi="Times New Roman" w:cs="Times New Roman"/>
        </w:rPr>
        <w:t>personal information</w:t>
      </w:r>
      <w:r w:rsidR="004B48F0" w:rsidRPr="006D2720">
        <w:rPr>
          <w:rFonts w:ascii="Times New Roman" w:hAnsi="Times New Roman" w:cs="Times New Roman"/>
        </w:rPr>
        <w:t xml:space="preserve">. </w:t>
      </w:r>
      <w:r w:rsidR="003A769C" w:rsidRPr="006D2720">
        <w:rPr>
          <w:rFonts w:ascii="Times New Roman" w:hAnsi="Times New Roman" w:cs="Times New Roman"/>
        </w:rPr>
        <w:t>It was intended to harmonise data protection laws across the European Union to build legal certainty for businesses and enhance trust in online services.</w:t>
      </w:r>
      <w:r w:rsidR="003A769C" w:rsidRPr="006D2720">
        <w:rPr>
          <w:rStyle w:val="FootnoteReference"/>
          <w:rFonts w:ascii="Times New Roman" w:hAnsi="Times New Roman" w:cs="Times New Roman"/>
        </w:rPr>
        <w:footnoteReference w:id="31"/>
      </w:r>
      <w:r w:rsidR="003A769C" w:rsidRPr="006D2720">
        <w:rPr>
          <w:rFonts w:ascii="Times New Roman" w:hAnsi="Times New Roman" w:cs="Times New Roman"/>
        </w:rPr>
        <w:t xml:space="preserve"> It implements the right to the protection of personal data under article 8 of the </w:t>
      </w:r>
      <w:r w:rsidR="003A769C" w:rsidRPr="006D2720">
        <w:rPr>
          <w:rFonts w:ascii="Times New Roman" w:hAnsi="Times New Roman" w:cs="Times New Roman"/>
          <w:i/>
          <w:iCs/>
        </w:rPr>
        <w:t>Charter of Fundamental Rights of the European Union</w:t>
      </w:r>
      <w:r w:rsidR="003A769C" w:rsidRPr="006D2720">
        <w:rPr>
          <w:rFonts w:ascii="Times New Roman" w:hAnsi="Times New Roman" w:cs="Times New Roman"/>
        </w:rPr>
        <w:t>, which requires such data to be:</w:t>
      </w:r>
    </w:p>
    <w:p w14:paraId="5B05C1A6" w14:textId="77777777" w:rsidR="003A769C" w:rsidRPr="006D2720" w:rsidRDefault="003A769C" w:rsidP="003A769C">
      <w:pPr>
        <w:pStyle w:val="Blockquote"/>
        <w:rPr>
          <w:rFonts w:ascii="Times New Roman" w:hAnsi="Times New Roman" w:cs="Times New Roman"/>
        </w:rPr>
      </w:pPr>
      <w:r w:rsidRPr="006D2720">
        <w:rPr>
          <w:rFonts w:ascii="Times New Roman" w:hAnsi="Times New Roman" w:cs="Times New Roman"/>
        </w:rPr>
        <w:t>processed fairly for specified purposes and on the basis of the consent of the person concerned or some other legitimate basis laid down by law. Everyone has the right of access to data which has been collected concerning him or her, and the right to have it rectified.</w:t>
      </w:r>
      <w:r w:rsidRPr="006D2720">
        <w:rPr>
          <w:rStyle w:val="FootnoteReference"/>
          <w:rFonts w:ascii="Times New Roman" w:hAnsi="Times New Roman" w:cs="Times New Roman"/>
        </w:rPr>
        <w:footnoteReference w:id="32"/>
      </w:r>
    </w:p>
    <w:p w14:paraId="55BC6641" w14:textId="5F748D06" w:rsidR="0025088E" w:rsidRPr="006D2720" w:rsidRDefault="00656348" w:rsidP="00CA1A69">
      <w:pPr>
        <w:pStyle w:val="Heading3"/>
        <w:rPr>
          <w:rFonts w:ascii="Times New Roman" w:hAnsi="Times New Roman" w:cs="Times New Roman"/>
        </w:rPr>
      </w:pPr>
      <w:r w:rsidRPr="006D2720">
        <w:rPr>
          <w:rFonts w:ascii="Times New Roman" w:hAnsi="Times New Roman" w:cs="Times New Roman"/>
        </w:rPr>
        <w:t>T</w:t>
      </w:r>
      <w:r w:rsidR="00F948C8" w:rsidRPr="006D2720">
        <w:rPr>
          <w:rFonts w:ascii="Times New Roman" w:hAnsi="Times New Roman" w:cs="Times New Roman"/>
        </w:rPr>
        <w:t>he GDPR</w:t>
      </w:r>
      <w:r w:rsidR="004B48F0" w:rsidRPr="006D2720">
        <w:rPr>
          <w:rFonts w:ascii="Times New Roman" w:hAnsi="Times New Roman" w:cs="Times New Roman"/>
        </w:rPr>
        <w:t xml:space="preserve"> </w:t>
      </w:r>
      <w:r w:rsidR="00773113" w:rsidRPr="006D2720">
        <w:rPr>
          <w:rFonts w:ascii="Times New Roman" w:hAnsi="Times New Roman" w:cs="Times New Roman"/>
        </w:rPr>
        <w:t xml:space="preserve">also applies </w:t>
      </w:r>
      <w:r w:rsidR="001117BD" w:rsidRPr="006D2720">
        <w:rPr>
          <w:rFonts w:ascii="Times New Roman" w:hAnsi="Times New Roman" w:cs="Times New Roman"/>
        </w:rPr>
        <w:t xml:space="preserve">to </w:t>
      </w:r>
      <w:r w:rsidR="004B48F0" w:rsidRPr="006D2720">
        <w:rPr>
          <w:rFonts w:ascii="Times New Roman" w:hAnsi="Times New Roman" w:cs="Times New Roman"/>
        </w:rPr>
        <w:t>organisation</w:t>
      </w:r>
      <w:r w:rsidR="001117BD" w:rsidRPr="006D2720">
        <w:rPr>
          <w:rFonts w:ascii="Times New Roman" w:hAnsi="Times New Roman" w:cs="Times New Roman"/>
        </w:rPr>
        <w:t>s</w:t>
      </w:r>
      <w:r w:rsidR="004B48F0" w:rsidRPr="006D2720">
        <w:rPr>
          <w:rFonts w:ascii="Times New Roman" w:hAnsi="Times New Roman" w:cs="Times New Roman"/>
        </w:rPr>
        <w:t xml:space="preserve"> </w:t>
      </w:r>
      <w:r w:rsidR="005C3F40" w:rsidRPr="006D2720">
        <w:rPr>
          <w:rFonts w:ascii="Times New Roman" w:hAnsi="Times New Roman" w:cs="Times New Roman"/>
        </w:rPr>
        <w:t>that</w:t>
      </w:r>
      <w:r w:rsidR="004B48F0" w:rsidRPr="006D2720">
        <w:rPr>
          <w:rFonts w:ascii="Times New Roman" w:hAnsi="Times New Roman" w:cs="Times New Roman"/>
        </w:rPr>
        <w:t xml:space="preserve"> offer goods or services to, or monitor</w:t>
      </w:r>
      <w:r w:rsidR="00FB6AB2" w:rsidRPr="006D2720">
        <w:rPr>
          <w:rFonts w:ascii="Times New Roman" w:hAnsi="Times New Roman" w:cs="Times New Roman"/>
        </w:rPr>
        <w:t xml:space="preserve"> </w:t>
      </w:r>
      <w:r w:rsidR="004B48F0" w:rsidRPr="006D2720">
        <w:rPr>
          <w:rFonts w:ascii="Times New Roman" w:hAnsi="Times New Roman" w:cs="Times New Roman"/>
        </w:rPr>
        <w:t>the behaviour of, individuals within the European Union.</w:t>
      </w:r>
      <w:r w:rsidR="003A769C" w:rsidRPr="006D2720">
        <w:rPr>
          <w:rStyle w:val="FootnoteReference"/>
          <w:rFonts w:ascii="Times New Roman" w:hAnsi="Times New Roman" w:cs="Times New Roman"/>
        </w:rPr>
        <w:footnoteReference w:id="33"/>
      </w:r>
      <w:r w:rsidR="004B48F0" w:rsidRPr="006D2720">
        <w:rPr>
          <w:rFonts w:ascii="Times New Roman" w:hAnsi="Times New Roman" w:cs="Times New Roman"/>
        </w:rPr>
        <w:t xml:space="preserve"> It may therefore apply to activities of the Tasmanian Government </w:t>
      </w:r>
      <w:r w:rsidR="009405A5" w:rsidRPr="006D2720">
        <w:rPr>
          <w:rFonts w:ascii="Times New Roman" w:hAnsi="Times New Roman" w:cs="Times New Roman"/>
        </w:rPr>
        <w:t xml:space="preserve">and of </w:t>
      </w:r>
      <w:r w:rsidRPr="006D2720">
        <w:rPr>
          <w:rFonts w:ascii="Times New Roman" w:hAnsi="Times New Roman" w:cs="Times New Roman"/>
        </w:rPr>
        <w:t xml:space="preserve">Tasmanian </w:t>
      </w:r>
      <w:r w:rsidR="006E7F06" w:rsidRPr="006D2720">
        <w:rPr>
          <w:rFonts w:ascii="Times New Roman" w:hAnsi="Times New Roman" w:cs="Times New Roman"/>
        </w:rPr>
        <w:t xml:space="preserve">organisations </w:t>
      </w:r>
      <w:r w:rsidR="004B48F0" w:rsidRPr="006D2720">
        <w:rPr>
          <w:rFonts w:ascii="Times New Roman" w:hAnsi="Times New Roman" w:cs="Times New Roman"/>
        </w:rPr>
        <w:t xml:space="preserve">intending to do business with </w:t>
      </w:r>
      <w:r w:rsidR="00B12813" w:rsidRPr="006D2720">
        <w:rPr>
          <w:rFonts w:ascii="Times New Roman" w:hAnsi="Times New Roman" w:cs="Times New Roman"/>
        </w:rPr>
        <w:t xml:space="preserve">the </w:t>
      </w:r>
      <w:r w:rsidR="00095F18" w:rsidRPr="006D2720">
        <w:rPr>
          <w:rFonts w:ascii="Times New Roman" w:hAnsi="Times New Roman" w:cs="Times New Roman"/>
        </w:rPr>
        <w:t>European Union</w:t>
      </w:r>
      <w:r w:rsidR="004B48F0" w:rsidRPr="006D2720">
        <w:rPr>
          <w:rFonts w:ascii="Times New Roman" w:hAnsi="Times New Roman" w:cs="Times New Roman"/>
        </w:rPr>
        <w:t>.</w:t>
      </w:r>
      <w:r w:rsidR="00CC315B" w:rsidRPr="006D2720">
        <w:rPr>
          <w:rFonts w:ascii="Times New Roman" w:hAnsi="Times New Roman" w:cs="Times New Roman"/>
        </w:rPr>
        <w:t xml:space="preserve"> </w:t>
      </w:r>
    </w:p>
    <w:p w14:paraId="4618CBB6" w14:textId="7595A87B" w:rsidR="00F677C5" w:rsidRPr="006D2720" w:rsidRDefault="000E4FDC" w:rsidP="003E78F0">
      <w:pPr>
        <w:pStyle w:val="Heading3"/>
        <w:rPr>
          <w:rFonts w:ascii="Times New Roman" w:hAnsi="Times New Roman" w:cs="Times New Roman"/>
        </w:rPr>
      </w:pPr>
      <w:r w:rsidRPr="006D2720">
        <w:rPr>
          <w:rFonts w:ascii="Times New Roman" w:hAnsi="Times New Roman" w:cs="Times New Roman"/>
        </w:rPr>
        <w:t>Another point of interaction is cross-jurisdiction data transfer</w:t>
      </w:r>
      <w:r w:rsidR="00A54B8B" w:rsidRPr="006D2720">
        <w:rPr>
          <w:rFonts w:ascii="Times New Roman" w:hAnsi="Times New Roman" w:cs="Times New Roman"/>
        </w:rPr>
        <w:t>s</w:t>
      </w:r>
      <w:r w:rsidRPr="006D2720">
        <w:rPr>
          <w:rFonts w:ascii="Times New Roman" w:hAnsi="Times New Roman" w:cs="Times New Roman"/>
        </w:rPr>
        <w:t xml:space="preserve">. </w:t>
      </w:r>
      <w:r w:rsidR="003E78F0" w:rsidRPr="006D2720">
        <w:rPr>
          <w:rFonts w:ascii="Times New Roman" w:hAnsi="Times New Roman" w:cs="Times New Roman"/>
        </w:rPr>
        <w:t xml:space="preserve">Under the GDPR, personal data </w:t>
      </w:r>
      <w:r w:rsidR="00556209" w:rsidRPr="006D2720">
        <w:rPr>
          <w:rFonts w:ascii="Times New Roman" w:hAnsi="Times New Roman" w:cs="Times New Roman"/>
        </w:rPr>
        <w:t>can</w:t>
      </w:r>
      <w:r w:rsidR="003E78F0" w:rsidRPr="006D2720">
        <w:rPr>
          <w:rFonts w:ascii="Times New Roman" w:hAnsi="Times New Roman" w:cs="Times New Roman"/>
        </w:rPr>
        <w:t xml:space="preserve"> only </w:t>
      </w:r>
      <w:r w:rsidR="00556209" w:rsidRPr="006D2720">
        <w:rPr>
          <w:rFonts w:ascii="Times New Roman" w:hAnsi="Times New Roman" w:cs="Times New Roman"/>
        </w:rPr>
        <w:t xml:space="preserve">be </w:t>
      </w:r>
      <w:r w:rsidR="003E78F0" w:rsidRPr="006D2720">
        <w:rPr>
          <w:rFonts w:ascii="Times New Roman" w:hAnsi="Times New Roman" w:cs="Times New Roman"/>
        </w:rPr>
        <w:t xml:space="preserve">freely </w:t>
      </w:r>
      <w:r w:rsidR="00556209" w:rsidRPr="006D2720">
        <w:rPr>
          <w:rFonts w:ascii="Times New Roman" w:hAnsi="Times New Roman" w:cs="Times New Roman"/>
        </w:rPr>
        <w:t>transferred</w:t>
      </w:r>
      <w:r w:rsidR="005400D9" w:rsidRPr="006D2720">
        <w:rPr>
          <w:rFonts w:ascii="Times New Roman" w:hAnsi="Times New Roman" w:cs="Times New Roman"/>
        </w:rPr>
        <w:t xml:space="preserve"> </w:t>
      </w:r>
      <w:r w:rsidR="003E78F0" w:rsidRPr="006D2720">
        <w:rPr>
          <w:rFonts w:ascii="Times New Roman" w:hAnsi="Times New Roman" w:cs="Times New Roman"/>
        </w:rPr>
        <w:t xml:space="preserve">outside of the </w:t>
      </w:r>
      <w:r w:rsidR="00095F18" w:rsidRPr="006D2720">
        <w:rPr>
          <w:rFonts w:ascii="Times New Roman" w:hAnsi="Times New Roman" w:cs="Times New Roman"/>
        </w:rPr>
        <w:t>European Union</w:t>
      </w:r>
      <w:r w:rsidR="003E78F0" w:rsidRPr="006D2720">
        <w:rPr>
          <w:rFonts w:ascii="Times New Roman" w:hAnsi="Times New Roman" w:cs="Times New Roman"/>
        </w:rPr>
        <w:t xml:space="preserve"> </w:t>
      </w:r>
      <w:r w:rsidR="00556209" w:rsidRPr="006D2720">
        <w:rPr>
          <w:rFonts w:ascii="Times New Roman" w:hAnsi="Times New Roman" w:cs="Times New Roman"/>
        </w:rPr>
        <w:t xml:space="preserve">if the receiving country or organisation provides for an adequate level of privacy protection. </w:t>
      </w:r>
      <w:r w:rsidR="005400D9" w:rsidRPr="006D2720">
        <w:rPr>
          <w:rFonts w:ascii="Times New Roman" w:hAnsi="Times New Roman" w:cs="Times New Roman"/>
        </w:rPr>
        <w:t xml:space="preserve">If this requirement is not met, as is the case for Australia, data can only be transferred where the </w:t>
      </w:r>
      <w:r w:rsidR="00095F18" w:rsidRPr="006D2720">
        <w:rPr>
          <w:rFonts w:ascii="Times New Roman" w:hAnsi="Times New Roman" w:cs="Times New Roman"/>
        </w:rPr>
        <w:t>European Union</w:t>
      </w:r>
      <w:r w:rsidR="005400D9" w:rsidRPr="006D2720">
        <w:rPr>
          <w:rFonts w:ascii="Times New Roman" w:hAnsi="Times New Roman" w:cs="Times New Roman"/>
        </w:rPr>
        <w:t xml:space="preserve"> party provides appropriate safeguards to ensure that the individual </w:t>
      </w:r>
      <w:r w:rsidR="00C91DE2" w:rsidRPr="006D2720">
        <w:rPr>
          <w:rFonts w:ascii="Times New Roman" w:hAnsi="Times New Roman" w:cs="Times New Roman"/>
        </w:rPr>
        <w:t>in the information</w:t>
      </w:r>
      <w:r w:rsidR="005400D9" w:rsidRPr="006D2720">
        <w:rPr>
          <w:rFonts w:ascii="Times New Roman" w:hAnsi="Times New Roman" w:cs="Times New Roman"/>
        </w:rPr>
        <w:t xml:space="preserve"> has enforceable rights and remedies.</w:t>
      </w:r>
      <w:r w:rsidR="005400D9" w:rsidRPr="006D2720">
        <w:rPr>
          <w:rStyle w:val="FootnoteReference"/>
          <w:rFonts w:ascii="Times New Roman" w:hAnsi="Times New Roman" w:cs="Times New Roman"/>
        </w:rPr>
        <w:footnoteReference w:id="34"/>
      </w:r>
      <w:r w:rsidR="005400D9" w:rsidRPr="006D2720">
        <w:rPr>
          <w:rFonts w:ascii="Times New Roman" w:hAnsi="Times New Roman" w:cs="Times New Roman"/>
        </w:rPr>
        <w:t xml:space="preserve"> </w:t>
      </w:r>
      <w:r w:rsidR="00842D7C" w:rsidRPr="006D2720">
        <w:rPr>
          <w:rFonts w:ascii="Times New Roman" w:hAnsi="Times New Roman" w:cs="Times New Roman"/>
        </w:rPr>
        <w:t xml:space="preserve">The </w:t>
      </w:r>
      <w:r w:rsidR="00F677C5" w:rsidRPr="006D2720">
        <w:rPr>
          <w:rFonts w:ascii="Times New Roman" w:hAnsi="Times New Roman" w:cs="Times New Roman"/>
        </w:rPr>
        <w:t>Privacy Act</w:t>
      </w:r>
      <w:r w:rsidR="00F677C5" w:rsidRPr="006D2720">
        <w:rPr>
          <w:rFonts w:ascii="Times New Roman" w:hAnsi="Times New Roman" w:cs="Times New Roman"/>
          <w:i/>
          <w:iCs/>
        </w:rPr>
        <w:t xml:space="preserve"> </w:t>
      </w:r>
      <w:r w:rsidR="00F677C5" w:rsidRPr="006D2720">
        <w:rPr>
          <w:rFonts w:ascii="Times New Roman" w:hAnsi="Times New Roman" w:cs="Times New Roman"/>
        </w:rPr>
        <w:t>review</w:t>
      </w:r>
      <w:r w:rsidR="00C91DE2" w:rsidRPr="006D2720">
        <w:rPr>
          <w:rFonts w:ascii="Times New Roman" w:hAnsi="Times New Roman" w:cs="Times New Roman"/>
        </w:rPr>
        <w:t xml:space="preserve"> </w:t>
      </w:r>
      <w:r w:rsidR="00CF79A1" w:rsidRPr="006D2720">
        <w:rPr>
          <w:rFonts w:ascii="Times New Roman" w:hAnsi="Times New Roman" w:cs="Times New Roman"/>
        </w:rPr>
        <w:t xml:space="preserve">has considered </w:t>
      </w:r>
      <w:r w:rsidR="00F677C5" w:rsidRPr="006D2720">
        <w:rPr>
          <w:rFonts w:ascii="Times New Roman" w:hAnsi="Times New Roman" w:cs="Times New Roman"/>
        </w:rPr>
        <w:t>whether the Commonwealth law should be amended to offer protections deemed adequate under the GDPR, so as to</w:t>
      </w:r>
      <w:r w:rsidR="00553BAC" w:rsidRPr="006D2720">
        <w:rPr>
          <w:rFonts w:ascii="Times New Roman" w:hAnsi="Times New Roman" w:cs="Times New Roman"/>
        </w:rPr>
        <w:t xml:space="preserve"> allow an adequacy arrangement that</w:t>
      </w:r>
      <w:r w:rsidR="00F677C5" w:rsidRPr="006D2720">
        <w:rPr>
          <w:rFonts w:ascii="Times New Roman" w:hAnsi="Times New Roman" w:cs="Times New Roman"/>
        </w:rPr>
        <w:t xml:space="preserve"> </w:t>
      </w:r>
      <w:r w:rsidR="000B67B8" w:rsidRPr="006D2720">
        <w:rPr>
          <w:rFonts w:ascii="Times New Roman" w:hAnsi="Times New Roman" w:cs="Times New Roman"/>
        </w:rPr>
        <w:t xml:space="preserve">would </w:t>
      </w:r>
      <w:r w:rsidR="00F677C5" w:rsidRPr="006D2720">
        <w:rPr>
          <w:rFonts w:ascii="Times New Roman" w:hAnsi="Times New Roman" w:cs="Times New Roman"/>
        </w:rPr>
        <w:t xml:space="preserve">authorise the </w:t>
      </w:r>
      <w:r w:rsidRPr="006D2720">
        <w:rPr>
          <w:rFonts w:ascii="Times New Roman" w:hAnsi="Times New Roman" w:cs="Times New Roman"/>
        </w:rPr>
        <w:t xml:space="preserve">free </w:t>
      </w:r>
      <w:r w:rsidR="00F677C5" w:rsidRPr="006D2720">
        <w:rPr>
          <w:rFonts w:ascii="Times New Roman" w:hAnsi="Times New Roman" w:cs="Times New Roman"/>
        </w:rPr>
        <w:t xml:space="preserve">transfer of personal data between the two jurisdictions. </w:t>
      </w:r>
    </w:p>
    <w:p w14:paraId="2DC859F4" w14:textId="096D7DEF" w:rsidR="00225112" w:rsidRPr="006D2720" w:rsidRDefault="00B9751E" w:rsidP="00A71E99">
      <w:pPr>
        <w:pStyle w:val="Heading3"/>
        <w:rPr>
          <w:rFonts w:ascii="Times New Roman" w:hAnsi="Times New Roman" w:cs="Times New Roman"/>
        </w:rPr>
      </w:pPr>
      <w:bookmarkStart w:id="106" w:name="_Ref128939440"/>
      <w:r w:rsidRPr="006D2720">
        <w:rPr>
          <w:rFonts w:ascii="Times New Roman" w:hAnsi="Times New Roman" w:cs="Times New Roman"/>
        </w:rPr>
        <w:t>T</w:t>
      </w:r>
      <w:r w:rsidR="001A5CB5" w:rsidRPr="006D2720">
        <w:rPr>
          <w:rFonts w:ascii="Times New Roman" w:hAnsi="Times New Roman" w:cs="Times New Roman"/>
        </w:rPr>
        <w:t xml:space="preserve">he GDPR </w:t>
      </w:r>
      <w:r w:rsidR="005821E2" w:rsidRPr="006D2720">
        <w:rPr>
          <w:rFonts w:ascii="Times New Roman" w:hAnsi="Times New Roman" w:cs="Times New Roman"/>
        </w:rPr>
        <w:t xml:space="preserve">sets </w:t>
      </w:r>
      <w:r w:rsidR="001A5CB5" w:rsidRPr="006D2720">
        <w:rPr>
          <w:rFonts w:ascii="Times New Roman" w:hAnsi="Times New Roman" w:cs="Times New Roman"/>
        </w:rPr>
        <w:t>a high standard for data protection</w:t>
      </w:r>
      <w:r w:rsidR="001A5CB5" w:rsidRPr="006D2720">
        <w:rPr>
          <w:rStyle w:val="FootnoteReference"/>
          <w:rFonts w:ascii="Times New Roman" w:hAnsi="Times New Roman" w:cs="Times New Roman"/>
        </w:rPr>
        <w:footnoteReference w:id="35"/>
      </w:r>
      <w:r w:rsidR="00E25AA2" w:rsidRPr="006D2720">
        <w:rPr>
          <w:rFonts w:ascii="Times New Roman" w:hAnsi="Times New Roman" w:cs="Times New Roman"/>
        </w:rPr>
        <w:t xml:space="preserve"> and has </w:t>
      </w:r>
      <w:r w:rsidR="001A5CB5" w:rsidRPr="006D2720">
        <w:rPr>
          <w:rFonts w:ascii="Times New Roman" w:hAnsi="Times New Roman" w:cs="Times New Roman"/>
        </w:rPr>
        <w:t xml:space="preserve">served as a model for legislation in other </w:t>
      </w:r>
      <w:r w:rsidR="00516271" w:rsidRPr="006D2720">
        <w:rPr>
          <w:rFonts w:ascii="Times New Roman" w:hAnsi="Times New Roman" w:cs="Times New Roman"/>
        </w:rPr>
        <w:t>jurisdictions</w:t>
      </w:r>
      <w:r w:rsidR="00CC315B" w:rsidRPr="006D2720">
        <w:rPr>
          <w:rFonts w:ascii="Times New Roman" w:hAnsi="Times New Roman" w:cs="Times New Roman"/>
        </w:rPr>
        <w:t>.</w:t>
      </w:r>
      <w:r w:rsidR="008F5EA2" w:rsidRPr="006D2720">
        <w:rPr>
          <w:rStyle w:val="FootnoteReference"/>
          <w:rFonts w:ascii="Times New Roman" w:hAnsi="Times New Roman" w:cs="Times New Roman"/>
        </w:rPr>
        <w:footnoteReference w:id="36"/>
      </w:r>
      <w:r w:rsidRPr="006D2720">
        <w:rPr>
          <w:rFonts w:ascii="Times New Roman" w:hAnsi="Times New Roman" w:cs="Times New Roman"/>
        </w:rPr>
        <w:t xml:space="preserve"> </w:t>
      </w:r>
      <w:r w:rsidR="00CC315B" w:rsidRPr="006D2720">
        <w:rPr>
          <w:rFonts w:ascii="Times New Roman" w:hAnsi="Times New Roman" w:cs="Times New Roman"/>
        </w:rPr>
        <w:t xml:space="preserve">In its submission to </w:t>
      </w:r>
      <w:r w:rsidR="00CD5716" w:rsidRPr="006D2720">
        <w:rPr>
          <w:rFonts w:ascii="Times New Roman" w:hAnsi="Times New Roman" w:cs="Times New Roman"/>
        </w:rPr>
        <w:t>the Privacy Act</w:t>
      </w:r>
      <w:r w:rsidR="00CD5716" w:rsidRPr="006D2720">
        <w:rPr>
          <w:rFonts w:ascii="Times New Roman" w:hAnsi="Times New Roman" w:cs="Times New Roman"/>
          <w:i/>
          <w:iCs/>
        </w:rPr>
        <w:t xml:space="preserve"> </w:t>
      </w:r>
      <w:r w:rsidR="00CC315B" w:rsidRPr="006D2720">
        <w:rPr>
          <w:rFonts w:ascii="Times New Roman" w:hAnsi="Times New Roman" w:cs="Times New Roman"/>
        </w:rPr>
        <w:t xml:space="preserve">review, the </w:t>
      </w:r>
      <w:r w:rsidR="00920465" w:rsidRPr="006D2720">
        <w:rPr>
          <w:rFonts w:ascii="Times New Roman" w:hAnsi="Times New Roman" w:cs="Times New Roman"/>
        </w:rPr>
        <w:t>OAIC</w:t>
      </w:r>
      <w:r w:rsidR="008136B2" w:rsidRPr="006D2720" w:rsidDel="008136B2">
        <w:rPr>
          <w:rFonts w:ascii="Times New Roman" w:hAnsi="Times New Roman" w:cs="Times New Roman"/>
        </w:rPr>
        <w:t xml:space="preserve"> </w:t>
      </w:r>
      <w:r w:rsidR="00CC315B" w:rsidRPr="006D2720">
        <w:rPr>
          <w:rFonts w:ascii="Times New Roman" w:hAnsi="Times New Roman" w:cs="Times New Roman"/>
        </w:rPr>
        <w:t xml:space="preserve">has referred to the GDPR as a relevant comparator </w:t>
      </w:r>
      <w:r w:rsidR="00D50E57" w:rsidRPr="006D2720">
        <w:rPr>
          <w:rFonts w:ascii="Times New Roman" w:hAnsi="Times New Roman" w:cs="Times New Roman"/>
        </w:rPr>
        <w:t xml:space="preserve">both </w:t>
      </w:r>
      <w:r w:rsidR="00CC315B" w:rsidRPr="006D2720">
        <w:rPr>
          <w:rFonts w:ascii="Times New Roman" w:hAnsi="Times New Roman" w:cs="Times New Roman"/>
        </w:rPr>
        <w:t xml:space="preserve">in terms of </w:t>
      </w:r>
      <w:r w:rsidR="003C020F" w:rsidRPr="006D2720">
        <w:rPr>
          <w:rFonts w:ascii="Times New Roman" w:hAnsi="Times New Roman" w:cs="Times New Roman"/>
        </w:rPr>
        <w:t xml:space="preserve">an </w:t>
      </w:r>
      <w:r w:rsidR="00556209" w:rsidRPr="006D2720">
        <w:rPr>
          <w:rFonts w:ascii="Times New Roman" w:hAnsi="Times New Roman" w:cs="Times New Roman"/>
        </w:rPr>
        <w:t>Australia</w:t>
      </w:r>
      <w:r w:rsidR="005C3F40" w:rsidRPr="006D2720">
        <w:rPr>
          <w:rFonts w:ascii="Times New Roman" w:hAnsi="Times New Roman" w:cs="Times New Roman"/>
        </w:rPr>
        <w:t>-</w:t>
      </w:r>
      <w:r w:rsidR="00095F18" w:rsidRPr="006D2720">
        <w:rPr>
          <w:rFonts w:ascii="Times New Roman" w:hAnsi="Times New Roman" w:cs="Times New Roman"/>
        </w:rPr>
        <w:t>European Union</w:t>
      </w:r>
      <w:r w:rsidR="00556209" w:rsidRPr="006D2720">
        <w:rPr>
          <w:rFonts w:ascii="Times New Roman" w:hAnsi="Times New Roman" w:cs="Times New Roman"/>
        </w:rPr>
        <w:t xml:space="preserve"> </w:t>
      </w:r>
      <w:r w:rsidR="00CC315B" w:rsidRPr="006D2720">
        <w:rPr>
          <w:rFonts w:ascii="Times New Roman" w:hAnsi="Times New Roman" w:cs="Times New Roman"/>
        </w:rPr>
        <w:t xml:space="preserve">adequacy arrangement </w:t>
      </w:r>
      <w:r w:rsidR="00D50E57" w:rsidRPr="006D2720">
        <w:rPr>
          <w:rFonts w:ascii="Times New Roman" w:hAnsi="Times New Roman" w:cs="Times New Roman"/>
        </w:rPr>
        <w:t xml:space="preserve">and also </w:t>
      </w:r>
      <w:r w:rsidR="00CC315B" w:rsidRPr="006D2720">
        <w:rPr>
          <w:rFonts w:ascii="Times New Roman" w:hAnsi="Times New Roman" w:cs="Times New Roman"/>
        </w:rPr>
        <w:t>in considering possible reforms to the Commonwealth privacy principles.</w:t>
      </w:r>
      <w:r w:rsidR="007C66CC" w:rsidRPr="006D2720">
        <w:rPr>
          <w:rStyle w:val="FootnoteReference"/>
          <w:rFonts w:ascii="Times New Roman" w:hAnsi="Times New Roman" w:cs="Times New Roman"/>
        </w:rPr>
        <w:footnoteReference w:id="37"/>
      </w:r>
      <w:r w:rsidR="00A96E11" w:rsidRPr="006D2720">
        <w:rPr>
          <w:rFonts w:ascii="Times New Roman" w:hAnsi="Times New Roman" w:cs="Times New Roman"/>
        </w:rPr>
        <w:t xml:space="preserve"> </w:t>
      </w:r>
      <w:r w:rsidR="00A71E99" w:rsidRPr="006D2720">
        <w:rPr>
          <w:rFonts w:ascii="Times New Roman" w:hAnsi="Times New Roman" w:cs="Times New Roman"/>
        </w:rPr>
        <w:t>The</w:t>
      </w:r>
      <w:r w:rsidR="00CC315B" w:rsidRPr="006D2720">
        <w:rPr>
          <w:rFonts w:ascii="Times New Roman" w:hAnsi="Times New Roman" w:cs="Times New Roman"/>
        </w:rPr>
        <w:t xml:space="preserve"> GDPR is therefore </w:t>
      </w:r>
      <w:r w:rsidR="007275DD" w:rsidRPr="006D2720">
        <w:rPr>
          <w:rFonts w:ascii="Times New Roman" w:hAnsi="Times New Roman" w:cs="Times New Roman"/>
        </w:rPr>
        <w:t xml:space="preserve">relevant </w:t>
      </w:r>
      <w:r w:rsidR="00A71E99" w:rsidRPr="006D2720">
        <w:rPr>
          <w:rFonts w:ascii="Times New Roman" w:hAnsi="Times New Roman" w:cs="Times New Roman"/>
        </w:rPr>
        <w:t xml:space="preserve">to this Issues Paper </w:t>
      </w:r>
      <w:r w:rsidR="007275DD" w:rsidRPr="006D2720">
        <w:rPr>
          <w:rFonts w:ascii="Times New Roman" w:hAnsi="Times New Roman" w:cs="Times New Roman"/>
        </w:rPr>
        <w:t xml:space="preserve">in two ways. First, Tasmanian entities are potentially subject to its requirements in dealings with the European Union. Second, the GDPR serves </w:t>
      </w:r>
      <w:r w:rsidR="00CC315B" w:rsidRPr="006D2720">
        <w:rPr>
          <w:rFonts w:ascii="Times New Roman" w:hAnsi="Times New Roman" w:cs="Times New Roman"/>
        </w:rPr>
        <w:t xml:space="preserve">as a comparator </w:t>
      </w:r>
      <w:r w:rsidR="003C4E25" w:rsidRPr="006D2720">
        <w:rPr>
          <w:rFonts w:ascii="Times New Roman" w:hAnsi="Times New Roman" w:cs="Times New Roman"/>
        </w:rPr>
        <w:t xml:space="preserve">for </w:t>
      </w:r>
      <w:r w:rsidR="00C45D1F" w:rsidRPr="006D2720">
        <w:rPr>
          <w:rFonts w:ascii="Times New Roman" w:hAnsi="Times New Roman" w:cs="Times New Roman"/>
        </w:rPr>
        <w:t xml:space="preserve">identifying potential issues for reform and </w:t>
      </w:r>
      <w:r w:rsidR="00CC315B" w:rsidRPr="006D2720">
        <w:rPr>
          <w:rFonts w:ascii="Times New Roman" w:hAnsi="Times New Roman" w:cs="Times New Roman"/>
        </w:rPr>
        <w:t xml:space="preserve">as an example of how </w:t>
      </w:r>
      <w:r w:rsidR="00C45D1F" w:rsidRPr="006D2720">
        <w:rPr>
          <w:rFonts w:ascii="Times New Roman" w:hAnsi="Times New Roman" w:cs="Times New Roman"/>
        </w:rPr>
        <w:t xml:space="preserve">those </w:t>
      </w:r>
      <w:r w:rsidR="00CC315B" w:rsidRPr="006D2720">
        <w:rPr>
          <w:rFonts w:ascii="Times New Roman" w:hAnsi="Times New Roman" w:cs="Times New Roman"/>
        </w:rPr>
        <w:t>issues have been approached in other jurisdictions</w:t>
      </w:r>
      <w:r w:rsidR="00C45D1F" w:rsidRPr="006D2720">
        <w:rPr>
          <w:rFonts w:ascii="Times New Roman" w:hAnsi="Times New Roman" w:cs="Times New Roman"/>
        </w:rPr>
        <w:t>.</w:t>
      </w:r>
      <w:bookmarkEnd w:id="106"/>
    </w:p>
    <w:p w14:paraId="40DCB5F6" w14:textId="77777777" w:rsidR="00AD1632" w:rsidRPr="006D2720" w:rsidRDefault="00AD1632">
      <w:pPr>
        <w:rPr>
          <w:rFonts w:ascii="Times New Roman" w:hAnsi="Times New Roman" w:cs="Times New Roman"/>
        </w:rPr>
        <w:sectPr w:rsidR="00AD1632" w:rsidRPr="006D2720" w:rsidSect="008F4B00">
          <w:headerReference w:type="default" r:id="rId21"/>
          <w:pgSz w:w="11906" w:h="16838"/>
          <w:pgMar w:top="1440" w:right="1440" w:bottom="1440" w:left="1440" w:header="708" w:footer="708" w:gutter="0"/>
          <w:cols w:space="708"/>
          <w:docGrid w:linePitch="360"/>
        </w:sectPr>
      </w:pPr>
    </w:p>
    <w:p w14:paraId="68565060" w14:textId="77777777" w:rsidR="00414512" w:rsidRPr="006D2720" w:rsidRDefault="00414512">
      <w:pPr>
        <w:pStyle w:val="PartNoTLRI"/>
        <w:numPr>
          <w:ilvl w:val="0"/>
          <w:numId w:val="44"/>
        </w:numPr>
        <w:spacing w:after="360" w:line="240" w:lineRule="auto"/>
        <w:ind w:left="0" w:firstLine="0"/>
        <w:rPr>
          <w:rFonts w:ascii="Times New Roman" w:hAnsi="Times New Roman" w:cs="Times New Roman"/>
        </w:rPr>
      </w:pPr>
      <w:bookmarkStart w:id="107" w:name="_Ref56440643"/>
      <w:bookmarkStart w:id="108" w:name="_Ref55034865"/>
    </w:p>
    <w:p w14:paraId="1942E2F1" w14:textId="631F91FE" w:rsidR="0064050C" w:rsidRPr="006D2720" w:rsidRDefault="0064050C" w:rsidP="0064050C">
      <w:pPr>
        <w:pStyle w:val="Heading1"/>
        <w:rPr>
          <w:rFonts w:ascii="Times New Roman" w:hAnsi="Times New Roman" w:cs="Times New Roman"/>
        </w:rPr>
      </w:pPr>
      <w:bookmarkStart w:id="109" w:name="_Toc91536399"/>
      <w:bookmarkStart w:id="110" w:name="_Toc91830010"/>
      <w:bookmarkStart w:id="111" w:name="_Personal_Information_Protection"/>
      <w:bookmarkStart w:id="112" w:name="_Ref89381647"/>
      <w:bookmarkStart w:id="113" w:name="_Toc91831992"/>
      <w:bookmarkStart w:id="114" w:name="_Ref129273170"/>
      <w:bookmarkStart w:id="115" w:name="_Toc130540426"/>
      <w:bookmarkEnd w:id="107"/>
      <w:bookmarkEnd w:id="108"/>
      <w:bookmarkEnd w:id="109"/>
      <w:bookmarkEnd w:id="110"/>
      <w:bookmarkEnd w:id="111"/>
      <w:r w:rsidRPr="006D2720">
        <w:rPr>
          <w:rFonts w:ascii="Times New Roman" w:hAnsi="Times New Roman" w:cs="Times New Roman"/>
        </w:rPr>
        <w:t>Personal Information Protection Act</w:t>
      </w:r>
      <w:bookmarkEnd w:id="112"/>
      <w:bookmarkEnd w:id="113"/>
      <w:r w:rsidR="005C3F40" w:rsidRPr="006D2720">
        <w:rPr>
          <w:rFonts w:ascii="Times New Roman" w:hAnsi="Times New Roman" w:cs="Times New Roman"/>
        </w:rPr>
        <w:t xml:space="preserve"> 2004</w:t>
      </w:r>
      <w:r w:rsidR="00AC070C" w:rsidRPr="006D2720">
        <w:rPr>
          <w:rFonts w:ascii="Times New Roman" w:hAnsi="Times New Roman" w:cs="Times New Roman"/>
        </w:rPr>
        <w:t xml:space="preserve"> (Tas)</w:t>
      </w:r>
      <w:r w:rsidR="004F12E3" w:rsidRPr="006D2720">
        <w:rPr>
          <w:rFonts w:ascii="Times New Roman" w:hAnsi="Times New Roman" w:cs="Times New Roman"/>
        </w:rPr>
        <w:t xml:space="preserve"> (‘PIPA’)</w:t>
      </w:r>
      <w:bookmarkEnd w:id="114"/>
      <w:bookmarkEnd w:id="115"/>
    </w:p>
    <w:p w14:paraId="76C24E29" w14:textId="55AF0262" w:rsidR="0064050C" w:rsidRPr="006D2720" w:rsidRDefault="0064050C" w:rsidP="0064050C">
      <w:pPr>
        <w:pStyle w:val="Heading2"/>
        <w:rPr>
          <w:rFonts w:ascii="Times New Roman" w:hAnsi="Times New Roman" w:cs="Times New Roman"/>
        </w:rPr>
      </w:pPr>
      <w:bookmarkStart w:id="116" w:name="_Toc91831993"/>
      <w:bookmarkStart w:id="117" w:name="_Toc130540427"/>
      <w:r w:rsidRPr="006D2720">
        <w:rPr>
          <w:rFonts w:ascii="Times New Roman" w:hAnsi="Times New Roman" w:cs="Times New Roman"/>
        </w:rPr>
        <w:t>Introduction</w:t>
      </w:r>
      <w:bookmarkEnd w:id="116"/>
      <w:bookmarkEnd w:id="117"/>
    </w:p>
    <w:p w14:paraId="1C55E2FA" w14:textId="69CB2F0E" w:rsidR="002479E1" w:rsidRPr="006D2720" w:rsidRDefault="00F04C1D" w:rsidP="0014494A">
      <w:pPr>
        <w:pStyle w:val="Heading3"/>
        <w:rPr>
          <w:rFonts w:ascii="Times New Roman" w:hAnsi="Times New Roman" w:cs="Times New Roman"/>
        </w:rPr>
      </w:pPr>
      <w:bookmarkStart w:id="118" w:name="Three"/>
      <w:bookmarkEnd w:id="118"/>
      <w:r w:rsidRPr="006D2720">
        <w:rPr>
          <w:rFonts w:ascii="Times New Roman" w:hAnsi="Times New Roman" w:cs="Times New Roman"/>
        </w:rPr>
        <w:t xml:space="preserve">The </w:t>
      </w:r>
      <w:r w:rsidRPr="006D2720">
        <w:rPr>
          <w:rFonts w:ascii="Times New Roman" w:hAnsi="Times New Roman" w:cs="Times New Roman"/>
          <w:i/>
          <w:iCs/>
        </w:rPr>
        <w:t>Personal Information Protection Act 2004</w:t>
      </w:r>
      <w:r w:rsidRPr="006D2720">
        <w:rPr>
          <w:rFonts w:ascii="Times New Roman" w:hAnsi="Times New Roman" w:cs="Times New Roman"/>
        </w:rPr>
        <w:t xml:space="preserve"> (Tas) (‘PIPA’) is the primary law for the protection of </w:t>
      </w:r>
      <w:r w:rsidR="001F4238" w:rsidRPr="006D2720">
        <w:rPr>
          <w:rFonts w:ascii="Times New Roman" w:hAnsi="Times New Roman" w:cs="Times New Roman"/>
        </w:rPr>
        <w:t>i</w:t>
      </w:r>
      <w:r w:rsidRPr="006D2720">
        <w:rPr>
          <w:rFonts w:ascii="Times New Roman" w:hAnsi="Times New Roman" w:cs="Times New Roman"/>
        </w:rPr>
        <w:t xml:space="preserve">nformation privacy in Tasmania, at least as regards information held by Tasmanian government agencies. </w:t>
      </w:r>
      <w:r w:rsidR="005D2942" w:rsidRPr="006D2720">
        <w:rPr>
          <w:rFonts w:ascii="Times New Roman" w:hAnsi="Times New Roman" w:cs="Times New Roman"/>
        </w:rPr>
        <w:t xml:space="preserve">The </w:t>
      </w:r>
      <w:r w:rsidRPr="006D2720">
        <w:rPr>
          <w:rFonts w:ascii="Times New Roman" w:hAnsi="Times New Roman" w:cs="Times New Roman"/>
          <w:iCs/>
        </w:rPr>
        <w:t xml:space="preserve">PIPA </w:t>
      </w:r>
      <w:r w:rsidR="0064050C" w:rsidRPr="006D2720">
        <w:rPr>
          <w:rFonts w:ascii="Times New Roman" w:hAnsi="Times New Roman" w:cs="Times New Roman"/>
          <w:iCs/>
        </w:rPr>
        <w:t>was</w:t>
      </w:r>
      <w:r w:rsidR="0064050C" w:rsidRPr="006D2720">
        <w:rPr>
          <w:rFonts w:ascii="Times New Roman" w:hAnsi="Times New Roman" w:cs="Times New Roman"/>
        </w:rPr>
        <w:t xml:space="preserve"> </w:t>
      </w:r>
      <w:r w:rsidR="005D2942" w:rsidRPr="006D2720">
        <w:rPr>
          <w:rFonts w:ascii="Times New Roman" w:hAnsi="Times New Roman" w:cs="Times New Roman"/>
        </w:rPr>
        <w:t>passed in 2004 with broad bi-partisan support.</w:t>
      </w:r>
      <w:r w:rsidR="005D2942" w:rsidRPr="006D2720">
        <w:rPr>
          <w:rStyle w:val="FootnoteReference"/>
          <w:rFonts w:ascii="Times New Roman" w:hAnsi="Times New Roman" w:cs="Times New Roman"/>
        </w:rPr>
        <w:footnoteReference w:id="38"/>
      </w:r>
      <w:r w:rsidR="00E84473" w:rsidRPr="006D2720">
        <w:rPr>
          <w:rFonts w:ascii="Times New Roman" w:hAnsi="Times New Roman" w:cs="Times New Roman"/>
        </w:rPr>
        <w:t xml:space="preserve"> </w:t>
      </w:r>
      <w:r w:rsidR="00EC2ED4" w:rsidRPr="006D2720">
        <w:rPr>
          <w:rFonts w:ascii="Times New Roman" w:hAnsi="Times New Roman" w:cs="Times New Roman"/>
        </w:rPr>
        <w:t xml:space="preserve">Its </w:t>
      </w:r>
      <w:r w:rsidR="002479E1" w:rsidRPr="006D2720">
        <w:rPr>
          <w:rFonts w:ascii="Times New Roman" w:hAnsi="Times New Roman" w:cs="Times New Roman"/>
        </w:rPr>
        <w:t xml:space="preserve">key objective was to </w:t>
      </w:r>
      <w:r w:rsidR="008B5EE1" w:rsidRPr="006D2720">
        <w:rPr>
          <w:rFonts w:ascii="Times New Roman" w:hAnsi="Times New Roman" w:cs="Times New Roman"/>
        </w:rPr>
        <w:t>‘</w:t>
      </w:r>
      <w:r w:rsidR="002479E1" w:rsidRPr="006D2720">
        <w:rPr>
          <w:rFonts w:ascii="Times New Roman" w:hAnsi="Times New Roman" w:cs="Times New Roman"/>
        </w:rPr>
        <w:t>ensure that the way in which the State and local government sectors collect, use and disclose personal information is fully transparent</w:t>
      </w:r>
      <w:r w:rsidR="008B5EE1" w:rsidRPr="006D2720">
        <w:rPr>
          <w:rFonts w:ascii="Times New Roman" w:hAnsi="Times New Roman" w:cs="Times New Roman"/>
        </w:rPr>
        <w:t>’</w:t>
      </w:r>
      <w:r w:rsidR="002479E1" w:rsidRPr="006D2720">
        <w:rPr>
          <w:rFonts w:ascii="Times New Roman" w:hAnsi="Times New Roman" w:cs="Times New Roman"/>
        </w:rPr>
        <w:t>.</w:t>
      </w:r>
      <w:r w:rsidR="002479E1" w:rsidRPr="006D2720">
        <w:rPr>
          <w:rStyle w:val="FootnoteReference"/>
          <w:rFonts w:ascii="Times New Roman" w:hAnsi="Times New Roman" w:cs="Times New Roman"/>
        </w:rPr>
        <w:footnoteReference w:id="39"/>
      </w:r>
      <w:r w:rsidR="002479E1" w:rsidRPr="006D2720">
        <w:rPr>
          <w:rFonts w:ascii="Times New Roman" w:hAnsi="Times New Roman" w:cs="Times New Roman"/>
        </w:rPr>
        <w:t xml:space="preserve">  </w:t>
      </w:r>
    </w:p>
    <w:p w14:paraId="3EB8A514" w14:textId="4F7F7449" w:rsidR="00921BE7" w:rsidRPr="006D2720" w:rsidRDefault="002479E1" w:rsidP="00CA1A69">
      <w:pPr>
        <w:pStyle w:val="Heading3"/>
        <w:rPr>
          <w:rFonts w:ascii="Times New Roman" w:hAnsi="Times New Roman" w:cs="Times New Roman"/>
        </w:rPr>
      </w:pPr>
      <w:r w:rsidRPr="006D2720">
        <w:rPr>
          <w:rFonts w:ascii="Times New Roman" w:hAnsi="Times New Roman" w:cs="Times New Roman"/>
        </w:rPr>
        <w:t xml:space="preserve">The PIPA </w:t>
      </w:r>
      <w:r w:rsidR="00E84473" w:rsidRPr="006D2720">
        <w:rPr>
          <w:rFonts w:ascii="Times New Roman" w:hAnsi="Times New Roman" w:cs="Times New Roman"/>
        </w:rPr>
        <w:t xml:space="preserve">was </w:t>
      </w:r>
      <w:r w:rsidR="00245DE9" w:rsidRPr="006D2720">
        <w:rPr>
          <w:rFonts w:ascii="Times New Roman" w:hAnsi="Times New Roman" w:cs="Times New Roman"/>
        </w:rPr>
        <w:t xml:space="preserve">a response </w:t>
      </w:r>
      <w:r w:rsidR="00E84473" w:rsidRPr="006D2720">
        <w:rPr>
          <w:rFonts w:ascii="Times New Roman" w:hAnsi="Times New Roman" w:cs="Times New Roman"/>
        </w:rPr>
        <w:t xml:space="preserve">to community concerns </w:t>
      </w:r>
      <w:r w:rsidR="00F2596E" w:rsidRPr="006D2720">
        <w:rPr>
          <w:rFonts w:ascii="Times New Roman" w:hAnsi="Times New Roman" w:cs="Times New Roman"/>
        </w:rPr>
        <w:t>about the need to ensure</w:t>
      </w:r>
      <w:r w:rsidR="00E84473" w:rsidRPr="006D2720">
        <w:rPr>
          <w:rFonts w:ascii="Times New Roman" w:hAnsi="Times New Roman" w:cs="Times New Roman"/>
        </w:rPr>
        <w:t xml:space="preserve"> </w:t>
      </w:r>
      <w:r w:rsidR="008B5EE1" w:rsidRPr="006D2720">
        <w:rPr>
          <w:rFonts w:ascii="Times New Roman" w:hAnsi="Times New Roman" w:cs="Times New Roman"/>
        </w:rPr>
        <w:t>‘</w:t>
      </w:r>
      <w:r w:rsidR="00E84473" w:rsidRPr="006D2720">
        <w:rPr>
          <w:rFonts w:ascii="Times New Roman" w:hAnsi="Times New Roman" w:cs="Times New Roman"/>
        </w:rPr>
        <w:t>government bodies respect and properly control the personal information they collect and hold</w:t>
      </w:r>
      <w:r w:rsidR="008B5EE1" w:rsidRPr="006D2720">
        <w:rPr>
          <w:rFonts w:ascii="Times New Roman" w:hAnsi="Times New Roman" w:cs="Times New Roman"/>
        </w:rPr>
        <w:t>’</w:t>
      </w:r>
      <w:r w:rsidR="00E84473" w:rsidRPr="006D2720">
        <w:rPr>
          <w:rStyle w:val="FootnoteReference"/>
          <w:rFonts w:ascii="Times New Roman" w:hAnsi="Times New Roman" w:cs="Times New Roman"/>
        </w:rPr>
        <w:footnoteReference w:id="40"/>
      </w:r>
      <w:r w:rsidR="00E84473" w:rsidRPr="006D2720">
        <w:rPr>
          <w:rFonts w:ascii="Times New Roman" w:hAnsi="Times New Roman" w:cs="Times New Roman"/>
        </w:rPr>
        <w:t xml:space="preserve"> </w:t>
      </w:r>
      <w:r w:rsidR="00921BE7" w:rsidRPr="006D2720">
        <w:rPr>
          <w:rFonts w:ascii="Times New Roman" w:hAnsi="Times New Roman" w:cs="Times New Roman"/>
        </w:rPr>
        <w:t xml:space="preserve">in light of the </w:t>
      </w:r>
      <w:r w:rsidR="00E84473" w:rsidRPr="006D2720">
        <w:rPr>
          <w:rFonts w:ascii="Times New Roman" w:hAnsi="Times New Roman" w:cs="Times New Roman"/>
        </w:rPr>
        <w:t xml:space="preserve">growth of the information economy and </w:t>
      </w:r>
      <w:r w:rsidR="002562AC" w:rsidRPr="006D2720">
        <w:rPr>
          <w:rFonts w:ascii="Times New Roman" w:hAnsi="Times New Roman" w:cs="Times New Roman"/>
        </w:rPr>
        <w:t xml:space="preserve">increasing </w:t>
      </w:r>
      <w:r w:rsidR="00E84473" w:rsidRPr="006D2720">
        <w:rPr>
          <w:rFonts w:ascii="Times New Roman" w:hAnsi="Times New Roman" w:cs="Times New Roman"/>
        </w:rPr>
        <w:t xml:space="preserve">use of the internet to deliver government services. </w:t>
      </w:r>
      <w:r w:rsidR="00F95560" w:rsidRPr="006D2720">
        <w:rPr>
          <w:rFonts w:ascii="Times New Roman" w:hAnsi="Times New Roman" w:cs="Times New Roman"/>
        </w:rPr>
        <w:t xml:space="preserve">It </w:t>
      </w:r>
      <w:r w:rsidR="00E84473" w:rsidRPr="006D2720">
        <w:rPr>
          <w:rFonts w:ascii="Times New Roman" w:hAnsi="Times New Roman" w:cs="Times New Roman"/>
        </w:rPr>
        <w:t xml:space="preserve">followed </w:t>
      </w:r>
      <w:r w:rsidR="006B0557" w:rsidRPr="006D2720">
        <w:rPr>
          <w:rFonts w:ascii="Times New Roman" w:hAnsi="Times New Roman" w:cs="Times New Roman"/>
        </w:rPr>
        <w:t xml:space="preserve">an </w:t>
      </w:r>
      <w:r w:rsidR="00E84473" w:rsidRPr="006D2720">
        <w:rPr>
          <w:rFonts w:ascii="Times New Roman" w:hAnsi="Times New Roman" w:cs="Times New Roman"/>
        </w:rPr>
        <w:t xml:space="preserve">expansion of Commonwealth privacy protection </w:t>
      </w:r>
      <w:r w:rsidR="006B0557" w:rsidRPr="006D2720">
        <w:rPr>
          <w:rFonts w:ascii="Times New Roman" w:hAnsi="Times New Roman" w:cs="Times New Roman"/>
        </w:rPr>
        <w:t xml:space="preserve">from the public sector </w:t>
      </w:r>
      <w:r w:rsidR="00E84473" w:rsidRPr="006D2720">
        <w:rPr>
          <w:rFonts w:ascii="Times New Roman" w:hAnsi="Times New Roman" w:cs="Times New Roman"/>
        </w:rPr>
        <w:t xml:space="preserve">to the private sector, and reflected similar legislation in </w:t>
      </w:r>
      <w:r w:rsidR="00614884" w:rsidRPr="006D2720">
        <w:rPr>
          <w:rFonts w:ascii="Times New Roman" w:hAnsi="Times New Roman" w:cs="Times New Roman"/>
        </w:rPr>
        <w:t>NSW</w:t>
      </w:r>
      <w:r w:rsidR="00E84473" w:rsidRPr="006D2720">
        <w:rPr>
          <w:rFonts w:ascii="Times New Roman" w:hAnsi="Times New Roman" w:cs="Times New Roman"/>
        </w:rPr>
        <w:t xml:space="preserve">, Victoria and the Northern Territory. </w:t>
      </w:r>
    </w:p>
    <w:p w14:paraId="57D90555" w14:textId="079550B7" w:rsidR="0027720B" w:rsidRPr="006D2720" w:rsidRDefault="001B301F" w:rsidP="004F63C0">
      <w:pPr>
        <w:pStyle w:val="Heading3"/>
        <w:rPr>
          <w:rFonts w:ascii="Times New Roman" w:hAnsi="Times New Roman" w:cs="Times New Roman"/>
        </w:rPr>
      </w:pPr>
      <w:r w:rsidRPr="006D2720">
        <w:rPr>
          <w:rFonts w:ascii="Times New Roman" w:hAnsi="Times New Roman" w:cs="Times New Roman"/>
        </w:rPr>
        <w:t xml:space="preserve">The </w:t>
      </w:r>
      <w:r w:rsidR="00921BE7" w:rsidRPr="006D2720">
        <w:rPr>
          <w:rFonts w:ascii="Times New Roman" w:hAnsi="Times New Roman" w:cs="Times New Roman"/>
        </w:rPr>
        <w:t xml:space="preserve">PIPA </w:t>
      </w:r>
      <w:r w:rsidR="00F47299" w:rsidRPr="006D2720">
        <w:rPr>
          <w:rFonts w:ascii="Times New Roman" w:hAnsi="Times New Roman" w:cs="Times New Roman"/>
        </w:rPr>
        <w:t xml:space="preserve">generally requires </w:t>
      </w:r>
      <w:r w:rsidR="007C6D17" w:rsidRPr="006D2720">
        <w:rPr>
          <w:rFonts w:ascii="Times New Roman" w:hAnsi="Times New Roman" w:cs="Times New Roman"/>
        </w:rPr>
        <w:t>public authorities and</w:t>
      </w:r>
      <w:r w:rsidR="00DD1B87" w:rsidRPr="006D2720">
        <w:rPr>
          <w:rFonts w:ascii="Times New Roman" w:hAnsi="Times New Roman" w:cs="Times New Roman"/>
        </w:rPr>
        <w:t xml:space="preserve"> their</w:t>
      </w:r>
      <w:r w:rsidR="007C6D17" w:rsidRPr="006D2720">
        <w:rPr>
          <w:rFonts w:ascii="Times New Roman" w:hAnsi="Times New Roman" w:cs="Times New Roman"/>
        </w:rPr>
        <w:t xml:space="preserve"> contractors </w:t>
      </w:r>
      <w:r w:rsidR="00F47299" w:rsidRPr="006D2720">
        <w:rPr>
          <w:rFonts w:ascii="Times New Roman" w:hAnsi="Times New Roman" w:cs="Times New Roman"/>
        </w:rPr>
        <w:t xml:space="preserve">to comply with </w:t>
      </w:r>
      <w:r w:rsidR="0064050C" w:rsidRPr="006D2720">
        <w:rPr>
          <w:rFonts w:ascii="Times New Roman" w:hAnsi="Times New Roman" w:cs="Times New Roman"/>
        </w:rPr>
        <w:t xml:space="preserve">10 </w:t>
      </w:r>
      <w:r w:rsidR="008C1B99" w:rsidRPr="006D2720">
        <w:rPr>
          <w:rFonts w:ascii="Times New Roman" w:hAnsi="Times New Roman" w:cs="Times New Roman"/>
        </w:rPr>
        <w:t xml:space="preserve">Personal Information Protection Principles </w:t>
      </w:r>
      <w:r w:rsidR="0064050C" w:rsidRPr="006D2720">
        <w:rPr>
          <w:rFonts w:ascii="Times New Roman" w:hAnsi="Times New Roman" w:cs="Times New Roman"/>
        </w:rPr>
        <w:t>(</w:t>
      </w:r>
      <w:r w:rsidR="00361C2F" w:rsidRPr="006D2720">
        <w:rPr>
          <w:rFonts w:ascii="Times New Roman" w:hAnsi="Times New Roman" w:cs="Times New Roman"/>
        </w:rPr>
        <w:t>‘</w:t>
      </w:r>
      <w:r w:rsidR="0064050C" w:rsidRPr="006D2720">
        <w:rPr>
          <w:rFonts w:ascii="Times New Roman" w:hAnsi="Times New Roman" w:cs="Times New Roman"/>
        </w:rPr>
        <w:t>PIPPs</w:t>
      </w:r>
      <w:r w:rsidR="00361C2F" w:rsidRPr="006D2720">
        <w:rPr>
          <w:rFonts w:ascii="Times New Roman" w:hAnsi="Times New Roman" w:cs="Times New Roman"/>
        </w:rPr>
        <w:t>’</w:t>
      </w:r>
      <w:r w:rsidR="0064050C" w:rsidRPr="006D2720">
        <w:rPr>
          <w:rFonts w:ascii="Times New Roman" w:hAnsi="Times New Roman" w:cs="Times New Roman"/>
        </w:rPr>
        <w:t xml:space="preserve">) </w:t>
      </w:r>
      <w:r w:rsidR="00F47299" w:rsidRPr="006D2720">
        <w:rPr>
          <w:rFonts w:ascii="Times New Roman" w:hAnsi="Times New Roman" w:cs="Times New Roman"/>
        </w:rPr>
        <w:t xml:space="preserve">when </w:t>
      </w:r>
      <w:r w:rsidR="00230ECC" w:rsidRPr="006D2720">
        <w:rPr>
          <w:rFonts w:ascii="Times New Roman" w:hAnsi="Times New Roman" w:cs="Times New Roman"/>
        </w:rPr>
        <w:t xml:space="preserve">handling </w:t>
      </w:r>
      <w:r w:rsidR="00F47299" w:rsidRPr="006D2720">
        <w:rPr>
          <w:rFonts w:ascii="Times New Roman" w:hAnsi="Times New Roman" w:cs="Times New Roman"/>
        </w:rPr>
        <w:t>personal information</w:t>
      </w:r>
      <w:r w:rsidR="00DD1B87" w:rsidRPr="006D2720">
        <w:rPr>
          <w:rFonts w:ascii="Times New Roman" w:hAnsi="Times New Roman" w:cs="Times New Roman"/>
        </w:rPr>
        <w:t>, though there are exceptions both within the PIPA and in other legislation</w:t>
      </w:r>
      <w:r w:rsidR="00F47299" w:rsidRPr="006D2720">
        <w:rPr>
          <w:rFonts w:ascii="Times New Roman" w:hAnsi="Times New Roman" w:cs="Times New Roman"/>
        </w:rPr>
        <w:t xml:space="preserve">. </w:t>
      </w:r>
      <w:r w:rsidR="00DD1B87" w:rsidRPr="006D2720">
        <w:rPr>
          <w:rFonts w:ascii="Times New Roman" w:hAnsi="Times New Roman" w:cs="Times New Roman"/>
        </w:rPr>
        <w:t xml:space="preserve">The PIPPs </w:t>
      </w:r>
      <w:r w:rsidR="00D611B7" w:rsidRPr="006D2720">
        <w:rPr>
          <w:rFonts w:ascii="Times New Roman" w:hAnsi="Times New Roman" w:cs="Times New Roman"/>
        </w:rPr>
        <w:t xml:space="preserve">are discussed in detail </w:t>
      </w:r>
      <w:r w:rsidR="002604CF">
        <w:rPr>
          <w:rFonts w:ascii="Times New Roman" w:hAnsi="Times New Roman" w:cs="Times New Roman"/>
        </w:rPr>
        <w:t>below at [</w:t>
      </w:r>
      <w:r w:rsidR="002604CF">
        <w:rPr>
          <w:rFonts w:ascii="Times New Roman" w:hAnsi="Times New Roman" w:cs="Times New Roman"/>
        </w:rPr>
        <w:fldChar w:fldCharType="begin"/>
      </w:r>
      <w:r w:rsidR="002604CF">
        <w:rPr>
          <w:rFonts w:ascii="Times New Roman" w:hAnsi="Times New Roman" w:cs="Times New Roman"/>
        </w:rPr>
        <w:instrText xml:space="preserve"> REF _Ref129354363 \r \h </w:instrText>
      </w:r>
      <w:r w:rsidR="002604CF">
        <w:rPr>
          <w:rFonts w:ascii="Times New Roman" w:hAnsi="Times New Roman" w:cs="Times New Roman"/>
        </w:rPr>
      </w:r>
      <w:r w:rsidR="002604CF">
        <w:rPr>
          <w:rFonts w:ascii="Times New Roman" w:hAnsi="Times New Roman" w:cs="Times New Roman"/>
        </w:rPr>
        <w:fldChar w:fldCharType="separate"/>
      </w:r>
      <w:r w:rsidR="00E66B60">
        <w:rPr>
          <w:rFonts w:ascii="Times New Roman" w:hAnsi="Times New Roman" w:cs="Times New Roman"/>
        </w:rPr>
        <w:t>2.3</w:t>
      </w:r>
      <w:r w:rsidR="002604CF">
        <w:rPr>
          <w:rFonts w:ascii="Times New Roman" w:hAnsi="Times New Roman" w:cs="Times New Roman"/>
        </w:rPr>
        <w:fldChar w:fldCharType="end"/>
      </w:r>
      <w:r w:rsidR="002604CF">
        <w:rPr>
          <w:rFonts w:ascii="Times New Roman" w:hAnsi="Times New Roman" w:cs="Times New Roman"/>
        </w:rPr>
        <w:t>]</w:t>
      </w:r>
      <w:r w:rsidR="00DD1B87" w:rsidRPr="006D2720">
        <w:rPr>
          <w:rFonts w:ascii="Times New Roman" w:hAnsi="Times New Roman" w:cs="Times New Roman"/>
        </w:rPr>
        <w:t xml:space="preserve">. </w:t>
      </w:r>
      <w:r w:rsidR="00271E3D" w:rsidRPr="006D2720">
        <w:rPr>
          <w:rFonts w:ascii="Times New Roman" w:hAnsi="Times New Roman" w:cs="Times New Roman"/>
        </w:rPr>
        <w:t xml:space="preserve">Briefly, </w:t>
      </w:r>
      <w:r w:rsidR="00DD1B87" w:rsidRPr="006D2720">
        <w:rPr>
          <w:rFonts w:ascii="Times New Roman" w:hAnsi="Times New Roman" w:cs="Times New Roman"/>
        </w:rPr>
        <w:t>they</w:t>
      </w:r>
      <w:r w:rsidR="00F47299" w:rsidRPr="006D2720">
        <w:rPr>
          <w:rFonts w:ascii="Times New Roman" w:hAnsi="Times New Roman" w:cs="Times New Roman"/>
        </w:rPr>
        <w:t xml:space="preserve"> relate to</w:t>
      </w:r>
      <w:r w:rsidR="0027720B" w:rsidRPr="006D2720">
        <w:rPr>
          <w:rFonts w:ascii="Times New Roman" w:hAnsi="Times New Roman" w:cs="Times New Roman"/>
        </w:rPr>
        <w:t>:</w:t>
      </w:r>
    </w:p>
    <w:p w14:paraId="2CED7C7B" w14:textId="1F735697" w:rsidR="0027720B" w:rsidRPr="006D2720" w:rsidRDefault="002429C0">
      <w:pPr>
        <w:pStyle w:val="Numberedlist"/>
        <w:numPr>
          <w:ilvl w:val="0"/>
          <w:numId w:val="31"/>
        </w:numPr>
        <w:rPr>
          <w:rFonts w:ascii="Times New Roman" w:hAnsi="Times New Roman" w:cs="Times New Roman"/>
        </w:rPr>
      </w:pPr>
      <w:r w:rsidRPr="006D2720">
        <w:rPr>
          <w:rFonts w:ascii="Times New Roman" w:hAnsi="Times New Roman" w:cs="Times New Roman"/>
        </w:rPr>
        <w:t xml:space="preserve">the </w:t>
      </w:r>
      <w:r w:rsidR="006F252B" w:rsidRPr="006D2720">
        <w:rPr>
          <w:rFonts w:ascii="Times New Roman" w:hAnsi="Times New Roman" w:cs="Times New Roman"/>
        </w:rPr>
        <w:t>c</w:t>
      </w:r>
      <w:r w:rsidR="0027720B" w:rsidRPr="006D2720">
        <w:rPr>
          <w:rFonts w:ascii="Times New Roman" w:hAnsi="Times New Roman" w:cs="Times New Roman"/>
        </w:rPr>
        <w:t>ollection of personal information;</w:t>
      </w:r>
    </w:p>
    <w:p w14:paraId="60B4CEEE" w14:textId="35D519B5" w:rsidR="0027720B" w:rsidRPr="006D2720" w:rsidRDefault="002429C0" w:rsidP="00CA1A69">
      <w:pPr>
        <w:pStyle w:val="Numberedlist"/>
        <w:rPr>
          <w:rFonts w:ascii="Times New Roman" w:hAnsi="Times New Roman" w:cs="Times New Roman"/>
        </w:rPr>
      </w:pPr>
      <w:r w:rsidRPr="006D2720">
        <w:rPr>
          <w:rFonts w:ascii="Times New Roman" w:hAnsi="Times New Roman" w:cs="Times New Roman"/>
        </w:rPr>
        <w:t xml:space="preserve">the </w:t>
      </w:r>
      <w:r w:rsidR="006F252B" w:rsidRPr="006D2720">
        <w:rPr>
          <w:rFonts w:ascii="Times New Roman" w:hAnsi="Times New Roman" w:cs="Times New Roman"/>
        </w:rPr>
        <w:t>u</w:t>
      </w:r>
      <w:r w:rsidR="0027720B" w:rsidRPr="006D2720">
        <w:rPr>
          <w:rFonts w:ascii="Times New Roman" w:hAnsi="Times New Roman" w:cs="Times New Roman"/>
        </w:rPr>
        <w:t xml:space="preserve">se and disclosure of personal information; </w:t>
      </w:r>
    </w:p>
    <w:p w14:paraId="0F530E29" w14:textId="294F32D2" w:rsidR="0027720B" w:rsidRPr="006D2720" w:rsidRDefault="002429C0" w:rsidP="00CA1A69">
      <w:pPr>
        <w:pStyle w:val="Numberedlist"/>
        <w:rPr>
          <w:rFonts w:ascii="Times New Roman" w:hAnsi="Times New Roman" w:cs="Times New Roman"/>
        </w:rPr>
      </w:pPr>
      <w:r w:rsidRPr="006D2720">
        <w:rPr>
          <w:rFonts w:ascii="Times New Roman" w:hAnsi="Times New Roman" w:cs="Times New Roman"/>
        </w:rPr>
        <w:t xml:space="preserve">the </w:t>
      </w:r>
      <w:r w:rsidR="006F252B" w:rsidRPr="006D2720">
        <w:rPr>
          <w:rFonts w:ascii="Times New Roman" w:hAnsi="Times New Roman" w:cs="Times New Roman"/>
        </w:rPr>
        <w:t>q</w:t>
      </w:r>
      <w:r w:rsidR="0027720B" w:rsidRPr="006D2720">
        <w:rPr>
          <w:rFonts w:ascii="Times New Roman" w:hAnsi="Times New Roman" w:cs="Times New Roman"/>
        </w:rPr>
        <w:t>uality of personal information;</w:t>
      </w:r>
    </w:p>
    <w:p w14:paraId="186027A6" w14:textId="4BAA6C2C" w:rsidR="0027720B" w:rsidRPr="006D2720" w:rsidRDefault="002429C0" w:rsidP="00CA1A69">
      <w:pPr>
        <w:pStyle w:val="Numberedlist"/>
        <w:rPr>
          <w:rFonts w:ascii="Times New Roman" w:hAnsi="Times New Roman" w:cs="Times New Roman"/>
        </w:rPr>
      </w:pPr>
      <w:r w:rsidRPr="006D2720">
        <w:rPr>
          <w:rFonts w:ascii="Times New Roman" w:hAnsi="Times New Roman" w:cs="Times New Roman"/>
        </w:rPr>
        <w:t xml:space="preserve">safeguarding </w:t>
      </w:r>
      <w:r w:rsidR="00A1211F" w:rsidRPr="006D2720">
        <w:rPr>
          <w:rFonts w:ascii="Times New Roman" w:hAnsi="Times New Roman" w:cs="Times New Roman"/>
        </w:rPr>
        <w:t>personal information</w:t>
      </w:r>
      <w:r w:rsidR="0027720B" w:rsidRPr="006D2720">
        <w:rPr>
          <w:rFonts w:ascii="Times New Roman" w:hAnsi="Times New Roman" w:cs="Times New Roman"/>
        </w:rPr>
        <w:t xml:space="preserve"> from misuse, loss, unauthorised access, modification or disclosure</w:t>
      </w:r>
      <w:r w:rsidR="00A1211F" w:rsidRPr="006D2720">
        <w:rPr>
          <w:rFonts w:ascii="Times New Roman" w:hAnsi="Times New Roman" w:cs="Times New Roman"/>
        </w:rPr>
        <w:t>;</w:t>
      </w:r>
    </w:p>
    <w:p w14:paraId="49F2E20B" w14:textId="281B4915" w:rsidR="00A1211F" w:rsidRPr="006D2720" w:rsidRDefault="006F252B" w:rsidP="00CA1A69">
      <w:pPr>
        <w:pStyle w:val="Numberedlist"/>
        <w:rPr>
          <w:rFonts w:ascii="Times New Roman" w:hAnsi="Times New Roman" w:cs="Times New Roman"/>
        </w:rPr>
      </w:pPr>
      <w:r w:rsidRPr="006D2720">
        <w:rPr>
          <w:rFonts w:ascii="Times New Roman" w:hAnsi="Times New Roman" w:cs="Times New Roman"/>
        </w:rPr>
        <w:t>o</w:t>
      </w:r>
      <w:r w:rsidR="00A1211F" w:rsidRPr="006D2720">
        <w:rPr>
          <w:rFonts w:ascii="Times New Roman" w:hAnsi="Times New Roman" w:cs="Times New Roman"/>
        </w:rPr>
        <w:t>penness regarding</w:t>
      </w:r>
      <w:r w:rsidR="00917C05" w:rsidRPr="006D2720">
        <w:rPr>
          <w:rFonts w:ascii="Times New Roman" w:hAnsi="Times New Roman" w:cs="Times New Roman"/>
        </w:rPr>
        <w:t xml:space="preserve"> policies on</w:t>
      </w:r>
      <w:r w:rsidR="00A1211F" w:rsidRPr="006D2720">
        <w:rPr>
          <w:rFonts w:ascii="Times New Roman" w:hAnsi="Times New Roman" w:cs="Times New Roman"/>
        </w:rPr>
        <w:t xml:space="preserve"> the handling of personal information;</w:t>
      </w:r>
    </w:p>
    <w:p w14:paraId="65B65150" w14:textId="01D39FB0" w:rsidR="00A1211F" w:rsidRPr="006D2720" w:rsidRDefault="00993E88" w:rsidP="00CA1A69">
      <w:pPr>
        <w:pStyle w:val="Numberedlist"/>
        <w:rPr>
          <w:rFonts w:ascii="Times New Roman" w:hAnsi="Times New Roman" w:cs="Times New Roman"/>
        </w:rPr>
      </w:pPr>
      <w:r w:rsidRPr="006D2720">
        <w:rPr>
          <w:rFonts w:ascii="Times New Roman" w:hAnsi="Times New Roman" w:cs="Times New Roman"/>
        </w:rPr>
        <w:t xml:space="preserve">the </w:t>
      </w:r>
      <w:r w:rsidR="006F252B" w:rsidRPr="006D2720">
        <w:rPr>
          <w:rFonts w:ascii="Times New Roman" w:hAnsi="Times New Roman" w:cs="Times New Roman"/>
        </w:rPr>
        <w:t>a</w:t>
      </w:r>
      <w:r w:rsidR="00A1211F" w:rsidRPr="006D2720">
        <w:rPr>
          <w:rFonts w:ascii="Times New Roman" w:hAnsi="Times New Roman" w:cs="Times New Roman"/>
        </w:rPr>
        <w:t>bility of individuals to access and correct their personal information;</w:t>
      </w:r>
    </w:p>
    <w:p w14:paraId="4BB0FC81" w14:textId="693F1F95" w:rsidR="00A1211F" w:rsidRPr="006D2720" w:rsidRDefault="006F252B" w:rsidP="00CA1A69">
      <w:pPr>
        <w:pStyle w:val="Numberedlist"/>
        <w:rPr>
          <w:rFonts w:ascii="Times New Roman" w:hAnsi="Times New Roman" w:cs="Times New Roman"/>
        </w:rPr>
      </w:pPr>
      <w:r w:rsidRPr="006D2720">
        <w:rPr>
          <w:rFonts w:ascii="Times New Roman" w:hAnsi="Times New Roman" w:cs="Times New Roman"/>
        </w:rPr>
        <w:t>t</w:t>
      </w:r>
      <w:r w:rsidR="00B833DB" w:rsidRPr="006D2720">
        <w:rPr>
          <w:rFonts w:ascii="Times New Roman" w:hAnsi="Times New Roman" w:cs="Times New Roman"/>
        </w:rPr>
        <w:t xml:space="preserve">he assignment </w:t>
      </w:r>
      <w:r w:rsidR="003376A0" w:rsidRPr="006D2720">
        <w:rPr>
          <w:rFonts w:ascii="Times New Roman" w:hAnsi="Times New Roman" w:cs="Times New Roman"/>
        </w:rPr>
        <w:t>of</w:t>
      </w:r>
      <w:r w:rsidR="00A1211F" w:rsidRPr="006D2720">
        <w:rPr>
          <w:rFonts w:ascii="Times New Roman" w:hAnsi="Times New Roman" w:cs="Times New Roman"/>
        </w:rPr>
        <w:t xml:space="preserve"> unique identifiers to individuals;</w:t>
      </w:r>
    </w:p>
    <w:p w14:paraId="55161330" w14:textId="35AB87AC" w:rsidR="00A1211F" w:rsidRPr="006D2720" w:rsidRDefault="006F252B" w:rsidP="00CA1A69">
      <w:pPr>
        <w:pStyle w:val="Numberedlist"/>
        <w:rPr>
          <w:rFonts w:ascii="Times New Roman" w:hAnsi="Times New Roman" w:cs="Times New Roman"/>
        </w:rPr>
      </w:pPr>
      <w:r w:rsidRPr="006D2720">
        <w:rPr>
          <w:rFonts w:ascii="Times New Roman" w:hAnsi="Times New Roman" w:cs="Times New Roman"/>
        </w:rPr>
        <w:t>a</w:t>
      </w:r>
      <w:r w:rsidR="00C20B23" w:rsidRPr="006D2720">
        <w:rPr>
          <w:rFonts w:ascii="Times New Roman" w:hAnsi="Times New Roman" w:cs="Times New Roman"/>
        </w:rPr>
        <w:t>llowance of</w:t>
      </w:r>
      <w:r w:rsidR="00A1211F" w:rsidRPr="006D2720">
        <w:rPr>
          <w:rFonts w:ascii="Times New Roman" w:hAnsi="Times New Roman" w:cs="Times New Roman"/>
        </w:rPr>
        <w:t xml:space="preserve"> anonymous dealings with agencies</w:t>
      </w:r>
      <w:r w:rsidR="00DD1B87" w:rsidRPr="006D2720">
        <w:rPr>
          <w:rFonts w:ascii="Times New Roman" w:hAnsi="Times New Roman" w:cs="Times New Roman"/>
        </w:rPr>
        <w:t>;</w:t>
      </w:r>
    </w:p>
    <w:p w14:paraId="7002FFF6" w14:textId="1080A495" w:rsidR="00A1211F" w:rsidRPr="006D2720" w:rsidRDefault="006F252B" w:rsidP="00CA1A69">
      <w:pPr>
        <w:pStyle w:val="Numberedlist"/>
        <w:rPr>
          <w:rFonts w:ascii="Times New Roman" w:hAnsi="Times New Roman" w:cs="Times New Roman"/>
        </w:rPr>
      </w:pPr>
      <w:r w:rsidRPr="006D2720">
        <w:rPr>
          <w:rFonts w:ascii="Times New Roman" w:hAnsi="Times New Roman" w:cs="Times New Roman"/>
        </w:rPr>
        <w:t>d</w:t>
      </w:r>
      <w:r w:rsidR="00A1211F" w:rsidRPr="006D2720">
        <w:rPr>
          <w:rFonts w:ascii="Times New Roman" w:hAnsi="Times New Roman" w:cs="Times New Roman"/>
        </w:rPr>
        <w:t>isclosure of personal information to a body outside of Tasmania; and</w:t>
      </w:r>
    </w:p>
    <w:p w14:paraId="7052F218" w14:textId="6A7D23A4" w:rsidR="00A1211F" w:rsidRPr="006D2720" w:rsidRDefault="00993E88" w:rsidP="00CA1A69">
      <w:pPr>
        <w:pStyle w:val="Numberedlist"/>
        <w:rPr>
          <w:rFonts w:ascii="Times New Roman" w:hAnsi="Times New Roman" w:cs="Times New Roman"/>
        </w:rPr>
      </w:pPr>
      <w:r w:rsidRPr="006D2720">
        <w:rPr>
          <w:rFonts w:ascii="Times New Roman" w:hAnsi="Times New Roman" w:cs="Times New Roman"/>
        </w:rPr>
        <w:t xml:space="preserve">the </w:t>
      </w:r>
      <w:r w:rsidR="006F252B" w:rsidRPr="006D2720">
        <w:rPr>
          <w:rFonts w:ascii="Times New Roman" w:hAnsi="Times New Roman" w:cs="Times New Roman"/>
        </w:rPr>
        <w:t>c</w:t>
      </w:r>
      <w:r w:rsidR="00B00F2C" w:rsidRPr="006D2720">
        <w:rPr>
          <w:rFonts w:ascii="Times New Roman" w:hAnsi="Times New Roman" w:cs="Times New Roman"/>
        </w:rPr>
        <w:t>ollection of sensitive information</w:t>
      </w:r>
      <w:r w:rsidR="00F76B8E" w:rsidRPr="006D2720">
        <w:rPr>
          <w:rFonts w:ascii="Times New Roman" w:hAnsi="Times New Roman" w:cs="Times New Roman"/>
        </w:rPr>
        <w:t xml:space="preserve">, such as information on </w:t>
      </w:r>
      <w:r w:rsidRPr="006D2720">
        <w:rPr>
          <w:rFonts w:ascii="Times New Roman" w:hAnsi="Times New Roman" w:cs="Times New Roman"/>
        </w:rPr>
        <w:t xml:space="preserve">race, ethnicity, </w:t>
      </w:r>
      <w:r w:rsidR="00F76B8E" w:rsidRPr="006D2720">
        <w:rPr>
          <w:rFonts w:ascii="Times New Roman" w:hAnsi="Times New Roman" w:cs="Times New Roman"/>
        </w:rPr>
        <w:t xml:space="preserve">or </w:t>
      </w:r>
      <w:r w:rsidRPr="006D2720">
        <w:rPr>
          <w:rFonts w:ascii="Times New Roman" w:hAnsi="Times New Roman" w:cs="Times New Roman"/>
        </w:rPr>
        <w:t>criminal history</w:t>
      </w:r>
      <w:r w:rsidR="00C07258" w:rsidRPr="006D2720">
        <w:rPr>
          <w:rFonts w:ascii="Times New Roman" w:hAnsi="Times New Roman" w:cs="Times New Roman"/>
        </w:rPr>
        <w:t xml:space="preserve">. </w:t>
      </w:r>
      <w:r w:rsidR="00B00F2C" w:rsidRPr="006D2720">
        <w:rPr>
          <w:rFonts w:ascii="Times New Roman" w:hAnsi="Times New Roman" w:cs="Times New Roman"/>
        </w:rPr>
        <w:t xml:space="preserve"> </w:t>
      </w:r>
    </w:p>
    <w:p w14:paraId="332A9D10" w14:textId="4E7F521B" w:rsidR="0064050C" w:rsidRPr="006D2720" w:rsidRDefault="0064050C" w:rsidP="0066337D">
      <w:pPr>
        <w:pStyle w:val="Heading3"/>
        <w:rPr>
          <w:rFonts w:ascii="Times New Roman" w:hAnsi="Times New Roman" w:cs="Times New Roman"/>
        </w:rPr>
      </w:pPr>
      <w:r w:rsidRPr="006D2720">
        <w:rPr>
          <w:rFonts w:ascii="Times New Roman" w:hAnsi="Times New Roman" w:cs="Times New Roman"/>
        </w:rPr>
        <w:t>Complaints relating to</w:t>
      </w:r>
      <w:r w:rsidR="00DD1B87" w:rsidRPr="006D2720">
        <w:rPr>
          <w:rFonts w:ascii="Times New Roman" w:hAnsi="Times New Roman" w:cs="Times New Roman"/>
        </w:rPr>
        <w:t xml:space="preserve"> a</w:t>
      </w:r>
      <w:r w:rsidRPr="006D2720">
        <w:rPr>
          <w:rFonts w:ascii="Times New Roman" w:hAnsi="Times New Roman" w:cs="Times New Roman"/>
        </w:rPr>
        <w:t xml:space="preserve"> contravention of the PIPPs can be made to the Ombudsman</w:t>
      </w:r>
      <w:r w:rsidR="00CC3FA3" w:rsidRPr="006D2720">
        <w:rPr>
          <w:rFonts w:ascii="Times New Roman" w:hAnsi="Times New Roman" w:cs="Times New Roman"/>
        </w:rPr>
        <w:t>, who can deal with the matter themselves or refer it to</w:t>
      </w:r>
      <w:r w:rsidRPr="006D2720">
        <w:rPr>
          <w:rFonts w:ascii="Times New Roman" w:hAnsi="Times New Roman" w:cs="Times New Roman"/>
        </w:rPr>
        <w:t xml:space="preserve"> another person, body or authority. </w:t>
      </w:r>
      <w:r w:rsidR="00451E11" w:rsidRPr="006D2720">
        <w:rPr>
          <w:rFonts w:ascii="Times New Roman" w:hAnsi="Times New Roman" w:cs="Times New Roman"/>
        </w:rPr>
        <w:t xml:space="preserve">If the Ombudsman finds a </w:t>
      </w:r>
      <w:r w:rsidRPr="006D2720">
        <w:rPr>
          <w:rFonts w:ascii="Times New Roman" w:hAnsi="Times New Roman" w:cs="Times New Roman"/>
        </w:rPr>
        <w:t>contravention</w:t>
      </w:r>
      <w:r w:rsidR="00101FBC" w:rsidRPr="006D2720">
        <w:rPr>
          <w:rFonts w:ascii="Times New Roman" w:hAnsi="Times New Roman" w:cs="Times New Roman"/>
        </w:rPr>
        <w:t xml:space="preserve">, this advice and </w:t>
      </w:r>
      <w:r w:rsidRPr="006D2720">
        <w:rPr>
          <w:rFonts w:ascii="Times New Roman" w:hAnsi="Times New Roman" w:cs="Times New Roman"/>
        </w:rPr>
        <w:t>any recommendations</w:t>
      </w:r>
      <w:r w:rsidR="005F0D1A" w:rsidRPr="006D2720">
        <w:rPr>
          <w:rFonts w:ascii="Times New Roman" w:hAnsi="Times New Roman" w:cs="Times New Roman"/>
        </w:rPr>
        <w:t xml:space="preserve"> </w:t>
      </w:r>
      <w:r w:rsidRPr="006D2720">
        <w:rPr>
          <w:rFonts w:ascii="Times New Roman" w:hAnsi="Times New Roman" w:cs="Times New Roman"/>
        </w:rPr>
        <w:t>are provided to the Minister</w:t>
      </w:r>
      <w:r w:rsidR="00556DC0" w:rsidRPr="006D2720">
        <w:rPr>
          <w:rFonts w:ascii="Times New Roman" w:hAnsi="Times New Roman" w:cs="Times New Roman"/>
        </w:rPr>
        <w:t xml:space="preserve"> in charge of administering the </w:t>
      </w:r>
      <w:r w:rsidR="006F252B" w:rsidRPr="006D2720">
        <w:rPr>
          <w:rFonts w:ascii="Times New Roman" w:hAnsi="Times New Roman" w:cs="Times New Roman"/>
        </w:rPr>
        <w:t>PIPA</w:t>
      </w:r>
      <w:bookmarkStart w:id="119" w:name="_Ref91831330"/>
      <w:r w:rsidR="003B083D" w:rsidRPr="006D2720">
        <w:rPr>
          <w:rStyle w:val="FootnoteReference"/>
          <w:rFonts w:ascii="Times New Roman" w:hAnsi="Times New Roman" w:cs="Times New Roman"/>
        </w:rPr>
        <w:footnoteReference w:id="41"/>
      </w:r>
      <w:bookmarkEnd w:id="119"/>
      <w:r w:rsidRPr="006D2720">
        <w:rPr>
          <w:rFonts w:ascii="Times New Roman" w:hAnsi="Times New Roman" w:cs="Times New Roman"/>
        </w:rPr>
        <w:t xml:space="preserve"> and tabled in both Houses of Parliament. </w:t>
      </w:r>
      <w:r w:rsidR="001A2051" w:rsidRPr="006D2720">
        <w:rPr>
          <w:rFonts w:ascii="Times New Roman" w:hAnsi="Times New Roman" w:cs="Times New Roman"/>
        </w:rPr>
        <w:t xml:space="preserve">These mechanisms are discussed in detail </w:t>
      </w:r>
      <w:r w:rsidR="00095F18" w:rsidRPr="006D2720">
        <w:rPr>
          <w:rFonts w:ascii="Times New Roman" w:hAnsi="Times New Roman" w:cs="Times New Roman"/>
        </w:rPr>
        <w:t xml:space="preserve">below </w:t>
      </w:r>
      <w:r w:rsidR="00D73ABB" w:rsidRPr="006D2720">
        <w:rPr>
          <w:rFonts w:ascii="Times New Roman" w:hAnsi="Times New Roman" w:cs="Times New Roman"/>
        </w:rPr>
        <w:t>at [</w:t>
      </w:r>
      <w:r w:rsidR="00D73ABB" w:rsidRPr="006D2720">
        <w:rPr>
          <w:rFonts w:ascii="Times New Roman" w:hAnsi="Times New Roman" w:cs="Times New Roman"/>
        </w:rPr>
        <w:fldChar w:fldCharType="begin"/>
      </w:r>
      <w:r w:rsidR="00D73ABB" w:rsidRPr="006D2720">
        <w:rPr>
          <w:rFonts w:ascii="Times New Roman" w:hAnsi="Times New Roman" w:cs="Times New Roman"/>
        </w:rPr>
        <w:instrText xml:space="preserve"> REF _Ref129285664 \r \h </w:instrText>
      </w:r>
      <w:r w:rsidR="006D2720">
        <w:rPr>
          <w:rFonts w:ascii="Times New Roman" w:hAnsi="Times New Roman" w:cs="Times New Roman"/>
        </w:rPr>
        <w:instrText xml:space="preserve"> \* MERGEFORMAT </w:instrText>
      </w:r>
      <w:r w:rsidR="00D73ABB" w:rsidRPr="006D2720">
        <w:rPr>
          <w:rFonts w:ascii="Times New Roman" w:hAnsi="Times New Roman" w:cs="Times New Roman"/>
        </w:rPr>
      </w:r>
      <w:r w:rsidR="00D73ABB" w:rsidRPr="006D2720">
        <w:rPr>
          <w:rFonts w:ascii="Times New Roman" w:hAnsi="Times New Roman" w:cs="Times New Roman"/>
        </w:rPr>
        <w:fldChar w:fldCharType="separate"/>
      </w:r>
      <w:r w:rsidR="00E66B60">
        <w:rPr>
          <w:rFonts w:ascii="Times New Roman" w:hAnsi="Times New Roman" w:cs="Times New Roman"/>
        </w:rPr>
        <w:t>2.4</w:t>
      </w:r>
      <w:r w:rsidR="00D73ABB" w:rsidRPr="006D2720">
        <w:rPr>
          <w:rFonts w:ascii="Times New Roman" w:hAnsi="Times New Roman" w:cs="Times New Roman"/>
        </w:rPr>
        <w:fldChar w:fldCharType="end"/>
      </w:r>
      <w:r w:rsidR="00D73ABB" w:rsidRPr="006D2720">
        <w:rPr>
          <w:rFonts w:ascii="Times New Roman" w:hAnsi="Times New Roman" w:cs="Times New Roman"/>
        </w:rPr>
        <w:t>].</w:t>
      </w:r>
    </w:p>
    <w:p w14:paraId="04D84954" w14:textId="558776D0" w:rsidR="0064050C" w:rsidRPr="006D2720" w:rsidRDefault="001E5839" w:rsidP="0066337D">
      <w:pPr>
        <w:pStyle w:val="Heading3"/>
        <w:rPr>
          <w:rFonts w:ascii="Times New Roman" w:hAnsi="Times New Roman" w:cs="Times New Roman"/>
        </w:rPr>
      </w:pPr>
      <w:r w:rsidRPr="006D2720">
        <w:rPr>
          <w:rFonts w:ascii="Times New Roman" w:hAnsi="Times New Roman" w:cs="Times New Roman"/>
        </w:rPr>
        <w:t xml:space="preserve">The following sections </w:t>
      </w:r>
      <w:r w:rsidR="00F078FE" w:rsidRPr="006D2720">
        <w:rPr>
          <w:rFonts w:ascii="Times New Roman" w:hAnsi="Times New Roman" w:cs="Times New Roman"/>
        </w:rPr>
        <w:t>dissect</w:t>
      </w:r>
      <w:r w:rsidRPr="006D2720">
        <w:rPr>
          <w:rFonts w:ascii="Times New Roman" w:hAnsi="Times New Roman" w:cs="Times New Roman"/>
        </w:rPr>
        <w:t xml:space="preserve"> </w:t>
      </w:r>
      <w:r w:rsidR="00F078FE" w:rsidRPr="006D2720">
        <w:rPr>
          <w:rFonts w:ascii="Times New Roman" w:hAnsi="Times New Roman" w:cs="Times New Roman"/>
        </w:rPr>
        <w:t xml:space="preserve">various aspects of </w:t>
      </w:r>
      <w:r w:rsidR="0064050C" w:rsidRPr="006D2720">
        <w:rPr>
          <w:rFonts w:ascii="Times New Roman" w:hAnsi="Times New Roman" w:cs="Times New Roman"/>
        </w:rPr>
        <w:t>the PIPA</w:t>
      </w:r>
      <w:r w:rsidRPr="006D2720">
        <w:rPr>
          <w:rFonts w:ascii="Times New Roman" w:hAnsi="Times New Roman" w:cs="Times New Roman"/>
        </w:rPr>
        <w:t xml:space="preserve"> and draw comparisons </w:t>
      </w:r>
      <w:r w:rsidR="00EE6192" w:rsidRPr="006D2720">
        <w:rPr>
          <w:rFonts w:ascii="Times New Roman" w:hAnsi="Times New Roman" w:cs="Times New Roman"/>
        </w:rPr>
        <w:t>with privacy laws in other jurisdictions</w:t>
      </w:r>
      <w:r w:rsidR="0064050C" w:rsidRPr="006D2720">
        <w:rPr>
          <w:rFonts w:ascii="Times New Roman" w:hAnsi="Times New Roman" w:cs="Times New Roman"/>
        </w:rPr>
        <w:t xml:space="preserve">. </w:t>
      </w:r>
      <w:r w:rsidR="00BE73F1" w:rsidRPr="006D2720">
        <w:rPr>
          <w:rFonts w:ascii="Times New Roman" w:hAnsi="Times New Roman" w:cs="Times New Roman"/>
        </w:rPr>
        <w:t>To highlight potential areas of reform, i</w:t>
      </w:r>
      <w:r w:rsidR="00230ECC" w:rsidRPr="006D2720">
        <w:rPr>
          <w:rFonts w:ascii="Times New Roman" w:hAnsi="Times New Roman" w:cs="Times New Roman"/>
        </w:rPr>
        <w:t xml:space="preserve">ssues </w:t>
      </w:r>
      <w:r w:rsidR="008D0916" w:rsidRPr="006D2720">
        <w:rPr>
          <w:rFonts w:ascii="Times New Roman" w:hAnsi="Times New Roman" w:cs="Times New Roman"/>
        </w:rPr>
        <w:t xml:space="preserve">relating </w:t>
      </w:r>
      <w:r w:rsidR="00230ECC" w:rsidRPr="006D2720">
        <w:rPr>
          <w:rFonts w:ascii="Times New Roman" w:hAnsi="Times New Roman" w:cs="Times New Roman"/>
        </w:rPr>
        <w:t xml:space="preserve">to new technologies </w:t>
      </w:r>
      <w:r w:rsidR="006F252B" w:rsidRPr="006D2720">
        <w:rPr>
          <w:rFonts w:ascii="Times New Roman" w:hAnsi="Times New Roman" w:cs="Times New Roman"/>
        </w:rPr>
        <w:t xml:space="preserve">are identified </w:t>
      </w:r>
      <w:r w:rsidR="00230ECC" w:rsidRPr="006D2720">
        <w:rPr>
          <w:rFonts w:ascii="Times New Roman" w:hAnsi="Times New Roman" w:cs="Times New Roman"/>
        </w:rPr>
        <w:t>where relevant.</w:t>
      </w:r>
    </w:p>
    <w:p w14:paraId="7BE95B3F" w14:textId="66498FA3" w:rsidR="0064050C" w:rsidRPr="006D2720" w:rsidRDefault="0064050C" w:rsidP="0064050C">
      <w:pPr>
        <w:pStyle w:val="Heading2"/>
        <w:rPr>
          <w:rFonts w:ascii="Times New Roman" w:hAnsi="Times New Roman" w:cs="Times New Roman"/>
        </w:rPr>
      </w:pPr>
      <w:bookmarkStart w:id="120" w:name="_Toc91831994"/>
      <w:bookmarkStart w:id="121" w:name="_Toc130540428"/>
      <w:r w:rsidRPr="006D2720">
        <w:rPr>
          <w:rFonts w:ascii="Times New Roman" w:hAnsi="Times New Roman" w:cs="Times New Roman"/>
        </w:rPr>
        <w:t>Scope and application</w:t>
      </w:r>
      <w:bookmarkEnd w:id="120"/>
      <w:r w:rsidRPr="006D2720">
        <w:rPr>
          <w:rFonts w:ascii="Times New Roman" w:hAnsi="Times New Roman" w:cs="Times New Roman"/>
        </w:rPr>
        <w:t xml:space="preserve"> </w:t>
      </w:r>
      <w:r w:rsidR="004F12E3" w:rsidRPr="006D2720">
        <w:rPr>
          <w:rFonts w:ascii="Times New Roman" w:hAnsi="Times New Roman" w:cs="Times New Roman"/>
        </w:rPr>
        <w:t>of the PIPA</w:t>
      </w:r>
      <w:bookmarkEnd w:id="121"/>
    </w:p>
    <w:p w14:paraId="295B9C03" w14:textId="37147DB6" w:rsidR="0064050C" w:rsidRPr="006D2720" w:rsidRDefault="0064050C" w:rsidP="00CA1A69">
      <w:pPr>
        <w:pStyle w:val="Heading2"/>
        <w:numPr>
          <w:ilvl w:val="0"/>
          <w:numId w:val="0"/>
        </w:numPr>
        <w:rPr>
          <w:rFonts w:ascii="Times New Roman" w:hAnsi="Times New Roman" w:cs="Times New Roman"/>
          <w:i/>
          <w:iCs/>
        </w:rPr>
      </w:pPr>
      <w:bookmarkStart w:id="122" w:name="_Toc91831995"/>
      <w:bookmarkStart w:id="123" w:name="_Toc130540429"/>
      <w:r w:rsidRPr="006D2720">
        <w:rPr>
          <w:rFonts w:ascii="Times New Roman" w:hAnsi="Times New Roman" w:cs="Times New Roman"/>
          <w:i/>
          <w:iCs/>
        </w:rPr>
        <w:t xml:space="preserve">Bodies subject to </w:t>
      </w:r>
      <w:r w:rsidR="00C3570C" w:rsidRPr="006D2720">
        <w:rPr>
          <w:rFonts w:ascii="Times New Roman" w:hAnsi="Times New Roman" w:cs="Times New Roman"/>
          <w:i/>
          <w:iCs/>
        </w:rPr>
        <w:t xml:space="preserve">the </w:t>
      </w:r>
      <w:r w:rsidRPr="006D2720">
        <w:rPr>
          <w:rFonts w:ascii="Times New Roman" w:hAnsi="Times New Roman" w:cs="Times New Roman"/>
          <w:i/>
          <w:iCs/>
        </w:rPr>
        <w:t>PIPA</w:t>
      </w:r>
      <w:bookmarkEnd w:id="122"/>
      <w:bookmarkEnd w:id="123"/>
    </w:p>
    <w:p w14:paraId="719C7F34" w14:textId="4E76DD2B" w:rsidR="00BD1C53" w:rsidRPr="006D2720" w:rsidRDefault="00C3570C" w:rsidP="00133B72">
      <w:pPr>
        <w:pStyle w:val="Heading3"/>
        <w:rPr>
          <w:rFonts w:ascii="Times New Roman" w:hAnsi="Times New Roman" w:cs="Times New Roman"/>
        </w:rPr>
      </w:pPr>
      <w:bookmarkStart w:id="124" w:name="_Ref89812704"/>
      <w:r w:rsidRPr="006D2720">
        <w:rPr>
          <w:rFonts w:ascii="Times New Roman" w:hAnsi="Times New Roman" w:cs="Times New Roman"/>
        </w:rPr>
        <w:t xml:space="preserve">The </w:t>
      </w:r>
      <w:r w:rsidR="00C6327C" w:rsidRPr="006D2720">
        <w:rPr>
          <w:rFonts w:ascii="Times New Roman" w:hAnsi="Times New Roman" w:cs="Times New Roman"/>
        </w:rPr>
        <w:t xml:space="preserve">PIPA </w:t>
      </w:r>
      <w:r w:rsidR="0095441D" w:rsidRPr="006D2720">
        <w:rPr>
          <w:rFonts w:ascii="Times New Roman" w:hAnsi="Times New Roman" w:cs="Times New Roman"/>
        </w:rPr>
        <w:t xml:space="preserve">broadly applies to </w:t>
      </w:r>
      <w:r w:rsidR="00D46238" w:rsidRPr="006D2720">
        <w:rPr>
          <w:rFonts w:ascii="Times New Roman" w:hAnsi="Times New Roman" w:cs="Times New Roman"/>
        </w:rPr>
        <w:t>s</w:t>
      </w:r>
      <w:r w:rsidR="00C145AE" w:rsidRPr="006D2720">
        <w:rPr>
          <w:rFonts w:ascii="Times New Roman" w:hAnsi="Times New Roman" w:cs="Times New Roman"/>
        </w:rPr>
        <w:t xml:space="preserve">tate </w:t>
      </w:r>
      <w:r w:rsidR="0095441D" w:rsidRPr="006D2720">
        <w:rPr>
          <w:rFonts w:ascii="Times New Roman" w:hAnsi="Times New Roman" w:cs="Times New Roman"/>
        </w:rPr>
        <w:t>public authorities and some government contractors</w:t>
      </w:r>
      <w:r w:rsidR="00AF6146" w:rsidRPr="006D2720">
        <w:rPr>
          <w:rFonts w:ascii="Times New Roman" w:hAnsi="Times New Roman" w:cs="Times New Roman"/>
        </w:rPr>
        <w:t xml:space="preserve">, referring to </w:t>
      </w:r>
      <w:r w:rsidR="002C7ADC" w:rsidRPr="006D2720">
        <w:rPr>
          <w:rFonts w:ascii="Times New Roman" w:hAnsi="Times New Roman" w:cs="Times New Roman"/>
        </w:rPr>
        <w:t>t</w:t>
      </w:r>
      <w:r w:rsidR="0095441D" w:rsidRPr="006D2720">
        <w:rPr>
          <w:rFonts w:ascii="Times New Roman" w:hAnsi="Times New Roman" w:cs="Times New Roman"/>
        </w:rPr>
        <w:t xml:space="preserve">hese bodies </w:t>
      </w:r>
      <w:r w:rsidR="00C6327C" w:rsidRPr="006D2720">
        <w:rPr>
          <w:rFonts w:ascii="Times New Roman" w:hAnsi="Times New Roman" w:cs="Times New Roman"/>
        </w:rPr>
        <w:t>as ‘personal information custodians’.</w:t>
      </w:r>
      <w:r w:rsidR="00C6327C" w:rsidRPr="006D2720">
        <w:rPr>
          <w:rStyle w:val="FootnoteReference"/>
          <w:rFonts w:ascii="Times New Roman" w:hAnsi="Times New Roman" w:cs="Times New Roman"/>
        </w:rPr>
        <w:footnoteReference w:id="42"/>
      </w:r>
      <w:bookmarkEnd w:id="124"/>
      <w:r w:rsidR="00C6327C" w:rsidRPr="006D2720">
        <w:rPr>
          <w:rFonts w:ascii="Times New Roman" w:hAnsi="Times New Roman" w:cs="Times New Roman"/>
        </w:rPr>
        <w:t xml:space="preserve"> </w:t>
      </w:r>
      <w:bookmarkStart w:id="125" w:name="_Ref89812706"/>
      <w:r w:rsidR="00AA7C25" w:rsidRPr="006D2720">
        <w:rPr>
          <w:rFonts w:ascii="Times New Roman" w:hAnsi="Times New Roman" w:cs="Times New Roman"/>
        </w:rPr>
        <w:t>For the purposes of the PIPA, t</w:t>
      </w:r>
      <w:r w:rsidR="00C86763" w:rsidRPr="006D2720">
        <w:rPr>
          <w:rFonts w:ascii="Times New Roman" w:hAnsi="Times New Roman" w:cs="Times New Roman"/>
        </w:rPr>
        <w:t xml:space="preserve">he meaning of </w:t>
      </w:r>
      <w:r w:rsidR="000E34F0" w:rsidRPr="006D2720">
        <w:rPr>
          <w:rFonts w:ascii="Times New Roman" w:hAnsi="Times New Roman" w:cs="Times New Roman"/>
        </w:rPr>
        <w:t>‘</w:t>
      </w:r>
      <w:r w:rsidR="00C86763" w:rsidRPr="006D2720">
        <w:rPr>
          <w:rFonts w:ascii="Times New Roman" w:hAnsi="Times New Roman" w:cs="Times New Roman"/>
        </w:rPr>
        <w:t>public authorit</w:t>
      </w:r>
      <w:r w:rsidR="00004D86" w:rsidRPr="006D2720">
        <w:rPr>
          <w:rFonts w:ascii="Times New Roman" w:hAnsi="Times New Roman" w:cs="Times New Roman"/>
        </w:rPr>
        <w:t>y</w:t>
      </w:r>
      <w:r w:rsidR="000E34F0" w:rsidRPr="006D2720">
        <w:rPr>
          <w:rFonts w:ascii="Times New Roman" w:hAnsi="Times New Roman" w:cs="Times New Roman"/>
        </w:rPr>
        <w:t>’</w:t>
      </w:r>
      <w:r w:rsidR="00C86763" w:rsidRPr="006D2720">
        <w:rPr>
          <w:rFonts w:ascii="Times New Roman" w:hAnsi="Times New Roman" w:cs="Times New Roman"/>
        </w:rPr>
        <w:t xml:space="preserve"> </w:t>
      </w:r>
      <w:r w:rsidR="00C6327C" w:rsidRPr="006D2720">
        <w:rPr>
          <w:rFonts w:ascii="Times New Roman" w:hAnsi="Times New Roman" w:cs="Times New Roman"/>
        </w:rPr>
        <w:t xml:space="preserve">is </w:t>
      </w:r>
      <w:r w:rsidR="0095441D" w:rsidRPr="006D2720">
        <w:rPr>
          <w:rFonts w:ascii="Times New Roman" w:hAnsi="Times New Roman" w:cs="Times New Roman"/>
        </w:rPr>
        <w:t xml:space="preserve">adopted from </w:t>
      </w:r>
      <w:r w:rsidR="00C6327C" w:rsidRPr="006D2720">
        <w:rPr>
          <w:rFonts w:ascii="Times New Roman" w:hAnsi="Times New Roman" w:cs="Times New Roman"/>
        </w:rPr>
        <w:t xml:space="preserve">the </w:t>
      </w:r>
      <w:r w:rsidR="00C6327C" w:rsidRPr="006D2720">
        <w:rPr>
          <w:rFonts w:ascii="Times New Roman" w:hAnsi="Times New Roman" w:cs="Times New Roman"/>
          <w:i/>
          <w:iCs/>
        </w:rPr>
        <w:t>Right to Information Act 2009</w:t>
      </w:r>
      <w:r w:rsidR="00C6327C" w:rsidRPr="006D2720">
        <w:rPr>
          <w:rFonts w:ascii="Times New Roman" w:hAnsi="Times New Roman" w:cs="Times New Roman"/>
        </w:rPr>
        <w:t xml:space="preserve"> (Tas)</w:t>
      </w:r>
      <w:r w:rsidR="0053732E" w:rsidRPr="006D2720">
        <w:rPr>
          <w:rFonts w:ascii="Times New Roman" w:hAnsi="Times New Roman" w:cs="Times New Roman"/>
        </w:rPr>
        <w:t xml:space="preserve"> and </w:t>
      </w:r>
      <w:r w:rsidR="00C6327C" w:rsidRPr="006D2720">
        <w:rPr>
          <w:rFonts w:ascii="Times New Roman" w:hAnsi="Times New Roman" w:cs="Times New Roman"/>
        </w:rPr>
        <w:t>includes</w:t>
      </w:r>
      <w:r w:rsidR="00BD1C53" w:rsidRPr="006D2720">
        <w:rPr>
          <w:rFonts w:ascii="Times New Roman" w:hAnsi="Times New Roman" w:cs="Times New Roman"/>
        </w:rPr>
        <w:t>:</w:t>
      </w:r>
      <w:bookmarkEnd w:id="125"/>
    </w:p>
    <w:p w14:paraId="058B4A18" w14:textId="5F90D900" w:rsidR="00BD1C53"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an </w:t>
      </w:r>
      <w:r w:rsidR="00AF6146" w:rsidRPr="006D2720">
        <w:rPr>
          <w:rFonts w:ascii="Times New Roman" w:hAnsi="Times New Roman" w:cs="Times New Roman"/>
        </w:rPr>
        <w:t>A</w:t>
      </w:r>
      <w:r w:rsidRPr="006D2720">
        <w:rPr>
          <w:rFonts w:ascii="Times New Roman" w:hAnsi="Times New Roman" w:cs="Times New Roman"/>
        </w:rPr>
        <w:t>gency (including a government department or a state authority)</w:t>
      </w:r>
      <w:r w:rsidR="00BD1C53" w:rsidRPr="006D2720">
        <w:rPr>
          <w:rFonts w:ascii="Times New Roman" w:hAnsi="Times New Roman" w:cs="Times New Roman"/>
        </w:rPr>
        <w:t>;</w:t>
      </w:r>
    </w:p>
    <w:p w14:paraId="252454CF" w14:textId="04281CEE" w:rsidR="00055478" w:rsidRPr="006D2720" w:rsidRDefault="00055478" w:rsidP="00BD1C53">
      <w:pPr>
        <w:pStyle w:val="Dotpointlist"/>
        <w:rPr>
          <w:rFonts w:ascii="Times New Roman" w:hAnsi="Times New Roman" w:cs="Times New Roman"/>
        </w:rPr>
      </w:pPr>
      <w:r w:rsidRPr="006D2720">
        <w:rPr>
          <w:rFonts w:ascii="Times New Roman" w:hAnsi="Times New Roman" w:cs="Times New Roman"/>
        </w:rPr>
        <w:t xml:space="preserve">the University of Tasmania; </w:t>
      </w:r>
    </w:p>
    <w:p w14:paraId="5B94673D" w14:textId="3BD4280A" w:rsidR="00BD1C53" w:rsidRPr="006D2720" w:rsidRDefault="007A040C" w:rsidP="00BD1C53">
      <w:pPr>
        <w:pStyle w:val="Dotpointlist"/>
        <w:rPr>
          <w:rFonts w:ascii="Times New Roman" w:hAnsi="Times New Roman" w:cs="Times New Roman"/>
        </w:rPr>
      </w:pPr>
      <w:r w:rsidRPr="006D2720">
        <w:rPr>
          <w:rFonts w:ascii="Times New Roman" w:hAnsi="Times New Roman" w:cs="Times New Roman"/>
        </w:rPr>
        <w:t>t</w:t>
      </w:r>
      <w:r w:rsidR="00C6327C" w:rsidRPr="006D2720">
        <w:rPr>
          <w:rFonts w:ascii="Times New Roman" w:hAnsi="Times New Roman" w:cs="Times New Roman"/>
        </w:rPr>
        <w:t xml:space="preserve">he Police </w:t>
      </w:r>
      <w:r w:rsidR="004E0671" w:rsidRPr="006D2720">
        <w:rPr>
          <w:rFonts w:ascii="Times New Roman" w:hAnsi="Times New Roman" w:cs="Times New Roman"/>
        </w:rPr>
        <w:t>S</w:t>
      </w:r>
      <w:r w:rsidR="00C6327C" w:rsidRPr="006D2720">
        <w:rPr>
          <w:rFonts w:ascii="Times New Roman" w:hAnsi="Times New Roman" w:cs="Times New Roman"/>
        </w:rPr>
        <w:t>ervice</w:t>
      </w:r>
      <w:r w:rsidR="00BD1C53" w:rsidRPr="006D2720">
        <w:rPr>
          <w:rFonts w:ascii="Times New Roman" w:hAnsi="Times New Roman" w:cs="Times New Roman"/>
        </w:rPr>
        <w:t>;</w:t>
      </w:r>
    </w:p>
    <w:p w14:paraId="303BEEBD" w14:textId="01DDA532" w:rsidR="00BD1C53" w:rsidRPr="006D2720" w:rsidRDefault="004E0671" w:rsidP="00BD1C53">
      <w:pPr>
        <w:pStyle w:val="Dotpointlist"/>
        <w:rPr>
          <w:rFonts w:ascii="Times New Roman" w:hAnsi="Times New Roman" w:cs="Times New Roman"/>
        </w:rPr>
      </w:pPr>
      <w:r w:rsidRPr="006D2720">
        <w:rPr>
          <w:rFonts w:ascii="Times New Roman" w:hAnsi="Times New Roman" w:cs="Times New Roman"/>
        </w:rPr>
        <w:t>a c</w:t>
      </w:r>
      <w:r w:rsidR="00C6327C" w:rsidRPr="006D2720">
        <w:rPr>
          <w:rFonts w:ascii="Times New Roman" w:hAnsi="Times New Roman" w:cs="Times New Roman"/>
        </w:rPr>
        <w:t>ouncil</w:t>
      </w:r>
      <w:r w:rsidR="00BD1C53" w:rsidRPr="006D2720">
        <w:rPr>
          <w:rFonts w:ascii="Times New Roman" w:hAnsi="Times New Roman" w:cs="Times New Roman"/>
        </w:rPr>
        <w:t>;</w:t>
      </w:r>
    </w:p>
    <w:p w14:paraId="19E515C5" w14:textId="25FD5ABA" w:rsidR="004E0671"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 </w:t>
      </w:r>
      <w:r w:rsidR="007A040C" w:rsidRPr="006D2720">
        <w:rPr>
          <w:rFonts w:ascii="Times New Roman" w:hAnsi="Times New Roman" w:cs="Times New Roman"/>
        </w:rPr>
        <w:t>s</w:t>
      </w:r>
      <w:r w:rsidR="00C6327C" w:rsidRPr="006D2720">
        <w:rPr>
          <w:rFonts w:ascii="Times New Roman" w:hAnsi="Times New Roman" w:cs="Times New Roman"/>
        </w:rPr>
        <w:t>tatutory authorit</w:t>
      </w:r>
      <w:r w:rsidRPr="006D2720">
        <w:rPr>
          <w:rFonts w:ascii="Times New Roman" w:hAnsi="Times New Roman" w:cs="Times New Roman"/>
        </w:rPr>
        <w:t>y</w:t>
      </w:r>
      <w:r w:rsidR="00AF6146" w:rsidRPr="006D2720">
        <w:rPr>
          <w:rFonts w:ascii="Times New Roman" w:hAnsi="Times New Roman" w:cs="Times New Roman"/>
        </w:rPr>
        <w:t>;</w:t>
      </w:r>
    </w:p>
    <w:p w14:paraId="47027514" w14:textId="0E1600F1" w:rsidR="00BD1C53"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 </w:t>
      </w:r>
      <w:r w:rsidR="00C6327C" w:rsidRPr="006D2720">
        <w:rPr>
          <w:rFonts w:ascii="Times New Roman" w:hAnsi="Times New Roman" w:cs="Times New Roman"/>
        </w:rPr>
        <w:t>bod</w:t>
      </w:r>
      <w:r w:rsidRPr="006D2720">
        <w:rPr>
          <w:rFonts w:ascii="Times New Roman" w:hAnsi="Times New Roman" w:cs="Times New Roman"/>
        </w:rPr>
        <w:t xml:space="preserve">y (corporate or </w:t>
      </w:r>
      <w:r w:rsidR="00AF6146" w:rsidRPr="006D2720">
        <w:rPr>
          <w:rFonts w:ascii="Times New Roman" w:hAnsi="Times New Roman" w:cs="Times New Roman"/>
        </w:rPr>
        <w:t>un</w:t>
      </w:r>
      <w:r w:rsidRPr="006D2720">
        <w:rPr>
          <w:rFonts w:ascii="Times New Roman" w:hAnsi="Times New Roman" w:cs="Times New Roman"/>
        </w:rPr>
        <w:t>incorporate)</w:t>
      </w:r>
      <w:r w:rsidR="00C6327C" w:rsidRPr="006D2720">
        <w:rPr>
          <w:rFonts w:ascii="Times New Roman" w:hAnsi="Times New Roman" w:cs="Times New Roman"/>
        </w:rPr>
        <w:t xml:space="preserve"> established under legislation for a public purpose</w:t>
      </w:r>
      <w:r w:rsidR="00BD1C53" w:rsidRPr="006D2720">
        <w:rPr>
          <w:rFonts w:ascii="Times New Roman" w:hAnsi="Times New Roman" w:cs="Times New Roman"/>
        </w:rPr>
        <w:t>;</w:t>
      </w:r>
    </w:p>
    <w:p w14:paraId="71783CFB" w14:textId="072735F4" w:rsidR="00BD1C53"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 </w:t>
      </w:r>
      <w:r w:rsidR="007A040C" w:rsidRPr="006D2720">
        <w:rPr>
          <w:rFonts w:ascii="Times New Roman" w:hAnsi="Times New Roman" w:cs="Times New Roman"/>
        </w:rPr>
        <w:t>b</w:t>
      </w:r>
      <w:r w:rsidR="00C6327C" w:rsidRPr="006D2720">
        <w:rPr>
          <w:rFonts w:ascii="Times New Roman" w:hAnsi="Times New Roman" w:cs="Times New Roman"/>
        </w:rPr>
        <w:t>od</w:t>
      </w:r>
      <w:r w:rsidRPr="006D2720">
        <w:rPr>
          <w:rFonts w:ascii="Times New Roman" w:hAnsi="Times New Roman" w:cs="Times New Roman"/>
        </w:rPr>
        <w:t>y</w:t>
      </w:r>
      <w:r w:rsidR="00C6327C" w:rsidRPr="006D2720">
        <w:rPr>
          <w:rFonts w:ascii="Times New Roman" w:hAnsi="Times New Roman" w:cs="Times New Roman"/>
        </w:rPr>
        <w:t xml:space="preserve"> whose members </w:t>
      </w:r>
      <w:r w:rsidRPr="006D2720">
        <w:rPr>
          <w:rFonts w:ascii="Times New Roman" w:hAnsi="Times New Roman" w:cs="Times New Roman"/>
        </w:rPr>
        <w:t xml:space="preserve">(or a majority of members) </w:t>
      </w:r>
      <w:r w:rsidR="00C6327C" w:rsidRPr="006D2720">
        <w:rPr>
          <w:rFonts w:ascii="Times New Roman" w:hAnsi="Times New Roman" w:cs="Times New Roman"/>
        </w:rPr>
        <w:t>are appointed by the Governor or</w:t>
      </w:r>
      <w:r w:rsidR="00F04872" w:rsidRPr="006D2720">
        <w:rPr>
          <w:rFonts w:ascii="Times New Roman" w:hAnsi="Times New Roman" w:cs="Times New Roman"/>
        </w:rPr>
        <w:t xml:space="preserve"> a</w:t>
      </w:r>
      <w:r w:rsidR="00C6327C" w:rsidRPr="006D2720">
        <w:rPr>
          <w:rFonts w:ascii="Times New Roman" w:hAnsi="Times New Roman" w:cs="Times New Roman"/>
        </w:rPr>
        <w:t xml:space="preserve"> Minister</w:t>
      </w:r>
      <w:r w:rsidRPr="006D2720">
        <w:rPr>
          <w:rFonts w:ascii="Times New Roman" w:hAnsi="Times New Roman" w:cs="Times New Roman"/>
        </w:rPr>
        <w:t xml:space="preserve"> of the Crown</w:t>
      </w:r>
      <w:r w:rsidR="00BD1C53" w:rsidRPr="006D2720">
        <w:rPr>
          <w:rFonts w:ascii="Times New Roman" w:hAnsi="Times New Roman" w:cs="Times New Roman"/>
        </w:rPr>
        <w:t>;</w:t>
      </w:r>
    </w:p>
    <w:p w14:paraId="1F96CBAE" w14:textId="642F045A" w:rsidR="00BD1C53"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 </w:t>
      </w:r>
      <w:r w:rsidR="00C6327C" w:rsidRPr="006D2720">
        <w:rPr>
          <w:rFonts w:ascii="Times New Roman" w:hAnsi="Times New Roman" w:cs="Times New Roman"/>
        </w:rPr>
        <w:t>Government Business Enterprises</w:t>
      </w:r>
      <w:r w:rsidR="00BD1C53" w:rsidRPr="006D2720">
        <w:rPr>
          <w:rFonts w:ascii="Times New Roman" w:hAnsi="Times New Roman" w:cs="Times New Roman"/>
        </w:rPr>
        <w:t>;</w:t>
      </w:r>
      <w:r w:rsidR="00C6327C" w:rsidRPr="006D2720">
        <w:rPr>
          <w:rFonts w:ascii="Times New Roman" w:hAnsi="Times New Roman" w:cs="Times New Roman"/>
        </w:rPr>
        <w:t xml:space="preserve"> and</w:t>
      </w:r>
    </w:p>
    <w:p w14:paraId="5BADFBF5" w14:textId="064D8186" w:rsidR="002E53CD" w:rsidRPr="006D2720" w:rsidRDefault="004E0671" w:rsidP="00BD1C53">
      <w:pPr>
        <w:pStyle w:val="Dotpointlist"/>
        <w:rPr>
          <w:rFonts w:ascii="Times New Roman" w:hAnsi="Times New Roman" w:cs="Times New Roman"/>
        </w:rPr>
      </w:pPr>
      <w:r w:rsidRPr="006D2720">
        <w:rPr>
          <w:rFonts w:ascii="Times New Roman" w:hAnsi="Times New Roman" w:cs="Times New Roman"/>
        </w:rPr>
        <w:t xml:space="preserve">a </w:t>
      </w:r>
      <w:r w:rsidR="00BD1C53" w:rsidRPr="006D2720">
        <w:rPr>
          <w:rFonts w:ascii="Times New Roman" w:hAnsi="Times New Roman" w:cs="Times New Roman"/>
        </w:rPr>
        <w:t>Council</w:t>
      </w:r>
      <w:r w:rsidR="00C6327C" w:rsidRPr="006D2720">
        <w:rPr>
          <w:rFonts w:ascii="Times New Roman" w:hAnsi="Times New Roman" w:cs="Times New Roman"/>
        </w:rPr>
        <w:t>-</w:t>
      </w:r>
      <w:r w:rsidRPr="006D2720">
        <w:rPr>
          <w:rFonts w:ascii="Times New Roman" w:hAnsi="Times New Roman" w:cs="Times New Roman"/>
        </w:rPr>
        <w:t>owned</w:t>
      </w:r>
      <w:r w:rsidR="00C6327C" w:rsidRPr="006D2720">
        <w:rPr>
          <w:rFonts w:ascii="Times New Roman" w:hAnsi="Times New Roman" w:cs="Times New Roman"/>
        </w:rPr>
        <w:t xml:space="preserve"> or State-owned compan</w:t>
      </w:r>
      <w:r w:rsidRPr="006D2720">
        <w:rPr>
          <w:rFonts w:ascii="Times New Roman" w:hAnsi="Times New Roman" w:cs="Times New Roman"/>
        </w:rPr>
        <w:t>y</w:t>
      </w:r>
      <w:r w:rsidR="00C6327C" w:rsidRPr="006D2720">
        <w:rPr>
          <w:rFonts w:ascii="Times New Roman" w:hAnsi="Times New Roman" w:cs="Times New Roman"/>
        </w:rPr>
        <w:t>.</w:t>
      </w:r>
      <w:r w:rsidR="00C6327C" w:rsidRPr="006D2720">
        <w:rPr>
          <w:rStyle w:val="FootnoteReference"/>
          <w:rFonts w:ascii="Times New Roman" w:hAnsi="Times New Roman" w:cs="Times New Roman"/>
        </w:rPr>
        <w:footnoteReference w:id="43"/>
      </w:r>
      <w:r w:rsidR="00C6327C" w:rsidRPr="006D2720">
        <w:rPr>
          <w:rFonts w:ascii="Times New Roman" w:hAnsi="Times New Roman" w:cs="Times New Roman"/>
        </w:rPr>
        <w:t xml:space="preserve"> </w:t>
      </w:r>
    </w:p>
    <w:p w14:paraId="3A016952" w14:textId="65A2E7F2" w:rsidR="00C6327C" w:rsidRPr="006D2720" w:rsidRDefault="00AA7C25" w:rsidP="0066337D">
      <w:pPr>
        <w:pStyle w:val="Heading3"/>
        <w:rPr>
          <w:rFonts w:ascii="Times New Roman" w:hAnsi="Times New Roman" w:cs="Times New Roman"/>
        </w:rPr>
      </w:pPr>
      <w:bookmarkStart w:id="126" w:name="_Ref89812818"/>
      <w:bookmarkStart w:id="127" w:name="_Ref89851954"/>
      <w:r w:rsidRPr="006D2720">
        <w:rPr>
          <w:rFonts w:ascii="Times New Roman" w:hAnsi="Times New Roman" w:cs="Times New Roman"/>
        </w:rPr>
        <w:t xml:space="preserve">Certain public bodies are exempt from </w:t>
      </w:r>
      <w:r w:rsidR="00A317B2" w:rsidRPr="006D2720">
        <w:rPr>
          <w:rFonts w:ascii="Times New Roman" w:hAnsi="Times New Roman" w:cs="Times New Roman"/>
        </w:rPr>
        <w:t xml:space="preserve">the </w:t>
      </w:r>
      <w:r w:rsidR="0095441D" w:rsidRPr="006D2720">
        <w:rPr>
          <w:rFonts w:ascii="Times New Roman" w:hAnsi="Times New Roman" w:cs="Times New Roman"/>
        </w:rPr>
        <w:t>PIPA</w:t>
      </w:r>
      <w:r w:rsidR="0010243A" w:rsidRPr="006D2720">
        <w:rPr>
          <w:rFonts w:ascii="Times New Roman" w:hAnsi="Times New Roman" w:cs="Times New Roman"/>
        </w:rPr>
        <w:t>, either generally or in the course of their official functions</w:t>
      </w:r>
      <w:r w:rsidR="00A317B2" w:rsidRPr="006D2720">
        <w:rPr>
          <w:rFonts w:ascii="Times New Roman" w:hAnsi="Times New Roman" w:cs="Times New Roman"/>
        </w:rPr>
        <w:t xml:space="preserve">. This includes </w:t>
      </w:r>
      <w:r w:rsidR="00AF6146" w:rsidRPr="006D2720">
        <w:rPr>
          <w:rFonts w:ascii="Times New Roman" w:hAnsi="Times New Roman" w:cs="Times New Roman"/>
        </w:rPr>
        <w:t>c</w:t>
      </w:r>
      <w:r w:rsidR="00A317B2" w:rsidRPr="006D2720">
        <w:rPr>
          <w:rFonts w:ascii="Times New Roman" w:hAnsi="Times New Roman" w:cs="Times New Roman"/>
        </w:rPr>
        <w:t xml:space="preserve">ourts and tribunals </w:t>
      </w:r>
      <w:r w:rsidR="005C0137" w:rsidRPr="006D2720">
        <w:rPr>
          <w:rFonts w:ascii="Times New Roman" w:hAnsi="Times New Roman" w:cs="Times New Roman"/>
        </w:rPr>
        <w:t xml:space="preserve">in the exercise of judicial or quasi-judicial functions or powers, office-holders and registries of such courts and tribunals, </w:t>
      </w:r>
      <w:r w:rsidR="00C6327C" w:rsidRPr="006D2720">
        <w:rPr>
          <w:rFonts w:ascii="Times New Roman" w:hAnsi="Times New Roman" w:cs="Times New Roman"/>
        </w:rPr>
        <w:t xml:space="preserve">the Solicitor-General </w:t>
      </w:r>
      <w:r w:rsidR="00A317B2" w:rsidRPr="006D2720">
        <w:rPr>
          <w:rFonts w:ascii="Times New Roman" w:hAnsi="Times New Roman" w:cs="Times New Roman"/>
        </w:rPr>
        <w:t xml:space="preserve">and their employees, as well as </w:t>
      </w:r>
      <w:r w:rsidR="00C6327C" w:rsidRPr="006D2720">
        <w:rPr>
          <w:rFonts w:ascii="Times New Roman" w:hAnsi="Times New Roman" w:cs="Times New Roman"/>
        </w:rPr>
        <w:t>the Director of Public Prosecutions and their employees.</w:t>
      </w:r>
      <w:r w:rsidR="00C6327C" w:rsidRPr="006D2720">
        <w:rPr>
          <w:rStyle w:val="FootnoteReference"/>
          <w:rFonts w:ascii="Times New Roman" w:hAnsi="Times New Roman" w:cs="Times New Roman"/>
        </w:rPr>
        <w:footnoteReference w:id="44"/>
      </w:r>
      <w:bookmarkEnd w:id="126"/>
      <w:r w:rsidR="00C6327C" w:rsidRPr="006D2720">
        <w:rPr>
          <w:rFonts w:ascii="Times New Roman" w:hAnsi="Times New Roman" w:cs="Times New Roman"/>
        </w:rPr>
        <w:t xml:space="preserve"> </w:t>
      </w:r>
      <w:r w:rsidR="00133B72" w:rsidRPr="006D2720">
        <w:rPr>
          <w:rFonts w:ascii="Times New Roman" w:hAnsi="Times New Roman" w:cs="Times New Roman"/>
        </w:rPr>
        <w:t>P</w:t>
      </w:r>
      <w:r w:rsidR="0010243A" w:rsidRPr="006D2720">
        <w:rPr>
          <w:rFonts w:ascii="Times New Roman" w:hAnsi="Times New Roman" w:cs="Times New Roman"/>
        </w:rPr>
        <w:t>ersonal information can also be disclosed to various public legal officers and employees for the purpose of obtaining legal advice.</w:t>
      </w:r>
      <w:r w:rsidR="0010243A" w:rsidRPr="006D2720">
        <w:rPr>
          <w:rStyle w:val="FootnoteReference"/>
          <w:rFonts w:ascii="Times New Roman" w:hAnsi="Times New Roman" w:cs="Times New Roman"/>
        </w:rPr>
        <w:footnoteReference w:id="45"/>
      </w:r>
      <w:r w:rsidR="0010243A" w:rsidRPr="006D2720">
        <w:rPr>
          <w:rFonts w:ascii="Times New Roman" w:hAnsi="Times New Roman" w:cs="Times New Roman"/>
        </w:rPr>
        <w:t xml:space="preserve"> </w:t>
      </w:r>
      <w:bookmarkEnd w:id="127"/>
    </w:p>
    <w:p w14:paraId="2396F9B1" w14:textId="4D9C58B4" w:rsidR="00296247" w:rsidRPr="006D2720" w:rsidRDefault="00056B4A" w:rsidP="00296247">
      <w:pPr>
        <w:pStyle w:val="Heading3"/>
        <w:rPr>
          <w:rFonts w:ascii="Times New Roman" w:hAnsi="Times New Roman" w:cs="Times New Roman"/>
        </w:rPr>
      </w:pPr>
      <w:bookmarkStart w:id="128" w:name="_Ref91826897"/>
      <w:r w:rsidRPr="006D2720">
        <w:rPr>
          <w:rFonts w:ascii="Times New Roman" w:hAnsi="Times New Roman" w:cs="Times New Roman"/>
        </w:rPr>
        <w:t xml:space="preserve">For private or non-government bodies, </w:t>
      </w:r>
      <w:r w:rsidR="00296247" w:rsidRPr="006D2720">
        <w:rPr>
          <w:rFonts w:ascii="Times New Roman" w:hAnsi="Times New Roman" w:cs="Times New Roman"/>
        </w:rPr>
        <w:t xml:space="preserve">the </w:t>
      </w:r>
      <w:r w:rsidR="0073496F" w:rsidRPr="006D2720">
        <w:rPr>
          <w:rFonts w:ascii="Times New Roman" w:hAnsi="Times New Roman" w:cs="Times New Roman"/>
        </w:rPr>
        <w:t xml:space="preserve">PIPA </w:t>
      </w:r>
      <w:r w:rsidRPr="006D2720">
        <w:rPr>
          <w:rFonts w:ascii="Times New Roman" w:hAnsi="Times New Roman" w:cs="Times New Roman"/>
        </w:rPr>
        <w:t>applies only in a limited way</w:t>
      </w:r>
      <w:r w:rsidR="0073496F" w:rsidRPr="006D2720">
        <w:rPr>
          <w:rFonts w:ascii="Times New Roman" w:hAnsi="Times New Roman" w:cs="Times New Roman"/>
        </w:rPr>
        <w:t xml:space="preserve">. </w:t>
      </w:r>
      <w:r w:rsidR="00CE2370" w:rsidRPr="006D2720">
        <w:rPr>
          <w:rFonts w:ascii="Times New Roman" w:hAnsi="Times New Roman" w:cs="Times New Roman"/>
        </w:rPr>
        <w:t xml:space="preserve">Those bodies must follow the PIPPs only </w:t>
      </w:r>
      <w:r w:rsidR="00366388" w:rsidRPr="006D2720">
        <w:rPr>
          <w:rFonts w:ascii="Times New Roman" w:hAnsi="Times New Roman" w:cs="Times New Roman"/>
        </w:rPr>
        <w:t xml:space="preserve">where </w:t>
      </w:r>
      <w:r w:rsidR="002655C9" w:rsidRPr="006D2720">
        <w:rPr>
          <w:rFonts w:ascii="Times New Roman" w:hAnsi="Times New Roman" w:cs="Times New Roman"/>
        </w:rPr>
        <w:t xml:space="preserve">they </w:t>
      </w:r>
      <w:r w:rsidR="00CA29C5" w:rsidRPr="006D2720">
        <w:rPr>
          <w:rFonts w:ascii="Times New Roman" w:hAnsi="Times New Roman" w:cs="Times New Roman"/>
        </w:rPr>
        <w:t>ha</w:t>
      </w:r>
      <w:r w:rsidR="00E73722" w:rsidRPr="006D2720">
        <w:rPr>
          <w:rFonts w:ascii="Times New Roman" w:hAnsi="Times New Roman" w:cs="Times New Roman"/>
        </w:rPr>
        <w:t>ve</w:t>
      </w:r>
      <w:r w:rsidR="00CA29C5" w:rsidRPr="006D2720">
        <w:rPr>
          <w:rFonts w:ascii="Times New Roman" w:hAnsi="Times New Roman" w:cs="Times New Roman"/>
        </w:rPr>
        <w:t xml:space="preserve"> entered into a contract with a public authority </w:t>
      </w:r>
      <w:r w:rsidR="005E638D" w:rsidRPr="006D2720">
        <w:rPr>
          <w:rFonts w:ascii="Times New Roman" w:hAnsi="Times New Roman" w:cs="Times New Roman"/>
        </w:rPr>
        <w:t xml:space="preserve">and </w:t>
      </w:r>
      <w:r w:rsidR="006E1FD1" w:rsidRPr="006D2720">
        <w:rPr>
          <w:rFonts w:ascii="Times New Roman" w:hAnsi="Times New Roman" w:cs="Times New Roman"/>
        </w:rPr>
        <w:t xml:space="preserve">that </w:t>
      </w:r>
      <w:r w:rsidR="005E638D" w:rsidRPr="006D2720">
        <w:rPr>
          <w:rFonts w:ascii="Times New Roman" w:hAnsi="Times New Roman" w:cs="Times New Roman"/>
        </w:rPr>
        <w:t xml:space="preserve">contract </w:t>
      </w:r>
      <w:r w:rsidR="006E1FD1" w:rsidRPr="006D2720">
        <w:rPr>
          <w:rFonts w:ascii="Times New Roman" w:hAnsi="Times New Roman" w:cs="Times New Roman"/>
        </w:rPr>
        <w:t>involves the</w:t>
      </w:r>
      <w:r w:rsidR="001F0DCD" w:rsidRPr="006D2720">
        <w:rPr>
          <w:rFonts w:ascii="Times New Roman" w:hAnsi="Times New Roman" w:cs="Times New Roman"/>
        </w:rPr>
        <w:t xml:space="preserve"> </w:t>
      </w:r>
      <w:r w:rsidR="00976EFE" w:rsidRPr="006D2720">
        <w:rPr>
          <w:rFonts w:ascii="Times New Roman" w:hAnsi="Times New Roman" w:cs="Times New Roman"/>
        </w:rPr>
        <w:t xml:space="preserve">collection, </w:t>
      </w:r>
      <w:r w:rsidR="0046456E" w:rsidRPr="006D2720">
        <w:rPr>
          <w:rFonts w:ascii="Times New Roman" w:hAnsi="Times New Roman" w:cs="Times New Roman"/>
        </w:rPr>
        <w:t>use</w:t>
      </w:r>
      <w:r w:rsidR="00296247" w:rsidRPr="006D2720">
        <w:rPr>
          <w:rFonts w:ascii="Times New Roman" w:hAnsi="Times New Roman" w:cs="Times New Roman"/>
        </w:rPr>
        <w:t>,</w:t>
      </w:r>
      <w:r w:rsidR="0046456E" w:rsidRPr="006D2720">
        <w:rPr>
          <w:rFonts w:ascii="Times New Roman" w:hAnsi="Times New Roman" w:cs="Times New Roman"/>
        </w:rPr>
        <w:t xml:space="preserve"> or storage of </w:t>
      </w:r>
      <w:r w:rsidR="001F0DCD" w:rsidRPr="006D2720">
        <w:rPr>
          <w:rFonts w:ascii="Times New Roman" w:hAnsi="Times New Roman" w:cs="Times New Roman"/>
        </w:rPr>
        <w:t>personal information.</w:t>
      </w:r>
      <w:r w:rsidR="00D91F80" w:rsidRPr="006D2720">
        <w:rPr>
          <w:rStyle w:val="FootnoteReference"/>
          <w:rFonts w:ascii="Times New Roman" w:hAnsi="Times New Roman" w:cs="Times New Roman"/>
        </w:rPr>
        <w:footnoteReference w:id="46"/>
      </w:r>
      <w:r w:rsidR="00D91F80" w:rsidRPr="006D2720">
        <w:rPr>
          <w:rFonts w:ascii="Times New Roman" w:hAnsi="Times New Roman" w:cs="Times New Roman"/>
        </w:rPr>
        <w:t xml:space="preserve"> </w:t>
      </w:r>
      <w:r w:rsidR="00C95D17" w:rsidRPr="006D2720">
        <w:rPr>
          <w:rFonts w:ascii="Times New Roman" w:hAnsi="Times New Roman" w:cs="Times New Roman"/>
        </w:rPr>
        <w:t xml:space="preserve">In such cases, </w:t>
      </w:r>
      <w:r w:rsidR="003659D0" w:rsidRPr="006D2720">
        <w:rPr>
          <w:rFonts w:ascii="Times New Roman" w:hAnsi="Times New Roman" w:cs="Times New Roman"/>
        </w:rPr>
        <w:t>they are</w:t>
      </w:r>
      <w:r w:rsidR="00C95D17" w:rsidRPr="006D2720">
        <w:rPr>
          <w:rFonts w:ascii="Times New Roman" w:hAnsi="Times New Roman" w:cs="Times New Roman"/>
        </w:rPr>
        <w:t xml:space="preserve"> deemed personal information custodian</w:t>
      </w:r>
      <w:r w:rsidR="003659D0" w:rsidRPr="006D2720">
        <w:rPr>
          <w:rFonts w:ascii="Times New Roman" w:hAnsi="Times New Roman" w:cs="Times New Roman"/>
        </w:rPr>
        <w:t>s</w:t>
      </w:r>
      <w:r w:rsidR="004B704B" w:rsidRPr="006D2720">
        <w:rPr>
          <w:rFonts w:ascii="Times New Roman" w:hAnsi="Times New Roman" w:cs="Times New Roman"/>
        </w:rPr>
        <w:t xml:space="preserve"> and must comply with the PIPPs. Importantly, this applies to all their dealings with personal information—not only</w:t>
      </w:r>
      <w:r w:rsidR="003A0DF8" w:rsidRPr="006D2720">
        <w:rPr>
          <w:rFonts w:ascii="Times New Roman" w:hAnsi="Times New Roman" w:cs="Times New Roman"/>
        </w:rPr>
        <w:t xml:space="preserve"> </w:t>
      </w:r>
      <w:r w:rsidR="00296247" w:rsidRPr="006D2720">
        <w:rPr>
          <w:rFonts w:ascii="Times New Roman" w:hAnsi="Times New Roman" w:cs="Times New Roman"/>
        </w:rPr>
        <w:t xml:space="preserve">those </w:t>
      </w:r>
      <w:r w:rsidR="003A0DF8" w:rsidRPr="006D2720">
        <w:rPr>
          <w:rFonts w:ascii="Times New Roman" w:hAnsi="Times New Roman" w:cs="Times New Roman"/>
        </w:rPr>
        <w:t>dealings</w:t>
      </w:r>
      <w:r w:rsidR="004B704B" w:rsidRPr="006D2720">
        <w:rPr>
          <w:rFonts w:ascii="Times New Roman" w:hAnsi="Times New Roman" w:cs="Times New Roman"/>
        </w:rPr>
        <w:t xml:space="preserve"> </w:t>
      </w:r>
      <w:r w:rsidR="00296247" w:rsidRPr="006D2720">
        <w:rPr>
          <w:rFonts w:ascii="Times New Roman" w:hAnsi="Times New Roman" w:cs="Times New Roman"/>
        </w:rPr>
        <w:t xml:space="preserve">that relate </w:t>
      </w:r>
      <w:r w:rsidR="004B704B" w:rsidRPr="006D2720">
        <w:rPr>
          <w:rFonts w:ascii="Times New Roman" w:hAnsi="Times New Roman" w:cs="Times New Roman"/>
        </w:rPr>
        <w:t>to personal information collected, used</w:t>
      </w:r>
      <w:r w:rsidR="00296247" w:rsidRPr="006D2720">
        <w:rPr>
          <w:rFonts w:ascii="Times New Roman" w:hAnsi="Times New Roman" w:cs="Times New Roman"/>
        </w:rPr>
        <w:t>,</w:t>
      </w:r>
      <w:r w:rsidR="004B704B" w:rsidRPr="006D2720">
        <w:rPr>
          <w:rFonts w:ascii="Times New Roman" w:hAnsi="Times New Roman" w:cs="Times New Roman"/>
        </w:rPr>
        <w:t xml:space="preserve"> or stored under the contract in question.</w:t>
      </w:r>
      <w:bookmarkEnd w:id="128"/>
      <w:r w:rsidR="00296247" w:rsidRPr="006D2720">
        <w:rPr>
          <w:rFonts w:ascii="Times New Roman" w:hAnsi="Times New Roman" w:cs="Times New Roman"/>
        </w:rPr>
        <w:t xml:space="preserve"> </w:t>
      </w:r>
    </w:p>
    <w:p w14:paraId="48E315DA" w14:textId="2294F8CE" w:rsidR="00B176B3" w:rsidRPr="006D2720" w:rsidRDefault="00593C62" w:rsidP="0066337D">
      <w:pPr>
        <w:pStyle w:val="Heading3"/>
        <w:rPr>
          <w:rFonts w:ascii="Times New Roman" w:hAnsi="Times New Roman" w:cs="Times New Roman"/>
        </w:rPr>
      </w:pPr>
      <w:r w:rsidRPr="006D2720">
        <w:rPr>
          <w:rFonts w:ascii="Times New Roman" w:hAnsi="Times New Roman" w:cs="Times New Roman"/>
        </w:rPr>
        <w:t>One example is where a</w:t>
      </w:r>
      <w:r w:rsidR="003A09E3" w:rsidRPr="006D2720">
        <w:rPr>
          <w:rFonts w:ascii="Times New Roman" w:hAnsi="Times New Roman" w:cs="Times New Roman"/>
        </w:rPr>
        <w:t xml:space="preserve"> </w:t>
      </w:r>
      <w:r w:rsidR="00A00E60" w:rsidRPr="006D2720">
        <w:rPr>
          <w:rFonts w:ascii="Times New Roman" w:hAnsi="Times New Roman" w:cs="Times New Roman"/>
        </w:rPr>
        <w:t xml:space="preserve">public authority outsources some aspect of personal information management to a </w:t>
      </w:r>
      <w:r w:rsidR="0095441D" w:rsidRPr="006D2720">
        <w:rPr>
          <w:rFonts w:ascii="Times New Roman" w:hAnsi="Times New Roman" w:cs="Times New Roman"/>
        </w:rPr>
        <w:t xml:space="preserve">private </w:t>
      </w:r>
      <w:r w:rsidR="00A00E60" w:rsidRPr="006D2720">
        <w:rPr>
          <w:rFonts w:ascii="Times New Roman" w:hAnsi="Times New Roman" w:cs="Times New Roman"/>
        </w:rPr>
        <w:t xml:space="preserve">organisation </w:t>
      </w:r>
      <w:r w:rsidR="00361F15" w:rsidRPr="006D2720">
        <w:rPr>
          <w:rFonts w:ascii="Times New Roman" w:hAnsi="Times New Roman" w:cs="Times New Roman"/>
        </w:rPr>
        <w:t xml:space="preserve">that provides </w:t>
      </w:r>
      <w:r w:rsidR="00A00E60" w:rsidRPr="006D2720">
        <w:rPr>
          <w:rFonts w:ascii="Times New Roman" w:hAnsi="Times New Roman" w:cs="Times New Roman"/>
        </w:rPr>
        <w:t>cloud computing services</w:t>
      </w:r>
      <w:r w:rsidR="00A0312B" w:rsidRPr="006D2720">
        <w:rPr>
          <w:rFonts w:ascii="Times New Roman" w:hAnsi="Times New Roman" w:cs="Times New Roman"/>
        </w:rPr>
        <w:t>.</w:t>
      </w:r>
      <w:r w:rsidR="00C30E1B" w:rsidRPr="006D2720">
        <w:rPr>
          <w:rStyle w:val="FootnoteReference"/>
          <w:rFonts w:ascii="Times New Roman" w:hAnsi="Times New Roman" w:cs="Times New Roman"/>
        </w:rPr>
        <w:footnoteReference w:id="47"/>
      </w:r>
      <w:r w:rsidR="00A0312B" w:rsidRPr="006D2720">
        <w:rPr>
          <w:rFonts w:ascii="Times New Roman" w:hAnsi="Times New Roman" w:cs="Times New Roman"/>
        </w:rPr>
        <w:t xml:space="preserve"> </w:t>
      </w:r>
      <w:r w:rsidR="00BA76C1" w:rsidRPr="006D2720">
        <w:rPr>
          <w:rFonts w:ascii="Times New Roman" w:hAnsi="Times New Roman" w:cs="Times New Roman"/>
        </w:rPr>
        <w:t xml:space="preserve">Another </w:t>
      </w:r>
      <w:r w:rsidR="000A2408" w:rsidRPr="006D2720">
        <w:rPr>
          <w:rFonts w:ascii="Times New Roman" w:hAnsi="Times New Roman" w:cs="Times New Roman"/>
        </w:rPr>
        <w:t xml:space="preserve">example </w:t>
      </w:r>
      <w:r w:rsidR="00076D73" w:rsidRPr="006D2720">
        <w:rPr>
          <w:rFonts w:ascii="Times New Roman" w:hAnsi="Times New Roman" w:cs="Times New Roman"/>
        </w:rPr>
        <w:t xml:space="preserve">is </w:t>
      </w:r>
      <w:r w:rsidR="00BA76C1" w:rsidRPr="006D2720">
        <w:rPr>
          <w:rFonts w:ascii="Times New Roman" w:hAnsi="Times New Roman" w:cs="Times New Roman"/>
        </w:rPr>
        <w:t xml:space="preserve">when </w:t>
      </w:r>
      <w:r w:rsidR="000653E4" w:rsidRPr="006D2720">
        <w:rPr>
          <w:rFonts w:ascii="Times New Roman" w:hAnsi="Times New Roman" w:cs="Times New Roman"/>
        </w:rPr>
        <w:t xml:space="preserve">a public authority contracts a </w:t>
      </w:r>
      <w:r w:rsidR="008F79CA" w:rsidRPr="006D2720">
        <w:rPr>
          <w:rFonts w:ascii="Times New Roman" w:hAnsi="Times New Roman" w:cs="Times New Roman"/>
        </w:rPr>
        <w:t>non-g</w:t>
      </w:r>
      <w:r w:rsidR="00A41061" w:rsidRPr="006D2720">
        <w:rPr>
          <w:rFonts w:ascii="Times New Roman" w:hAnsi="Times New Roman" w:cs="Times New Roman"/>
        </w:rPr>
        <w:t>o</w:t>
      </w:r>
      <w:r w:rsidR="008F79CA" w:rsidRPr="006D2720">
        <w:rPr>
          <w:rFonts w:ascii="Times New Roman" w:hAnsi="Times New Roman" w:cs="Times New Roman"/>
        </w:rPr>
        <w:t xml:space="preserve">vernment </w:t>
      </w:r>
      <w:r w:rsidR="00DE6CF6" w:rsidRPr="006D2720">
        <w:rPr>
          <w:rFonts w:ascii="Times New Roman" w:hAnsi="Times New Roman" w:cs="Times New Roman"/>
        </w:rPr>
        <w:t xml:space="preserve">organisation </w:t>
      </w:r>
      <w:r w:rsidR="00B2518B" w:rsidRPr="006D2720">
        <w:rPr>
          <w:rFonts w:ascii="Times New Roman" w:hAnsi="Times New Roman" w:cs="Times New Roman"/>
        </w:rPr>
        <w:t>to provide a service to the public</w:t>
      </w:r>
      <w:r w:rsidR="00DE6CF6" w:rsidRPr="006D2720">
        <w:rPr>
          <w:rFonts w:ascii="Times New Roman" w:hAnsi="Times New Roman" w:cs="Times New Roman"/>
        </w:rPr>
        <w:t xml:space="preserve">, </w:t>
      </w:r>
      <w:r w:rsidR="005B6238" w:rsidRPr="006D2720">
        <w:rPr>
          <w:rFonts w:ascii="Times New Roman" w:hAnsi="Times New Roman" w:cs="Times New Roman"/>
        </w:rPr>
        <w:t xml:space="preserve">and </w:t>
      </w:r>
      <w:r w:rsidR="000653E4" w:rsidRPr="006D2720">
        <w:rPr>
          <w:rFonts w:ascii="Times New Roman" w:hAnsi="Times New Roman" w:cs="Times New Roman"/>
        </w:rPr>
        <w:t xml:space="preserve">delivery </w:t>
      </w:r>
      <w:r w:rsidR="002B6A55" w:rsidRPr="006D2720">
        <w:rPr>
          <w:rFonts w:ascii="Times New Roman" w:hAnsi="Times New Roman" w:cs="Times New Roman"/>
        </w:rPr>
        <w:t xml:space="preserve">of </w:t>
      </w:r>
      <w:r w:rsidR="005B6238" w:rsidRPr="006D2720">
        <w:rPr>
          <w:rFonts w:ascii="Times New Roman" w:hAnsi="Times New Roman" w:cs="Times New Roman"/>
        </w:rPr>
        <w:t xml:space="preserve">the service </w:t>
      </w:r>
      <w:r w:rsidR="00B2518B" w:rsidRPr="006D2720">
        <w:rPr>
          <w:rFonts w:ascii="Times New Roman" w:hAnsi="Times New Roman" w:cs="Times New Roman"/>
        </w:rPr>
        <w:t>involves the collection</w:t>
      </w:r>
      <w:r w:rsidR="004D5231" w:rsidRPr="006D2720">
        <w:rPr>
          <w:rFonts w:ascii="Times New Roman" w:hAnsi="Times New Roman" w:cs="Times New Roman"/>
        </w:rPr>
        <w:t xml:space="preserve">, </w:t>
      </w:r>
      <w:r w:rsidR="00B2518B" w:rsidRPr="006D2720">
        <w:rPr>
          <w:rFonts w:ascii="Times New Roman" w:hAnsi="Times New Roman" w:cs="Times New Roman"/>
        </w:rPr>
        <w:t>use</w:t>
      </w:r>
      <w:r w:rsidR="00296247" w:rsidRPr="006D2720">
        <w:rPr>
          <w:rFonts w:ascii="Times New Roman" w:hAnsi="Times New Roman" w:cs="Times New Roman"/>
        </w:rPr>
        <w:t>,</w:t>
      </w:r>
      <w:r w:rsidR="00B2518B" w:rsidRPr="006D2720">
        <w:rPr>
          <w:rFonts w:ascii="Times New Roman" w:hAnsi="Times New Roman" w:cs="Times New Roman"/>
        </w:rPr>
        <w:t xml:space="preserve"> </w:t>
      </w:r>
      <w:r w:rsidR="004D5231" w:rsidRPr="006D2720">
        <w:rPr>
          <w:rFonts w:ascii="Times New Roman" w:hAnsi="Times New Roman" w:cs="Times New Roman"/>
        </w:rPr>
        <w:t xml:space="preserve">or storage </w:t>
      </w:r>
      <w:r w:rsidR="00B2518B" w:rsidRPr="006D2720">
        <w:rPr>
          <w:rFonts w:ascii="Times New Roman" w:hAnsi="Times New Roman" w:cs="Times New Roman"/>
        </w:rPr>
        <w:t>of personal information</w:t>
      </w:r>
      <w:r w:rsidR="000653E4" w:rsidRPr="006D2720">
        <w:rPr>
          <w:rFonts w:ascii="Times New Roman" w:hAnsi="Times New Roman" w:cs="Times New Roman"/>
        </w:rPr>
        <w:t>.</w:t>
      </w:r>
      <w:r w:rsidR="00B2518B" w:rsidRPr="006D2720">
        <w:rPr>
          <w:rFonts w:ascii="Times New Roman" w:hAnsi="Times New Roman" w:cs="Times New Roman"/>
        </w:rPr>
        <w:t xml:space="preserve"> </w:t>
      </w:r>
    </w:p>
    <w:p w14:paraId="63323DD6" w14:textId="4201C264" w:rsidR="00C6327C" w:rsidRPr="006D2720" w:rsidRDefault="00296247" w:rsidP="0014494A">
      <w:pPr>
        <w:pStyle w:val="Heading3"/>
        <w:rPr>
          <w:rFonts w:ascii="Times New Roman" w:hAnsi="Times New Roman" w:cs="Times New Roman"/>
        </w:rPr>
      </w:pPr>
      <w:r w:rsidRPr="006D2720">
        <w:rPr>
          <w:rFonts w:ascii="Times New Roman" w:hAnsi="Times New Roman" w:cs="Times New Roman"/>
        </w:rPr>
        <w:t xml:space="preserve">Private bodies may also be </w:t>
      </w:r>
      <w:r w:rsidR="00B91E8B" w:rsidRPr="006D2720">
        <w:rPr>
          <w:rFonts w:ascii="Times New Roman" w:hAnsi="Times New Roman" w:cs="Times New Roman"/>
        </w:rPr>
        <w:t xml:space="preserve">bound by legislative privacy </w:t>
      </w:r>
      <w:r w:rsidR="00CE4A88" w:rsidRPr="006D2720">
        <w:rPr>
          <w:rFonts w:ascii="Times New Roman" w:hAnsi="Times New Roman" w:cs="Times New Roman"/>
        </w:rPr>
        <w:t>protections</w:t>
      </w:r>
      <w:r w:rsidR="00B91E8B" w:rsidRPr="006D2720">
        <w:rPr>
          <w:rFonts w:ascii="Times New Roman" w:hAnsi="Times New Roman" w:cs="Times New Roman"/>
        </w:rPr>
        <w:t xml:space="preserve"> </w:t>
      </w:r>
      <w:r w:rsidRPr="006D2720">
        <w:rPr>
          <w:rFonts w:ascii="Times New Roman" w:hAnsi="Times New Roman" w:cs="Times New Roman"/>
        </w:rPr>
        <w:t>if they are a</w:t>
      </w:r>
      <w:r w:rsidR="00C6327C" w:rsidRPr="006D2720">
        <w:rPr>
          <w:rFonts w:ascii="Times New Roman" w:hAnsi="Times New Roman" w:cs="Times New Roman"/>
        </w:rPr>
        <w:t xml:space="preserve"> </w:t>
      </w:r>
      <w:r w:rsidR="00657582" w:rsidRPr="006D2720">
        <w:rPr>
          <w:rFonts w:ascii="Times New Roman" w:hAnsi="Times New Roman" w:cs="Times New Roman"/>
        </w:rPr>
        <w:t>health service provider</w:t>
      </w:r>
      <w:r w:rsidRPr="006D2720">
        <w:rPr>
          <w:rFonts w:ascii="Times New Roman" w:hAnsi="Times New Roman" w:cs="Times New Roman"/>
        </w:rPr>
        <w:t xml:space="preserve">. </w:t>
      </w:r>
      <w:r w:rsidR="008B31A2" w:rsidRPr="006D2720">
        <w:rPr>
          <w:rFonts w:ascii="Times New Roman" w:hAnsi="Times New Roman" w:cs="Times New Roman"/>
        </w:rPr>
        <w:t xml:space="preserve">Health information is discussed below at </w:t>
      </w:r>
      <w:r w:rsidR="0047642D" w:rsidRPr="006D2720">
        <w:rPr>
          <w:rFonts w:ascii="Times New Roman" w:hAnsi="Times New Roman" w:cs="Times New Roman"/>
        </w:rPr>
        <w:t>[</w:t>
      </w:r>
      <w:hyperlink w:anchor="_Health_information_is" w:history="1">
        <w:r w:rsidR="008B31A2" w:rsidRPr="006D2720">
          <w:rPr>
            <w:rStyle w:val="Hyperlink"/>
            <w:rFonts w:ascii="Times New Roman" w:hAnsi="Times New Roman" w:cs="Times New Roman"/>
          </w:rPr>
          <w:t>2.2.34</w:t>
        </w:r>
        <w:r w:rsidR="0047642D" w:rsidRPr="006D2720">
          <w:rPr>
            <w:rStyle w:val="Hyperlink"/>
            <w:rFonts w:ascii="Times New Roman" w:hAnsi="Times New Roman" w:cs="Times New Roman"/>
          </w:rPr>
          <w:t>]</w:t>
        </w:r>
        <w:r w:rsidR="008B31A2" w:rsidRPr="006D2720">
          <w:rPr>
            <w:rStyle w:val="Hyperlink"/>
            <w:rFonts w:ascii="Times New Roman" w:hAnsi="Times New Roman" w:cs="Times New Roman"/>
          </w:rPr>
          <w:t>–</w:t>
        </w:r>
        <w:r w:rsidR="0047642D" w:rsidRPr="006D2720">
          <w:rPr>
            <w:rStyle w:val="Hyperlink"/>
            <w:rFonts w:ascii="Times New Roman" w:hAnsi="Times New Roman" w:cs="Times New Roman"/>
          </w:rPr>
          <w:t>[</w:t>
        </w:r>
        <w:r w:rsidR="008B31A2" w:rsidRPr="006D2720">
          <w:rPr>
            <w:rStyle w:val="Hyperlink"/>
            <w:rFonts w:ascii="Times New Roman" w:hAnsi="Times New Roman" w:cs="Times New Roman"/>
          </w:rPr>
          <w:t>2.2.41</w:t>
        </w:r>
      </w:hyperlink>
      <w:r w:rsidR="0047642D" w:rsidRPr="006D2720">
        <w:rPr>
          <w:rFonts w:ascii="Times New Roman" w:hAnsi="Times New Roman" w:cs="Times New Roman"/>
        </w:rPr>
        <w:t>]</w:t>
      </w:r>
      <w:r w:rsidR="008B31A2" w:rsidRPr="006D2720">
        <w:rPr>
          <w:rFonts w:ascii="Times New Roman" w:hAnsi="Times New Roman" w:cs="Times New Roman"/>
        </w:rPr>
        <w:t xml:space="preserve">. Some aspects of </w:t>
      </w:r>
      <w:r w:rsidRPr="006D2720">
        <w:rPr>
          <w:rFonts w:ascii="Times New Roman" w:hAnsi="Times New Roman" w:cs="Times New Roman"/>
        </w:rPr>
        <w:t>health information privacy</w:t>
      </w:r>
      <w:r w:rsidR="008B31A2" w:rsidRPr="006D2720">
        <w:rPr>
          <w:rFonts w:ascii="Times New Roman" w:hAnsi="Times New Roman" w:cs="Times New Roman"/>
        </w:rPr>
        <w:t xml:space="preserve"> ar</w:t>
      </w:r>
      <w:r w:rsidR="00B91E8B" w:rsidRPr="006D2720">
        <w:rPr>
          <w:rFonts w:ascii="Times New Roman" w:hAnsi="Times New Roman" w:cs="Times New Roman"/>
        </w:rPr>
        <w:t xml:space="preserve">e </w:t>
      </w:r>
      <w:r w:rsidR="008B31A2" w:rsidRPr="006D2720">
        <w:rPr>
          <w:rFonts w:ascii="Times New Roman" w:hAnsi="Times New Roman" w:cs="Times New Roman"/>
        </w:rPr>
        <w:t xml:space="preserve">protected under </w:t>
      </w:r>
      <w:r w:rsidR="00B91E8B" w:rsidRPr="006D2720">
        <w:rPr>
          <w:rFonts w:ascii="Times New Roman" w:hAnsi="Times New Roman" w:cs="Times New Roman"/>
        </w:rPr>
        <w:t>the PIPA</w:t>
      </w:r>
      <w:r w:rsidR="008B31A2" w:rsidRPr="006D2720">
        <w:rPr>
          <w:rFonts w:ascii="Times New Roman" w:hAnsi="Times New Roman" w:cs="Times New Roman"/>
        </w:rPr>
        <w:t xml:space="preserve">, while others are </w:t>
      </w:r>
      <w:r w:rsidR="00B91E8B" w:rsidRPr="006D2720">
        <w:rPr>
          <w:rFonts w:ascii="Times New Roman" w:hAnsi="Times New Roman" w:cs="Times New Roman"/>
        </w:rPr>
        <w:t xml:space="preserve">regulated </w:t>
      </w:r>
      <w:r w:rsidR="00C6327C" w:rsidRPr="006D2720">
        <w:rPr>
          <w:rFonts w:ascii="Times New Roman" w:hAnsi="Times New Roman" w:cs="Times New Roman"/>
        </w:rPr>
        <w:t xml:space="preserve">under the </w:t>
      </w:r>
      <w:r w:rsidR="0038110A" w:rsidRPr="006D2720">
        <w:rPr>
          <w:rFonts w:ascii="Times New Roman" w:hAnsi="Times New Roman" w:cs="Times New Roman"/>
          <w:i/>
          <w:iCs/>
        </w:rPr>
        <w:t xml:space="preserve">Tasmanian </w:t>
      </w:r>
      <w:r w:rsidR="00C6327C" w:rsidRPr="006D2720">
        <w:rPr>
          <w:rFonts w:ascii="Times New Roman" w:hAnsi="Times New Roman" w:cs="Times New Roman"/>
          <w:i/>
          <w:iCs/>
        </w:rPr>
        <w:t xml:space="preserve">Charter of Health Rights and Responsibilities </w:t>
      </w:r>
      <w:r w:rsidR="00C6327C" w:rsidRPr="006D2720">
        <w:rPr>
          <w:rFonts w:ascii="Times New Roman" w:hAnsi="Times New Roman" w:cs="Times New Roman"/>
        </w:rPr>
        <w:t xml:space="preserve">developed under the </w:t>
      </w:r>
      <w:r w:rsidR="00C6327C" w:rsidRPr="006D2720">
        <w:rPr>
          <w:rFonts w:ascii="Times New Roman" w:hAnsi="Times New Roman" w:cs="Times New Roman"/>
          <w:i/>
          <w:iCs/>
        </w:rPr>
        <w:t>Health Complaints Act 1995</w:t>
      </w:r>
      <w:r w:rsidR="00C6327C" w:rsidRPr="006D2720">
        <w:rPr>
          <w:rFonts w:ascii="Times New Roman" w:hAnsi="Times New Roman" w:cs="Times New Roman"/>
        </w:rPr>
        <w:t xml:space="preserve"> (Tas)</w:t>
      </w:r>
      <w:r w:rsidR="00013C06" w:rsidRPr="006D2720">
        <w:rPr>
          <w:rFonts w:ascii="Times New Roman" w:hAnsi="Times New Roman" w:cs="Times New Roman"/>
        </w:rPr>
        <w:t xml:space="preserve">. These frameworks are </w:t>
      </w:r>
      <w:r w:rsidR="00C6327C" w:rsidRPr="006D2720">
        <w:rPr>
          <w:rFonts w:ascii="Times New Roman" w:hAnsi="Times New Roman" w:cs="Times New Roman"/>
        </w:rPr>
        <w:t xml:space="preserve">discussed </w:t>
      </w:r>
      <w:r w:rsidR="002F18F7">
        <w:rPr>
          <w:rFonts w:ascii="Times New Roman" w:hAnsi="Times New Roman" w:cs="Times New Roman"/>
        </w:rPr>
        <w:t>below at [</w:t>
      </w:r>
      <w:r w:rsidR="002F18F7">
        <w:rPr>
          <w:rFonts w:ascii="Times New Roman" w:hAnsi="Times New Roman" w:cs="Times New Roman"/>
        </w:rPr>
        <w:fldChar w:fldCharType="begin"/>
      </w:r>
      <w:r w:rsidR="002F18F7">
        <w:rPr>
          <w:rFonts w:ascii="Times New Roman" w:hAnsi="Times New Roman" w:cs="Times New Roman"/>
        </w:rPr>
        <w:instrText xml:space="preserve"> REF _Ref91751192 \r \h </w:instrText>
      </w:r>
      <w:r w:rsidR="002F18F7">
        <w:rPr>
          <w:rFonts w:ascii="Times New Roman" w:hAnsi="Times New Roman" w:cs="Times New Roman"/>
        </w:rPr>
      </w:r>
      <w:r w:rsidR="002F18F7">
        <w:rPr>
          <w:rFonts w:ascii="Times New Roman" w:hAnsi="Times New Roman" w:cs="Times New Roman"/>
        </w:rPr>
        <w:fldChar w:fldCharType="separate"/>
      </w:r>
      <w:r w:rsidR="00E66B60">
        <w:rPr>
          <w:rFonts w:ascii="Times New Roman" w:hAnsi="Times New Roman" w:cs="Times New Roman"/>
        </w:rPr>
        <w:t>4.2</w:t>
      </w:r>
      <w:r w:rsidR="002F18F7">
        <w:rPr>
          <w:rFonts w:ascii="Times New Roman" w:hAnsi="Times New Roman" w:cs="Times New Roman"/>
        </w:rPr>
        <w:fldChar w:fldCharType="end"/>
      </w:r>
      <w:r w:rsidR="002F18F7">
        <w:rPr>
          <w:rFonts w:ascii="Times New Roman" w:hAnsi="Times New Roman" w:cs="Times New Roman"/>
        </w:rPr>
        <w:t>].</w:t>
      </w:r>
    </w:p>
    <w:p w14:paraId="732F91E0" w14:textId="5FFE00EA" w:rsidR="00511973" w:rsidRPr="006D2720" w:rsidRDefault="00DB49CF" w:rsidP="00A43D06">
      <w:pPr>
        <w:pStyle w:val="Heading3"/>
        <w:rPr>
          <w:rFonts w:ascii="Times New Roman" w:hAnsi="Times New Roman" w:cs="Times New Roman"/>
        </w:rPr>
      </w:pPr>
      <w:r w:rsidRPr="006D2720">
        <w:rPr>
          <w:rFonts w:ascii="Times New Roman" w:hAnsi="Times New Roman" w:cs="Times New Roman"/>
        </w:rPr>
        <w:t>Other</w:t>
      </w:r>
      <w:r w:rsidR="00A43D06" w:rsidRPr="006D2720">
        <w:rPr>
          <w:rFonts w:ascii="Times New Roman" w:hAnsi="Times New Roman" w:cs="Times New Roman"/>
        </w:rPr>
        <w:t xml:space="preserve"> </w:t>
      </w:r>
      <w:r w:rsidR="00817FAF" w:rsidRPr="006D2720">
        <w:rPr>
          <w:rFonts w:ascii="Times New Roman" w:hAnsi="Times New Roman" w:cs="Times New Roman"/>
        </w:rPr>
        <w:t>s</w:t>
      </w:r>
      <w:r w:rsidR="00A43D06" w:rsidRPr="006D2720">
        <w:rPr>
          <w:rFonts w:ascii="Times New Roman" w:hAnsi="Times New Roman" w:cs="Times New Roman"/>
        </w:rPr>
        <w:t xml:space="preserve">tates and </w:t>
      </w:r>
      <w:r w:rsidR="00817FAF" w:rsidRPr="006D2720">
        <w:rPr>
          <w:rFonts w:ascii="Times New Roman" w:hAnsi="Times New Roman" w:cs="Times New Roman"/>
        </w:rPr>
        <w:t>t</w:t>
      </w:r>
      <w:r w:rsidR="00A43D06" w:rsidRPr="006D2720">
        <w:rPr>
          <w:rFonts w:ascii="Times New Roman" w:hAnsi="Times New Roman" w:cs="Times New Roman"/>
        </w:rPr>
        <w:t xml:space="preserve">erritories </w:t>
      </w:r>
      <w:r w:rsidR="00E569DE" w:rsidRPr="006D2720">
        <w:rPr>
          <w:rFonts w:ascii="Times New Roman" w:hAnsi="Times New Roman" w:cs="Times New Roman"/>
        </w:rPr>
        <w:t>with information privacy legislation</w:t>
      </w:r>
      <w:r w:rsidR="00E569DE" w:rsidRPr="006D2720">
        <w:rPr>
          <w:rStyle w:val="FootnoteReference"/>
          <w:rFonts w:ascii="Times New Roman" w:hAnsi="Times New Roman" w:cs="Times New Roman"/>
        </w:rPr>
        <w:footnoteReference w:id="48"/>
      </w:r>
      <w:r w:rsidR="00E569DE" w:rsidRPr="006D2720">
        <w:rPr>
          <w:rFonts w:ascii="Times New Roman" w:hAnsi="Times New Roman" w:cs="Times New Roman"/>
        </w:rPr>
        <w:t xml:space="preserve"> </w:t>
      </w:r>
      <w:r w:rsidR="00A43D06" w:rsidRPr="006D2720">
        <w:rPr>
          <w:rFonts w:ascii="Times New Roman" w:hAnsi="Times New Roman" w:cs="Times New Roman"/>
        </w:rPr>
        <w:t xml:space="preserve">generally limit the extent to which </w:t>
      </w:r>
      <w:r w:rsidR="00C924D9" w:rsidRPr="006D2720">
        <w:rPr>
          <w:rFonts w:ascii="Times New Roman" w:hAnsi="Times New Roman" w:cs="Times New Roman"/>
        </w:rPr>
        <w:t xml:space="preserve">protections </w:t>
      </w:r>
      <w:r w:rsidR="00365129" w:rsidRPr="006D2720">
        <w:rPr>
          <w:rFonts w:ascii="Times New Roman" w:hAnsi="Times New Roman" w:cs="Times New Roman"/>
        </w:rPr>
        <w:t>apply</w:t>
      </w:r>
      <w:r w:rsidR="00A43D06" w:rsidRPr="006D2720">
        <w:rPr>
          <w:rFonts w:ascii="Times New Roman" w:hAnsi="Times New Roman" w:cs="Times New Roman"/>
        </w:rPr>
        <w:t xml:space="preserve"> beyond the public sector</w:t>
      </w:r>
      <w:r w:rsidR="00A43D06" w:rsidRPr="006D2720">
        <w:rPr>
          <w:rStyle w:val="FootnoteReference"/>
          <w:rFonts w:ascii="Times New Roman" w:hAnsi="Times New Roman" w:cs="Times New Roman"/>
        </w:rPr>
        <w:footnoteReference w:id="49"/>
      </w:r>
      <w:r w:rsidRPr="006D2720">
        <w:rPr>
          <w:rFonts w:ascii="Times New Roman" w:hAnsi="Times New Roman" w:cs="Times New Roman"/>
        </w:rPr>
        <w:t xml:space="preserve"> in similar ways</w:t>
      </w:r>
      <w:r w:rsidR="007904B4" w:rsidRPr="006D2720">
        <w:rPr>
          <w:rFonts w:ascii="Times New Roman" w:hAnsi="Times New Roman" w:cs="Times New Roman"/>
        </w:rPr>
        <w:t xml:space="preserve">. As in Tasmania, </w:t>
      </w:r>
      <w:r w:rsidR="000A1CFF" w:rsidRPr="006D2720">
        <w:rPr>
          <w:rFonts w:ascii="Times New Roman" w:hAnsi="Times New Roman" w:cs="Times New Roman"/>
        </w:rPr>
        <w:t xml:space="preserve">in other jurisdictions the private bodies that typically must comply with the legislative obligations are </w:t>
      </w:r>
      <w:r w:rsidR="00644DD0" w:rsidRPr="006D2720">
        <w:rPr>
          <w:rFonts w:ascii="Times New Roman" w:hAnsi="Times New Roman" w:cs="Times New Roman"/>
        </w:rPr>
        <w:t xml:space="preserve">private </w:t>
      </w:r>
      <w:r w:rsidR="00511973" w:rsidRPr="006D2720">
        <w:rPr>
          <w:rFonts w:ascii="Times New Roman" w:hAnsi="Times New Roman" w:cs="Times New Roman"/>
        </w:rPr>
        <w:t>health service providers and government contractor</w:t>
      </w:r>
      <w:r w:rsidR="000A1CFF" w:rsidRPr="006D2720">
        <w:rPr>
          <w:rFonts w:ascii="Times New Roman" w:hAnsi="Times New Roman" w:cs="Times New Roman"/>
        </w:rPr>
        <w:t>s.</w:t>
      </w:r>
      <w:r w:rsidR="00511973" w:rsidRPr="006D2720">
        <w:rPr>
          <w:rFonts w:ascii="Times New Roman" w:hAnsi="Times New Roman" w:cs="Times New Roman"/>
        </w:rPr>
        <w:t xml:space="preserve"> </w:t>
      </w:r>
    </w:p>
    <w:p w14:paraId="4255B824" w14:textId="715391CE" w:rsidR="00E418F3" w:rsidRPr="006D2720" w:rsidRDefault="008A30FE" w:rsidP="00A43D06">
      <w:pPr>
        <w:pStyle w:val="Heading3"/>
        <w:rPr>
          <w:rFonts w:ascii="Times New Roman" w:hAnsi="Times New Roman" w:cs="Times New Roman"/>
        </w:rPr>
      </w:pPr>
      <w:r w:rsidRPr="006D2720">
        <w:rPr>
          <w:rFonts w:ascii="Times New Roman" w:hAnsi="Times New Roman" w:cs="Times New Roman"/>
        </w:rPr>
        <w:t>P</w:t>
      </w:r>
      <w:r w:rsidR="00113DCC" w:rsidRPr="006D2720">
        <w:rPr>
          <w:rFonts w:ascii="Times New Roman" w:hAnsi="Times New Roman" w:cs="Times New Roman"/>
        </w:rPr>
        <w:t>rivate health service providers i</w:t>
      </w:r>
      <w:r w:rsidR="002634D6" w:rsidRPr="006D2720">
        <w:rPr>
          <w:rFonts w:ascii="Times New Roman" w:hAnsi="Times New Roman" w:cs="Times New Roman"/>
        </w:rPr>
        <w:t xml:space="preserve">n </w:t>
      </w:r>
      <w:r w:rsidR="00614884" w:rsidRPr="006D2720">
        <w:rPr>
          <w:rFonts w:ascii="Times New Roman" w:hAnsi="Times New Roman" w:cs="Times New Roman"/>
        </w:rPr>
        <w:t>NSW</w:t>
      </w:r>
      <w:r w:rsidR="002634D6" w:rsidRPr="006D2720">
        <w:rPr>
          <w:rFonts w:ascii="Times New Roman" w:hAnsi="Times New Roman" w:cs="Times New Roman"/>
        </w:rPr>
        <w:t>, Victoria, and the Australian Capital Territory</w:t>
      </w:r>
      <w:r w:rsidR="00DB39F6" w:rsidRPr="006D2720">
        <w:rPr>
          <w:rFonts w:ascii="Times New Roman" w:hAnsi="Times New Roman" w:cs="Times New Roman"/>
        </w:rPr>
        <w:t xml:space="preserve"> (‘ACT’)</w:t>
      </w:r>
      <w:r w:rsidR="002634D6" w:rsidRPr="006D2720">
        <w:rPr>
          <w:rFonts w:ascii="Times New Roman" w:hAnsi="Times New Roman" w:cs="Times New Roman"/>
        </w:rPr>
        <w:t xml:space="preserve"> must</w:t>
      </w:r>
      <w:r w:rsidR="00A43D06" w:rsidRPr="006D2720">
        <w:rPr>
          <w:rFonts w:ascii="Times New Roman" w:hAnsi="Times New Roman" w:cs="Times New Roman"/>
        </w:rPr>
        <w:t xml:space="preserve"> comply with both </w:t>
      </w:r>
      <w:r w:rsidR="00383FE8" w:rsidRPr="006D2720">
        <w:rPr>
          <w:rFonts w:ascii="Times New Roman" w:hAnsi="Times New Roman" w:cs="Times New Roman"/>
        </w:rPr>
        <w:t>federal</w:t>
      </w:r>
      <w:r w:rsidR="00A43D06" w:rsidRPr="006D2720">
        <w:rPr>
          <w:rFonts w:ascii="Times New Roman" w:hAnsi="Times New Roman" w:cs="Times New Roman"/>
        </w:rPr>
        <w:t xml:space="preserve"> and </w:t>
      </w:r>
      <w:r w:rsidR="00817FAF" w:rsidRPr="006D2720">
        <w:rPr>
          <w:rFonts w:ascii="Times New Roman" w:hAnsi="Times New Roman" w:cs="Times New Roman"/>
        </w:rPr>
        <w:t>s</w:t>
      </w:r>
      <w:r w:rsidR="00A43D06" w:rsidRPr="006D2720">
        <w:rPr>
          <w:rFonts w:ascii="Times New Roman" w:hAnsi="Times New Roman" w:cs="Times New Roman"/>
        </w:rPr>
        <w:t xml:space="preserve">tate or </w:t>
      </w:r>
      <w:r w:rsidR="00817FAF" w:rsidRPr="006D2720">
        <w:rPr>
          <w:rFonts w:ascii="Times New Roman" w:hAnsi="Times New Roman" w:cs="Times New Roman"/>
        </w:rPr>
        <w:t>t</w:t>
      </w:r>
      <w:r w:rsidR="00A43D06" w:rsidRPr="006D2720">
        <w:rPr>
          <w:rFonts w:ascii="Times New Roman" w:hAnsi="Times New Roman" w:cs="Times New Roman"/>
        </w:rPr>
        <w:t>erritory privacy laws when handling health information.</w:t>
      </w:r>
      <w:r w:rsidR="00A43D06" w:rsidRPr="006D2720">
        <w:rPr>
          <w:rStyle w:val="FootnoteReference"/>
          <w:rFonts w:ascii="Times New Roman" w:hAnsi="Times New Roman" w:cs="Times New Roman"/>
        </w:rPr>
        <w:footnoteReference w:id="50"/>
      </w:r>
      <w:r w:rsidR="00A43D06" w:rsidRPr="006D2720">
        <w:rPr>
          <w:rFonts w:ascii="Times New Roman" w:hAnsi="Times New Roman" w:cs="Times New Roman"/>
        </w:rPr>
        <w:t xml:space="preserve"> </w:t>
      </w:r>
    </w:p>
    <w:p w14:paraId="5C2EED7E" w14:textId="52620A7C" w:rsidR="00C06910" w:rsidRPr="006D2720" w:rsidRDefault="00C74921" w:rsidP="00A43D06">
      <w:pPr>
        <w:pStyle w:val="Heading3"/>
        <w:rPr>
          <w:rFonts w:ascii="Times New Roman" w:hAnsi="Times New Roman" w:cs="Times New Roman"/>
        </w:rPr>
      </w:pPr>
      <w:r w:rsidRPr="006D2720">
        <w:rPr>
          <w:rFonts w:ascii="Times New Roman" w:hAnsi="Times New Roman" w:cs="Times New Roman"/>
        </w:rPr>
        <w:t xml:space="preserve">Meanwhile, </w:t>
      </w:r>
      <w:r w:rsidR="00465B4C" w:rsidRPr="006D2720">
        <w:rPr>
          <w:rFonts w:ascii="Times New Roman" w:hAnsi="Times New Roman" w:cs="Times New Roman"/>
        </w:rPr>
        <w:t>in Victoria and Queensland</w:t>
      </w:r>
      <w:r w:rsidR="00DE5FDD" w:rsidRPr="006D2720">
        <w:rPr>
          <w:rFonts w:ascii="Times New Roman" w:hAnsi="Times New Roman" w:cs="Times New Roman"/>
        </w:rPr>
        <w:t xml:space="preserve"> when private contractors</w:t>
      </w:r>
      <w:r w:rsidR="00EF1615" w:rsidRPr="006D2720">
        <w:rPr>
          <w:rFonts w:ascii="Times New Roman" w:hAnsi="Times New Roman" w:cs="Times New Roman"/>
        </w:rPr>
        <w:t xml:space="preserve"> are</w:t>
      </w:r>
      <w:r w:rsidR="00CF178A" w:rsidRPr="006D2720">
        <w:rPr>
          <w:rFonts w:ascii="Times New Roman" w:hAnsi="Times New Roman" w:cs="Times New Roman"/>
        </w:rPr>
        <w:t xml:space="preserve"> </w:t>
      </w:r>
      <w:r w:rsidR="003643CB" w:rsidRPr="006D2720">
        <w:rPr>
          <w:rFonts w:ascii="Times New Roman" w:hAnsi="Times New Roman" w:cs="Times New Roman"/>
        </w:rPr>
        <w:t>engaged by government agencies as service providers</w:t>
      </w:r>
      <w:r w:rsidR="00A448C4" w:rsidRPr="006D2720">
        <w:rPr>
          <w:rFonts w:ascii="Times New Roman" w:hAnsi="Times New Roman" w:cs="Times New Roman"/>
        </w:rPr>
        <w:t>,</w:t>
      </w:r>
      <w:r w:rsidR="00A43D06" w:rsidRPr="006D2720">
        <w:rPr>
          <w:rFonts w:ascii="Times New Roman" w:hAnsi="Times New Roman" w:cs="Times New Roman"/>
        </w:rPr>
        <w:t xml:space="preserve"> </w:t>
      </w:r>
      <w:r w:rsidR="00E4156D" w:rsidRPr="006D2720">
        <w:rPr>
          <w:rFonts w:ascii="Times New Roman" w:hAnsi="Times New Roman" w:cs="Times New Roman"/>
        </w:rPr>
        <w:t xml:space="preserve">the extent </w:t>
      </w:r>
      <w:r w:rsidR="00F57427" w:rsidRPr="006D2720">
        <w:rPr>
          <w:rFonts w:ascii="Times New Roman" w:hAnsi="Times New Roman" w:cs="Times New Roman"/>
        </w:rPr>
        <w:t xml:space="preserve">to which privacy principles apply </w:t>
      </w:r>
      <w:r w:rsidR="00E4156D" w:rsidRPr="006D2720">
        <w:rPr>
          <w:rFonts w:ascii="Times New Roman" w:hAnsi="Times New Roman" w:cs="Times New Roman"/>
        </w:rPr>
        <w:t>is more</w:t>
      </w:r>
      <w:r w:rsidR="00A43D06" w:rsidRPr="006D2720">
        <w:rPr>
          <w:rFonts w:ascii="Times New Roman" w:hAnsi="Times New Roman" w:cs="Times New Roman"/>
        </w:rPr>
        <w:t xml:space="preserve"> limited </w:t>
      </w:r>
      <w:r w:rsidR="00DE5FDD" w:rsidRPr="006D2720">
        <w:rPr>
          <w:rFonts w:ascii="Times New Roman" w:hAnsi="Times New Roman" w:cs="Times New Roman"/>
        </w:rPr>
        <w:t xml:space="preserve">compared to </w:t>
      </w:r>
      <w:r w:rsidR="00A43D06" w:rsidRPr="006D2720">
        <w:rPr>
          <w:rFonts w:ascii="Times New Roman" w:hAnsi="Times New Roman" w:cs="Times New Roman"/>
        </w:rPr>
        <w:t>Tasmania</w:t>
      </w:r>
      <w:r w:rsidR="006B0AFA" w:rsidRPr="006D2720">
        <w:rPr>
          <w:rFonts w:ascii="Times New Roman" w:hAnsi="Times New Roman" w:cs="Times New Roman"/>
        </w:rPr>
        <w:t xml:space="preserve">. </w:t>
      </w:r>
      <w:r w:rsidR="008C0170" w:rsidRPr="006D2720">
        <w:rPr>
          <w:rFonts w:ascii="Times New Roman" w:hAnsi="Times New Roman" w:cs="Times New Roman"/>
        </w:rPr>
        <w:t>In Tasmania, the protections apply automatically when the contractor enters into an outsourcing arrangement</w:t>
      </w:r>
      <w:r w:rsidR="00171EED" w:rsidRPr="006D2720">
        <w:rPr>
          <w:rFonts w:ascii="Times New Roman" w:hAnsi="Times New Roman" w:cs="Times New Roman"/>
        </w:rPr>
        <w:t xml:space="preserve"> with a government agency</w:t>
      </w:r>
      <w:r w:rsidR="008C0170" w:rsidRPr="006D2720">
        <w:rPr>
          <w:rFonts w:ascii="Times New Roman" w:hAnsi="Times New Roman" w:cs="Times New Roman"/>
        </w:rPr>
        <w:t xml:space="preserve">. However, </w:t>
      </w:r>
      <w:r w:rsidR="00C06936" w:rsidRPr="006D2720">
        <w:rPr>
          <w:rFonts w:ascii="Times New Roman" w:hAnsi="Times New Roman" w:cs="Times New Roman"/>
        </w:rPr>
        <w:t>Victorian or Queensland</w:t>
      </w:r>
      <w:r w:rsidR="00557FF0" w:rsidRPr="006D2720">
        <w:rPr>
          <w:rFonts w:ascii="Times New Roman" w:hAnsi="Times New Roman" w:cs="Times New Roman"/>
        </w:rPr>
        <w:t xml:space="preserve"> agenc</w:t>
      </w:r>
      <w:r w:rsidR="00C842FC" w:rsidRPr="006D2720">
        <w:rPr>
          <w:rFonts w:ascii="Times New Roman" w:hAnsi="Times New Roman" w:cs="Times New Roman"/>
        </w:rPr>
        <w:t xml:space="preserve">ies must </w:t>
      </w:r>
      <w:r w:rsidR="00557FF0" w:rsidRPr="006D2720">
        <w:rPr>
          <w:rFonts w:ascii="Times New Roman" w:hAnsi="Times New Roman" w:cs="Times New Roman"/>
        </w:rPr>
        <w:t xml:space="preserve">take </w:t>
      </w:r>
      <w:r w:rsidR="00073671" w:rsidRPr="006D2720">
        <w:rPr>
          <w:rFonts w:ascii="Times New Roman" w:hAnsi="Times New Roman" w:cs="Times New Roman"/>
        </w:rPr>
        <w:t xml:space="preserve">positive steps </w:t>
      </w:r>
      <w:r w:rsidR="00557FF0" w:rsidRPr="006D2720">
        <w:rPr>
          <w:rFonts w:ascii="Times New Roman" w:hAnsi="Times New Roman" w:cs="Times New Roman"/>
        </w:rPr>
        <w:t xml:space="preserve">to bind the contractor to the </w:t>
      </w:r>
      <w:r w:rsidR="00553D5E" w:rsidRPr="006D2720">
        <w:rPr>
          <w:rFonts w:ascii="Times New Roman" w:hAnsi="Times New Roman" w:cs="Times New Roman"/>
        </w:rPr>
        <w:t xml:space="preserve">privacy </w:t>
      </w:r>
      <w:r w:rsidR="00557FF0" w:rsidRPr="006D2720">
        <w:rPr>
          <w:rFonts w:ascii="Times New Roman" w:hAnsi="Times New Roman" w:cs="Times New Roman"/>
        </w:rPr>
        <w:t>principles</w:t>
      </w:r>
      <w:r w:rsidR="00713899" w:rsidRPr="006D2720">
        <w:rPr>
          <w:rFonts w:ascii="Times New Roman" w:hAnsi="Times New Roman" w:cs="Times New Roman"/>
        </w:rPr>
        <w:t>.</w:t>
      </w:r>
      <w:r w:rsidR="00A43D06" w:rsidRPr="006D2720">
        <w:rPr>
          <w:rStyle w:val="FootnoteReference"/>
          <w:rFonts w:ascii="Times New Roman" w:hAnsi="Times New Roman" w:cs="Times New Roman"/>
        </w:rPr>
        <w:footnoteReference w:id="51"/>
      </w:r>
    </w:p>
    <w:p w14:paraId="47630961" w14:textId="5799B38F" w:rsidR="00C06910" w:rsidRPr="006D2720" w:rsidRDefault="00A43D06" w:rsidP="00C431C3">
      <w:pPr>
        <w:pStyle w:val="Dotpointlist"/>
        <w:rPr>
          <w:rFonts w:ascii="Times New Roman" w:hAnsi="Times New Roman" w:cs="Times New Roman"/>
        </w:rPr>
      </w:pPr>
      <w:r w:rsidRPr="006D2720">
        <w:rPr>
          <w:rFonts w:ascii="Times New Roman" w:hAnsi="Times New Roman" w:cs="Times New Roman"/>
        </w:rPr>
        <w:t xml:space="preserve">In Victoria, </w:t>
      </w:r>
      <w:r w:rsidR="00CA2F15" w:rsidRPr="006D2720">
        <w:rPr>
          <w:rFonts w:ascii="Times New Roman" w:hAnsi="Times New Roman" w:cs="Times New Roman"/>
        </w:rPr>
        <w:t xml:space="preserve">a </w:t>
      </w:r>
      <w:r w:rsidRPr="006D2720">
        <w:rPr>
          <w:rFonts w:ascii="Times New Roman" w:hAnsi="Times New Roman" w:cs="Times New Roman"/>
        </w:rPr>
        <w:t xml:space="preserve">government contractor </w:t>
      </w:r>
      <w:r w:rsidR="00CA2F15" w:rsidRPr="006D2720">
        <w:rPr>
          <w:rFonts w:ascii="Times New Roman" w:hAnsi="Times New Roman" w:cs="Times New Roman"/>
        </w:rPr>
        <w:t xml:space="preserve">is </w:t>
      </w:r>
      <w:r w:rsidR="00E23ED5" w:rsidRPr="006D2720">
        <w:rPr>
          <w:rFonts w:ascii="Times New Roman" w:hAnsi="Times New Roman" w:cs="Times New Roman"/>
        </w:rPr>
        <w:t>bound</w:t>
      </w:r>
      <w:r w:rsidRPr="006D2720">
        <w:rPr>
          <w:rFonts w:ascii="Times New Roman" w:hAnsi="Times New Roman" w:cs="Times New Roman"/>
        </w:rPr>
        <w:t xml:space="preserve"> only where </w:t>
      </w:r>
      <w:r w:rsidR="00E23ED5" w:rsidRPr="006D2720">
        <w:rPr>
          <w:rFonts w:ascii="Times New Roman" w:hAnsi="Times New Roman" w:cs="Times New Roman"/>
        </w:rPr>
        <w:t xml:space="preserve">the contract </w:t>
      </w:r>
      <w:r w:rsidR="00B43644" w:rsidRPr="006D2720">
        <w:rPr>
          <w:rFonts w:ascii="Times New Roman" w:hAnsi="Times New Roman" w:cs="Times New Roman"/>
        </w:rPr>
        <w:t xml:space="preserve">contains a term </w:t>
      </w:r>
      <w:r w:rsidR="00805AD8" w:rsidRPr="006D2720">
        <w:rPr>
          <w:rFonts w:ascii="Times New Roman" w:hAnsi="Times New Roman" w:cs="Times New Roman"/>
        </w:rPr>
        <w:t>providing</w:t>
      </w:r>
      <w:r w:rsidR="00BA773C" w:rsidRPr="006D2720">
        <w:rPr>
          <w:rFonts w:ascii="Times New Roman" w:hAnsi="Times New Roman" w:cs="Times New Roman"/>
        </w:rPr>
        <w:t xml:space="preserve"> for this restriction</w:t>
      </w:r>
      <w:r w:rsidRPr="006D2720">
        <w:rPr>
          <w:rFonts w:ascii="Times New Roman" w:hAnsi="Times New Roman" w:cs="Times New Roman"/>
        </w:rPr>
        <w:t>.</w:t>
      </w:r>
      <w:r w:rsidRPr="006D2720">
        <w:rPr>
          <w:rStyle w:val="FootnoteReference"/>
          <w:rFonts w:ascii="Times New Roman" w:hAnsi="Times New Roman" w:cs="Times New Roman"/>
        </w:rPr>
        <w:footnoteReference w:id="52"/>
      </w:r>
      <w:r w:rsidRPr="006D2720">
        <w:rPr>
          <w:rFonts w:ascii="Times New Roman" w:hAnsi="Times New Roman" w:cs="Times New Roman"/>
        </w:rPr>
        <w:t xml:space="preserve"> </w:t>
      </w:r>
      <w:r w:rsidR="00B4235F" w:rsidRPr="006D2720">
        <w:rPr>
          <w:rFonts w:ascii="Times New Roman" w:hAnsi="Times New Roman" w:cs="Times New Roman"/>
        </w:rPr>
        <w:t xml:space="preserve">This contractual </w:t>
      </w:r>
      <w:r w:rsidR="00223AC4" w:rsidRPr="006D2720">
        <w:rPr>
          <w:rFonts w:ascii="Times New Roman" w:hAnsi="Times New Roman" w:cs="Times New Roman"/>
        </w:rPr>
        <w:t>term</w:t>
      </w:r>
      <w:r w:rsidR="00B4235F" w:rsidRPr="006D2720">
        <w:rPr>
          <w:rFonts w:ascii="Times New Roman" w:hAnsi="Times New Roman" w:cs="Times New Roman"/>
        </w:rPr>
        <w:t xml:space="preserve"> </w:t>
      </w:r>
      <w:r w:rsidR="00223AC4" w:rsidRPr="006D2720">
        <w:rPr>
          <w:rFonts w:ascii="Times New Roman" w:hAnsi="Times New Roman" w:cs="Times New Roman"/>
        </w:rPr>
        <w:t xml:space="preserve">also impacts </w:t>
      </w:r>
      <w:r w:rsidR="00334F14" w:rsidRPr="006D2720">
        <w:rPr>
          <w:rFonts w:ascii="Times New Roman" w:hAnsi="Times New Roman" w:cs="Times New Roman"/>
        </w:rPr>
        <w:t xml:space="preserve">who </w:t>
      </w:r>
      <w:r w:rsidR="00DD0CE2" w:rsidRPr="006D2720">
        <w:rPr>
          <w:rFonts w:ascii="Times New Roman" w:hAnsi="Times New Roman" w:cs="Times New Roman"/>
        </w:rPr>
        <w:t>is</w:t>
      </w:r>
      <w:r w:rsidR="00334F14" w:rsidRPr="006D2720">
        <w:rPr>
          <w:rFonts w:ascii="Times New Roman" w:hAnsi="Times New Roman" w:cs="Times New Roman"/>
        </w:rPr>
        <w:t xml:space="preserve"> held </w:t>
      </w:r>
      <w:r w:rsidR="00DB3980" w:rsidRPr="006D2720">
        <w:rPr>
          <w:rFonts w:ascii="Times New Roman" w:hAnsi="Times New Roman" w:cs="Times New Roman"/>
        </w:rPr>
        <w:t xml:space="preserve">responsible for </w:t>
      </w:r>
      <w:r w:rsidR="00334F14" w:rsidRPr="006D2720">
        <w:rPr>
          <w:rFonts w:ascii="Times New Roman" w:hAnsi="Times New Roman" w:cs="Times New Roman"/>
        </w:rPr>
        <w:t>interference</w:t>
      </w:r>
      <w:r w:rsidR="00DB3980" w:rsidRPr="006D2720">
        <w:rPr>
          <w:rFonts w:ascii="Times New Roman" w:hAnsi="Times New Roman" w:cs="Times New Roman"/>
        </w:rPr>
        <w:t>s</w:t>
      </w:r>
      <w:r w:rsidR="00334F14" w:rsidRPr="006D2720">
        <w:rPr>
          <w:rFonts w:ascii="Times New Roman" w:hAnsi="Times New Roman" w:cs="Times New Roman"/>
        </w:rPr>
        <w:t xml:space="preserve"> with privacy</w:t>
      </w:r>
      <w:r w:rsidR="00223AC4" w:rsidRPr="006D2720">
        <w:rPr>
          <w:rFonts w:ascii="Times New Roman" w:hAnsi="Times New Roman" w:cs="Times New Roman"/>
        </w:rPr>
        <w:t xml:space="preserve">. </w:t>
      </w:r>
      <w:r w:rsidR="00836126" w:rsidRPr="006D2720">
        <w:rPr>
          <w:rFonts w:ascii="Times New Roman" w:hAnsi="Times New Roman" w:cs="Times New Roman"/>
        </w:rPr>
        <w:t xml:space="preserve">Unless </w:t>
      </w:r>
      <w:r w:rsidR="003D6ED7" w:rsidRPr="006D2720">
        <w:rPr>
          <w:rFonts w:ascii="Times New Roman" w:hAnsi="Times New Roman" w:cs="Times New Roman"/>
        </w:rPr>
        <w:t>the term</w:t>
      </w:r>
      <w:r w:rsidR="00E54422" w:rsidRPr="006D2720">
        <w:rPr>
          <w:rFonts w:ascii="Times New Roman" w:hAnsi="Times New Roman" w:cs="Times New Roman"/>
        </w:rPr>
        <w:t xml:space="preserve"> </w:t>
      </w:r>
      <w:r w:rsidR="001932F6" w:rsidRPr="006D2720">
        <w:rPr>
          <w:rFonts w:ascii="Times New Roman" w:hAnsi="Times New Roman" w:cs="Times New Roman"/>
        </w:rPr>
        <w:t xml:space="preserve">was </w:t>
      </w:r>
      <w:r w:rsidR="000E67A7" w:rsidRPr="006D2720">
        <w:rPr>
          <w:rFonts w:ascii="Times New Roman" w:hAnsi="Times New Roman" w:cs="Times New Roman"/>
        </w:rPr>
        <w:t xml:space="preserve">both </w:t>
      </w:r>
      <w:r w:rsidR="001932F6" w:rsidRPr="006D2720">
        <w:rPr>
          <w:rFonts w:ascii="Times New Roman" w:hAnsi="Times New Roman" w:cs="Times New Roman"/>
        </w:rPr>
        <w:t xml:space="preserve">included in the contract and capable of being enforced against the contractor, any interference with privacy </w:t>
      </w:r>
      <w:r w:rsidR="000E67A7" w:rsidRPr="006D2720">
        <w:rPr>
          <w:rFonts w:ascii="Times New Roman" w:hAnsi="Times New Roman" w:cs="Times New Roman"/>
        </w:rPr>
        <w:t xml:space="preserve">is taken </w:t>
      </w:r>
      <w:r w:rsidRPr="006D2720">
        <w:rPr>
          <w:rFonts w:ascii="Times New Roman" w:hAnsi="Times New Roman" w:cs="Times New Roman"/>
        </w:rPr>
        <w:t xml:space="preserve">to be engaged in by both the government agency and </w:t>
      </w:r>
      <w:r w:rsidR="000E67A7" w:rsidRPr="006D2720">
        <w:rPr>
          <w:rFonts w:ascii="Times New Roman" w:hAnsi="Times New Roman" w:cs="Times New Roman"/>
        </w:rPr>
        <w:t>t</w:t>
      </w:r>
      <w:r w:rsidR="00F40AFC" w:rsidRPr="006D2720">
        <w:rPr>
          <w:rFonts w:ascii="Times New Roman" w:hAnsi="Times New Roman" w:cs="Times New Roman"/>
        </w:rPr>
        <w:t xml:space="preserve">he </w:t>
      </w:r>
      <w:r w:rsidRPr="006D2720">
        <w:rPr>
          <w:rFonts w:ascii="Times New Roman" w:hAnsi="Times New Roman" w:cs="Times New Roman"/>
        </w:rPr>
        <w:t>contractor</w:t>
      </w:r>
      <w:r w:rsidR="000E67A7" w:rsidRPr="006D2720">
        <w:rPr>
          <w:rFonts w:ascii="Times New Roman" w:hAnsi="Times New Roman" w:cs="Times New Roman"/>
        </w:rPr>
        <w:t>.</w:t>
      </w:r>
      <w:r w:rsidRPr="006D2720">
        <w:rPr>
          <w:rStyle w:val="FootnoteReference"/>
          <w:rFonts w:ascii="Times New Roman" w:hAnsi="Times New Roman" w:cs="Times New Roman"/>
        </w:rPr>
        <w:footnoteReference w:id="53"/>
      </w:r>
      <w:r w:rsidRPr="006D2720">
        <w:rPr>
          <w:rFonts w:ascii="Times New Roman" w:hAnsi="Times New Roman" w:cs="Times New Roman"/>
        </w:rPr>
        <w:t xml:space="preserve"> </w:t>
      </w:r>
    </w:p>
    <w:p w14:paraId="1E7FA375" w14:textId="368DA510" w:rsidR="00A43D06" w:rsidRPr="006D2720" w:rsidRDefault="00795DBD" w:rsidP="0066337D">
      <w:pPr>
        <w:pStyle w:val="Dotpointlist"/>
        <w:rPr>
          <w:rFonts w:ascii="Times New Roman" w:hAnsi="Times New Roman" w:cs="Times New Roman"/>
        </w:rPr>
      </w:pPr>
      <w:r w:rsidRPr="006D2720">
        <w:rPr>
          <w:rFonts w:ascii="Times New Roman" w:hAnsi="Times New Roman" w:cs="Times New Roman"/>
        </w:rPr>
        <w:t>Similarly, i</w:t>
      </w:r>
      <w:r w:rsidR="00A43D06" w:rsidRPr="006D2720">
        <w:rPr>
          <w:rFonts w:ascii="Times New Roman" w:hAnsi="Times New Roman" w:cs="Times New Roman"/>
        </w:rPr>
        <w:t xml:space="preserve">n Queensland, </w:t>
      </w:r>
      <w:r w:rsidR="00B34861" w:rsidRPr="006D2720">
        <w:rPr>
          <w:rFonts w:ascii="Times New Roman" w:hAnsi="Times New Roman" w:cs="Times New Roman"/>
        </w:rPr>
        <w:t xml:space="preserve">a </w:t>
      </w:r>
      <w:r w:rsidR="0021328A" w:rsidRPr="006D2720">
        <w:rPr>
          <w:rFonts w:ascii="Times New Roman" w:hAnsi="Times New Roman" w:cs="Times New Roman"/>
        </w:rPr>
        <w:t xml:space="preserve">government </w:t>
      </w:r>
      <w:r w:rsidR="00A43D06" w:rsidRPr="006D2720">
        <w:rPr>
          <w:rFonts w:ascii="Times New Roman" w:hAnsi="Times New Roman" w:cs="Times New Roman"/>
        </w:rPr>
        <w:t xml:space="preserve">contractor </w:t>
      </w:r>
      <w:r w:rsidR="00B34861" w:rsidRPr="006D2720">
        <w:rPr>
          <w:rFonts w:ascii="Times New Roman" w:hAnsi="Times New Roman" w:cs="Times New Roman"/>
        </w:rPr>
        <w:t xml:space="preserve">is </w:t>
      </w:r>
      <w:r w:rsidR="0021328A" w:rsidRPr="006D2720">
        <w:rPr>
          <w:rFonts w:ascii="Times New Roman" w:hAnsi="Times New Roman" w:cs="Times New Roman"/>
        </w:rPr>
        <w:t>bound</w:t>
      </w:r>
      <w:r w:rsidR="00A43D06" w:rsidRPr="006D2720">
        <w:rPr>
          <w:rFonts w:ascii="Times New Roman" w:hAnsi="Times New Roman" w:cs="Times New Roman"/>
        </w:rPr>
        <w:t xml:space="preserve"> </w:t>
      </w:r>
      <w:r w:rsidR="00FC595C" w:rsidRPr="006D2720">
        <w:rPr>
          <w:rFonts w:ascii="Times New Roman" w:hAnsi="Times New Roman" w:cs="Times New Roman"/>
        </w:rPr>
        <w:t xml:space="preserve">only </w:t>
      </w:r>
      <w:r w:rsidR="00A43D06" w:rsidRPr="006D2720">
        <w:rPr>
          <w:rFonts w:ascii="Times New Roman" w:hAnsi="Times New Roman" w:cs="Times New Roman"/>
        </w:rPr>
        <w:t xml:space="preserve">where </w:t>
      </w:r>
      <w:r w:rsidR="00DE2719" w:rsidRPr="006D2720">
        <w:rPr>
          <w:rFonts w:ascii="Times New Roman" w:hAnsi="Times New Roman" w:cs="Times New Roman"/>
        </w:rPr>
        <w:t xml:space="preserve">the </w:t>
      </w:r>
      <w:r w:rsidR="00A43D06" w:rsidRPr="006D2720">
        <w:rPr>
          <w:rFonts w:ascii="Times New Roman" w:hAnsi="Times New Roman" w:cs="Times New Roman"/>
        </w:rPr>
        <w:t>government agenc</w:t>
      </w:r>
      <w:r w:rsidR="00B34861" w:rsidRPr="006D2720">
        <w:rPr>
          <w:rFonts w:ascii="Times New Roman" w:hAnsi="Times New Roman" w:cs="Times New Roman"/>
        </w:rPr>
        <w:t>y</w:t>
      </w:r>
      <w:r w:rsidR="00A43D06" w:rsidRPr="006D2720">
        <w:rPr>
          <w:rFonts w:ascii="Times New Roman" w:hAnsi="Times New Roman" w:cs="Times New Roman"/>
        </w:rPr>
        <w:t xml:space="preserve"> </w:t>
      </w:r>
      <w:r w:rsidR="00B34861" w:rsidRPr="006D2720">
        <w:rPr>
          <w:rFonts w:ascii="Times New Roman" w:hAnsi="Times New Roman" w:cs="Times New Roman"/>
        </w:rPr>
        <w:t xml:space="preserve">has </w:t>
      </w:r>
      <w:r w:rsidR="00A43D06" w:rsidRPr="006D2720">
        <w:rPr>
          <w:rFonts w:ascii="Times New Roman" w:hAnsi="Times New Roman" w:cs="Times New Roman"/>
        </w:rPr>
        <w:t xml:space="preserve">taken all reasonable steps to ensure </w:t>
      </w:r>
      <w:r w:rsidR="00553D5E" w:rsidRPr="006D2720">
        <w:rPr>
          <w:rFonts w:ascii="Times New Roman" w:hAnsi="Times New Roman" w:cs="Times New Roman"/>
        </w:rPr>
        <w:t>this</w:t>
      </w:r>
      <w:r w:rsidR="00A43D06" w:rsidRPr="006D2720">
        <w:rPr>
          <w:rFonts w:ascii="Times New Roman" w:hAnsi="Times New Roman" w:cs="Times New Roman"/>
        </w:rPr>
        <w:t>.</w:t>
      </w:r>
      <w:r w:rsidR="00A43D06" w:rsidRPr="006D2720">
        <w:rPr>
          <w:rStyle w:val="FootnoteReference"/>
          <w:rFonts w:ascii="Times New Roman" w:hAnsi="Times New Roman" w:cs="Times New Roman"/>
        </w:rPr>
        <w:footnoteReference w:id="54"/>
      </w:r>
      <w:r w:rsidR="00A43D06" w:rsidRPr="006D2720">
        <w:rPr>
          <w:rFonts w:ascii="Times New Roman" w:hAnsi="Times New Roman" w:cs="Times New Roman"/>
        </w:rPr>
        <w:t xml:space="preserve"> </w:t>
      </w:r>
      <w:r w:rsidR="00220A9C" w:rsidRPr="006D2720">
        <w:rPr>
          <w:rFonts w:ascii="Times New Roman" w:hAnsi="Times New Roman" w:cs="Times New Roman"/>
        </w:rPr>
        <w:t>If such reasonable steps have not been taken, the g</w:t>
      </w:r>
      <w:r w:rsidR="00A43D06" w:rsidRPr="006D2720">
        <w:rPr>
          <w:rFonts w:ascii="Times New Roman" w:hAnsi="Times New Roman" w:cs="Times New Roman"/>
        </w:rPr>
        <w:t>overnment agenc</w:t>
      </w:r>
      <w:r w:rsidR="00220A9C" w:rsidRPr="006D2720">
        <w:rPr>
          <w:rFonts w:ascii="Times New Roman" w:hAnsi="Times New Roman" w:cs="Times New Roman"/>
        </w:rPr>
        <w:t xml:space="preserve">y </w:t>
      </w:r>
      <w:r w:rsidR="00A43D06" w:rsidRPr="006D2720">
        <w:rPr>
          <w:rFonts w:ascii="Times New Roman" w:hAnsi="Times New Roman" w:cs="Times New Roman"/>
        </w:rPr>
        <w:t>remain</w:t>
      </w:r>
      <w:r w:rsidR="00220A9C" w:rsidRPr="006D2720">
        <w:rPr>
          <w:rFonts w:ascii="Times New Roman" w:hAnsi="Times New Roman" w:cs="Times New Roman"/>
        </w:rPr>
        <w:t xml:space="preserve">s </w:t>
      </w:r>
      <w:r w:rsidR="00A43D06" w:rsidRPr="006D2720">
        <w:rPr>
          <w:rFonts w:ascii="Times New Roman" w:hAnsi="Times New Roman" w:cs="Times New Roman"/>
        </w:rPr>
        <w:t>responsible for breaches</w:t>
      </w:r>
      <w:r w:rsidR="006A7B18" w:rsidRPr="006D2720">
        <w:rPr>
          <w:rFonts w:ascii="Times New Roman" w:hAnsi="Times New Roman" w:cs="Times New Roman"/>
        </w:rPr>
        <w:t xml:space="preserve"> of privacy</w:t>
      </w:r>
      <w:r w:rsidR="00A43D06" w:rsidRPr="006D2720">
        <w:rPr>
          <w:rFonts w:ascii="Times New Roman" w:hAnsi="Times New Roman" w:cs="Times New Roman"/>
        </w:rPr>
        <w:t>.</w:t>
      </w:r>
    </w:p>
    <w:p w14:paraId="56059877" w14:textId="77777777" w:rsidR="00596D74" w:rsidRPr="006D2720" w:rsidRDefault="00596D74">
      <w:pPr>
        <w:rPr>
          <w:rFonts w:ascii="Times New Roman" w:eastAsiaTheme="majorEastAsia" w:hAnsi="Times New Roman" w:cs="Times New Roman"/>
          <w:b/>
          <w:i/>
          <w:iCs/>
          <w:color w:val="262626" w:themeColor="text1" w:themeTint="D9"/>
          <w:sz w:val="28"/>
          <w:szCs w:val="28"/>
        </w:rPr>
      </w:pPr>
      <w:bookmarkStart w:id="129" w:name="_Toc91831996"/>
      <w:r w:rsidRPr="006D2720">
        <w:rPr>
          <w:rFonts w:ascii="Times New Roman" w:hAnsi="Times New Roman" w:cs="Times New Roman"/>
          <w:i/>
          <w:iCs/>
        </w:rPr>
        <w:br w:type="page"/>
      </w:r>
    </w:p>
    <w:p w14:paraId="770E8A8D" w14:textId="1FA69DEF" w:rsidR="00D35506" w:rsidRPr="006D2720" w:rsidRDefault="00542CC8" w:rsidP="00CA1A69">
      <w:pPr>
        <w:pStyle w:val="Heading2"/>
        <w:numPr>
          <w:ilvl w:val="0"/>
          <w:numId w:val="0"/>
        </w:numPr>
        <w:ind w:left="578" w:hanging="578"/>
        <w:rPr>
          <w:rFonts w:ascii="Times New Roman" w:hAnsi="Times New Roman" w:cs="Times New Roman"/>
          <w:i/>
          <w:iCs/>
        </w:rPr>
      </w:pPr>
      <w:bookmarkStart w:id="130" w:name="_Toc130540430"/>
      <w:r w:rsidRPr="006D2720">
        <w:rPr>
          <w:rFonts w:ascii="Times New Roman" w:hAnsi="Times New Roman" w:cs="Times New Roman"/>
          <w:i/>
          <w:iCs/>
        </w:rPr>
        <w:t xml:space="preserve">Obligations under Commonwealth </w:t>
      </w:r>
      <w:r w:rsidR="003F4BBD" w:rsidRPr="006D2720">
        <w:rPr>
          <w:rFonts w:ascii="Times New Roman" w:hAnsi="Times New Roman" w:cs="Times New Roman"/>
          <w:i/>
          <w:iCs/>
        </w:rPr>
        <w:t xml:space="preserve">privacy law </w:t>
      </w:r>
      <w:r w:rsidRPr="006D2720">
        <w:rPr>
          <w:rFonts w:ascii="Times New Roman" w:hAnsi="Times New Roman" w:cs="Times New Roman"/>
          <w:i/>
          <w:iCs/>
        </w:rPr>
        <w:t xml:space="preserve">for </w:t>
      </w:r>
      <w:r w:rsidR="00496732" w:rsidRPr="006D2720">
        <w:rPr>
          <w:rFonts w:ascii="Times New Roman" w:hAnsi="Times New Roman" w:cs="Times New Roman"/>
          <w:i/>
          <w:iCs/>
        </w:rPr>
        <w:t>Tasmanian bodies</w:t>
      </w:r>
      <w:bookmarkEnd w:id="129"/>
      <w:bookmarkEnd w:id="130"/>
    </w:p>
    <w:p w14:paraId="33E0255D" w14:textId="569E9DE4" w:rsidR="00AA386A" w:rsidRPr="006D2720" w:rsidRDefault="00AA6212" w:rsidP="00226782">
      <w:pPr>
        <w:pStyle w:val="Heading3"/>
        <w:rPr>
          <w:rFonts w:ascii="Times New Roman" w:hAnsi="Times New Roman" w:cs="Times New Roman"/>
        </w:rPr>
      </w:pPr>
      <w:bookmarkStart w:id="131" w:name="_Ref129289679"/>
      <w:r w:rsidRPr="006D2720">
        <w:rPr>
          <w:rFonts w:ascii="Times New Roman" w:hAnsi="Times New Roman" w:cs="Times New Roman"/>
        </w:rPr>
        <w:t>Separate from the PIPA, information privacy obligations may also be imposed</w:t>
      </w:r>
      <w:r w:rsidR="00FA13F1" w:rsidRPr="006D2720">
        <w:rPr>
          <w:rFonts w:ascii="Times New Roman" w:hAnsi="Times New Roman" w:cs="Times New Roman"/>
        </w:rPr>
        <w:t xml:space="preserve"> on Tasmanian</w:t>
      </w:r>
      <w:r w:rsidR="00846B50" w:rsidRPr="006D2720">
        <w:rPr>
          <w:rFonts w:ascii="Times New Roman" w:hAnsi="Times New Roman" w:cs="Times New Roman"/>
        </w:rPr>
        <w:t xml:space="preserve"> bodies</w:t>
      </w:r>
      <w:r w:rsidRPr="006D2720">
        <w:rPr>
          <w:rFonts w:ascii="Times New Roman" w:hAnsi="Times New Roman" w:cs="Times New Roman"/>
        </w:rPr>
        <w:t xml:space="preserve"> by the </w:t>
      </w:r>
      <w:r w:rsidRPr="006D2720">
        <w:rPr>
          <w:rFonts w:ascii="Times New Roman" w:hAnsi="Times New Roman" w:cs="Times New Roman"/>
          <w:i/>
          <w:iCs/>
        </w:rPr>
        <w:t>Privacy Act 1988</w:t>
      </w:r>
      <w:r w:rsidR="00B1761C" w:rsidRPr="006D2720">
        <w:rPr>
          <w:rFonts w:ascii="Times New Roman" w:hAnsi="Times New Roman" w:cs="Times New Roman"/>
        </w:rPr>
        <w:t xml:space="preserve"> </w:t>
      </w:r>
      <w:r w:rsidR="003F4BBD" w:rsidRPr="006D2720">
        <w:rPr>
          <w:rFonts w:ascii="Times New Roman" w:hAnsi="Times New Roman" w:cs="Times New Roman"/>
        </w:rPr>
        <w:t>(Cth) (‘Privacy Act’)</w:t>
      </w:r>
      <w:r w:rsidR="00B4677C" w:rsidRPr="006D2720">
        <w:rPr>
          <w:rFonts w:ascii="Times New Roman" w:hAnsi="Times New Roman" w:cs="Times New Roman"/>
        </w:rPr>
        <w:t>,</w:t>
      </w:r>
      <w:r w:rsidR="003F4BBD" w:rsidRPr="006D2720">
        <w:rPr>
          <w:rFonts w:ascii="Times New Roman" w:hAnsi="Times New Roman" w:cs="Times New Roman"/>
        </w:rPr>
        <w:t xml:space="preserve"> </w:t>
      </w:r>
      <w:r w:rsidR="00B1761C" w:rsidRPr="006D2720">
        <w:rPr>
          <w:rFonts w:ascii="Times New Roman" w:hAnsi="Times New Roman" w:cs="Times New Roman"/>
        </w:rPr>
        <w:t xml:space="preserve">which </w:t>
      </w:r>
      <w:r w:rsidR="00B4677C" w:rsidRPr="006D2720">
        <w:rPr>
          <w:rFonts w:ascii="Times New Roman" w:hAnsi="Times New Roman" w:cs="Times New Roman"/>
        </w:rPr>
        <w:t xml:space="preserve">as noted at </w:t>
      </w:r>
      <w:hyperlink w:anchor="In 2000, the Privacy Act was amended to establish a separate set of principles applicable to some private sector organisations.  In 2012 after another ALRC inquiry,  the Act was further amended to provide a common set of privacy principles applicable to b" w:history="1">
        <w:r w:rsidR="00B4677C" w:rsidRPr="006D2720">
          <w:rPr>
            <w:rStyle w:val="Hyperlink"/>
            <w:rFonts w:ascii="Times New Roman" w:hAnsi="Times New Roman" w:cs="Times New Roman"/>
          </w:rPr>
          <w:t>[1.4.3]</w:t>
        </w:r>
      </w:hyperlink>
      <w:r w:rsidR="00B4677C" w:rsidRPr="006D2720">
        <w:rPr>
          <w:rFonts w:ascii="Times New Roman" w:hAnsi="Times New Roman" w:cs="Times New Roman"/>
        </w:rPr>
        <w:t xml:space="preserve">, </w:t>
      </w:r>
      <w:r w:rsidR="00B1761C" w:rsidRPr="006D2720">
        <w:rPr>
          <w:rFonts w:ascii="Times New Roman" w:hAnsi="Times New Roman" w:cs="Times New Roman"/>
        </w:rPr>
        <w:t>establishes a set of Australian Privacy Principles (‘APPs’).</w:t>
      </w:r>
      <w:r w:rsidR="00AA5589" w:rsidRPr="006D2720">
        <w:rPr>
          <w:rFonts w:ascii="Times New Roman" w:hAnsi="Times New Roman" w:cs="Times New Roman"/>
        </w:rPr>
        <w:t xml:space="preserve"> While </w:t>
      </w:r>
      <w:r w:rsidR="00C6129D" w:rsidRPr="006D2720">
        <w:rPr>
          <w:rFonts w:ascii="Times New Roman" w:hAnsi="Times New Roman" w:cs="Times New Roman"/>
        </w:rPr>
        <w:t xml:space="preserve">the federal law is intended to not affect </w:t>
      </w:r>
      <w:r w:rsidR="003F4BBD" w:rsidRPr="006D2720">
        <w:rPr>
          <w:rFonts w:ascii="Times New Roman" w:hAnsi="Times New Roman" w:cs="Times New Roman"/>
        </w:rPr>
        <w:t>s</w:t>
      </w:r>
      <w:r w:rsidR="00C6129D" w:rsidRPr="006D2720">
        <w:rPr>
          <w:rFonts w:ascii="Times New Roman" w:hAnsi="Times New Roman" w:cs="Times New Roman"/>
        </w:rPr>
        <w:t xml:space="preserve">tate or </w:t>
      </w:r>
      <w:r w:rsidR="003F4BBD" w:rsidRPr="006D2720">
        <w:rPr>
          <w:rFonts w:ascii="Times New Roman" w:hAnsi="Times New Roman" w:cs="Times New Roman"/>
        </w:rPr>
        <w:t>t</w:t>
      </w:r>
      <w:r w:rsidR="00C6129D" w:rsidRPr="006D2720">
        <w:rPr>
          <w:rFonts w:ascii="Times New Roman" w:hAnsi="Times New Roman" w:cs="Times New Roman"/>
        </w:rPr>
        <w:t xml:space="preserve">erritory laws that regulate personal information </w:t>
      </w:r>
      <w:r w:rsidR="00C74921" w:rsidRPr="006D2720">
        <w:rPr>
          <w:rFonts w:ascii="Times New Roman" w:hAnsi="Times New Roman" w:cs="Times New Roman"/>
        </w:rPr>
        <w:t>in a way that</w:t>
      </w:r>
      <w:r w:rsidR="00C6129D" w:rsidRPr="006D2720">
        <w:rPr>
          <w:rFonts w:ascii="Times New Roman" w:hAnsi="Times New Roman" w:cs="Times New Roman"/>
        </w:rPr>
        <w:t xml:space="preserve"> can operate concurrently with the federal law,</w:t>
      </w:r>
      <w:r w:rsidR="00C6129D" w:rsidRPr="006D2720">
        <w:rPr>
          <w:rStyle w:val="FootnoteReference"/>
          <w:rFonts w:ascii="Times New Roman" w:hAnsi="Times New Roman" w:cs="Times New Roman"/>
        </w:rPr>
        <w:footnoteReference w:id="55"/>
      </w:r>
      <w:r w:rsidR="00C6129D" w:rsidRPr="006D2720">
        <w:rPr>
          <w:rFonts w:ascii="Times New Roman" w:hAnsi="Times New Roman" w:cs="Times New Roman"/>
        </w:rPr>
        <w:t xml:space="preserve"> there are some areas of potential overlap.</w:t>
      </w:r>
      <w:bookmarkEnd w:id="131"/>
    </w:p>
    <w:p w14:paraId="4C02ADB5" w14:textId="732BEB4D" w:rsidR="00CC09EC" w:rsidRPr="006D2720" w:rsidRDefault="00F04187" w:rsidP="00F04187">
      <w:pPr>
        <w:pStyle w:val="Heading3"/>
        <w:rPr>
          <w:rFonts w:ascii="Times New Roman" w:hAnsi="Times New Roman" w:cs="Times New Roman"/>
          <w:color w:val="BFBFBF" w:themeColor="background1" w:themeShade="BF"/>
        </w:rPr>
      </w:pPr>
      <w:r w:rsidRPr="006D2720">
        <w:rPr>
          <w:rFonts w:ascii="Times New Roman" w:hAnsi="Times New Roman" w:cs="Times New Roman"/>
        </w:rPr>
        <w:t xml:space="preserve">The APPs </w:t>
      </w:r>
      <w:r w:rsidR="00497983" w:rsidRPr="006D2720">
        <w:rPr>
          <w:rFonts w:ascii="Times New Roman" w:hAnsi="Times New Roman" w:cs="Times New Roman"/>
        </w:rPr>
        <w:t xml:space="preserve">apply </w:t>
      </w:r>
      <w:r w:rsidR="00C6327C" w:rsidRPr="006D2720">
        <w:rPr>
          <w:rFonts w:ascii="Times New Roman" w:hAnsi="Times New Roman" w:cs="Times New Roman"/>
        </w:rPr>
        <w:t xml:space="preserve">to </w:t>
      </w:r>
      <w:r w:rsidR="00795552" w:rsidRPr="006D2720">
        <w:rPr>
          <w:rFonts w:ascii="Times New Roman" w:hAnsi="Times New Roman" w:cs="Times New Roman"/>
        </w:rPr>
        <w:t>‘</w:t>
      </w:r>
      <w:r w:rsidR="00C6327C" w:rsidRPr="006D2720">
        <w:rPr>
          <w:rFonts w:ascii="Times New Roman" w:hAnsi="Times New Roman" w:cs="Times New Roman"/>
        </w:rPr>
        <w:t>APP entities</w:t>
      </w:r>
      <w:r w:rsidR="00795552" w:rsidRPr="006D2720">
        <w:rPr>
          <w:rFonts w:ascii="Times New Roman" w:hAnsi="Times New Roman" w:cs="Times New Roman"/>
        </w:rPr>
        <w:t>’</w:t>
      </w:r>
      <w:r w:rsidR="00C6327C" w:rsidRPr="006D2720">
        <w:rPr>
          <w:rFonts w:ascii="Times New Roman" w:hAnsi="Times New Roman" w:cs="Times New Roman"/>
        </w:rPr>
        <w:t xml:space="preserve">, namely </w:t>
      </w:r>
      <w:r w:rsidR="00C30E1B" w:rsidRPr="006D2720">
        <w:rPr>
          <w:rFonts w:ascii="Times New Roman" w:hAnsi="Times New Roman" w:cs="Times New Roman"/>
        </w:rPr>
        <w:t xml:space="preserve">Commonwealth </w:t>
      </w:r>
      <w:r w:rsidR="00C6327C" w:rsidRPr="006D2720">
        <w:rPr>
          <w:rFonts w:ascii="Times New Roman" w:hAnsi="Times New Roman" w:cs="Times New Roman"/>
        </w:rPr>
        <w:t xml:space="preserve">government agencies and </w:t>
      </w:r>
      <w:r w:rsidR="00C30E1B" w:rsidRPr="006D2720">
        <w:rPr>
          <w:rFonts w:ascii="Times New Roman" w:hAnsi="Times New Roman" w:cs="Times New Roman"/>
        </w:rPr>
        <w:t xml:space="preserve">various </w:t>
      </w:r>
      <w:r w:rsidR="00C6327C" w:rsidRPr="006D2720">
        <w:rPr>
          <w:rFonts w:ascii="Times New Roman" w:hAnsi="Times New Roman" w:cs="Times New Roman"/>
        </w:rPr>
        <w:t>non-government organisations</w:t>
      </w:r>
      <w:r w:rsidR="00C6327C" w:rsidRPr="006D2720">
        <w:rPr>
          <w:rFonts w:ascii="Times New Roman" w:hAnsi="Times New Roman" w:cs="Times New Roman"/>
          <w:color w:val="auto"/>
        </w:rPr>
        <w:t>.</w:t>
      </w:r>
      <w:bookmarkStart w:id="132" w:name="_Ref91831259"/>
      <w:r w:rsidR="00346DF4" w:rsidRPr="006D2720">
        <w:rPr>
          <w:rStyle w:val="FootnoteReference"/>
          <w:rFonts w:ascii="Times New Roman" w:hAnsi="Times New Roman" w:cs="Times New Roman"/>
          <w:color w:val="auto"/>
        </w:rPr>
        <w:footnoteReference w:id="56"/>
      </w:r>
      <w:bookmarkEnd w:id="132"/>
      <w:r w:rsidR="00346DF4" w:rsidRPr="006D2720">
        <w:rPr>
          <w:rFonts w:ascii="Times New Roman" w:hAnsi="Times New Roman" w:cs="Times New Roman"/>
          <w:color w:val="auto"/>
        </w:rPr>
        <w:t xml:space="preserve"> </w:t>
      </w:r>
      <w:r w:rsidR="00F67EE8" w:rsidRPr="006D2720">
        <w:rPr>
          <w:rFonts w:ascii="Times New Roman" w:hAnsi="Times New Roman" w:cs="Times New Roman"/>
          <w:color w:val="auto"/>
        </w:rPr>
        <w:t xml:space="preserve">The latter encompasses </w:t>
      </w:r>
      <w:r w:rsidR="00346DF4" w:rsidRPr="006D2720">
        <w:rPr>
          <w:rFonts w:ascii="Times New Roman" w:hAnsi="Times New Roman" w:cs="Times New Roman"/>
          <w:color w:val="auto"/>
        </w:rPr>
        <w:t>individuals, corporations, partnerships, unincorporated associations</w:t>
      </w:r>
      <w:r w:rsidR="00C74921" w:rsidRPr="006D2720">
        <w:rPr>
          <w:rFonts w:ascii="Times New Roman" w:hAnsi="Times New Roman" w:cs="Times New Roman"/>
          <w:color w:val="auto"/>
        </w:rPr>
        <w:t>,</w:t>
      </w:r>
      <w:r w:rsidR="00346DF4" w:rsidRPr="006D2720">
        <w:rPr>
          <w:rFonts w:ascii="Times New Roman" w:hAnsi="Times New Roman" w:cs="Times New Roman"/>
          <w:color w:val="auto"/>
        </w:rPr>
        <w:t xml:space="preserve"> and trusts where they provide a health service, deal with personal information on a commercial basis, are contractors with the Commonwealth government to provide services to the public, or have an annual turnover of more than $3,000,000.</w:t>
      </w:r>
      <w:r w:rsidR="00346DF4" w:rsidRPr="006D2720">
        <w:rPr>
          <w:rStyle w:val="FootnoteReference"/>
          <w:rFonts w:ascii="Times New Roman" w:hAnsi="Times New Roman" w:cs="Times New Roman"/>
          <w:color w:val="auto"/>
        </w:rPr>
        <w:footnoteReference w:id="57"/>
      </w:r>
      <w:r w:rsidR="00346DF4" w:rsidRPr="006D2720">
        <w:rPr>
          <w:rFonts w:ascii="Times New Roman" w:hAnsi="Times New Roman" w:cs="Times New Roman"/>
          <w:color w:val="auto"/>
        </w:rPr>
        <w:t xml:space="preserve"> </w:t>
      </w:r>
    </w:p>
    <w:p w14:paraId="2CA51B2A" w14:textId="71CEB07A" w:rsidR="00227EC2" w:rsidRPr="006D2720" w:rsidRDefault="008B3588" w:rsidP="00CA1A69">
      <w:pPr>
        <w:pStyle w:val="Heading3"/>
        <w:rPr>
          <w:rFonts w:ascii="Times New Roman" w:hAnsi="Times New Roman" w:cs="Times New Roman"/>
        </w:rPr>
      </w:pPr>
      <w:r w:rsidRPr="006D2720">
        <w:rPr>
          <w:rFonts w:ascii="Times New Roman" w:hAnsi="Times New Roman" w:cs="Times New Roman"/>
          <w:color w:val="auto"/>
        </w:rPr>
        <w:t xml:space="preserve">The definition of ‘organisation’ exempts </w:t>
      </w:r>
      <w:r w:rsidR="004E2767" w:rsidRPr="006D2720">
        <w:rPr>
          <w:rFonts w:ascii="Times New Roman" w:hAnsi="Times New Roman" w:cs="Times New Roman"/>
          <w:color w:val="auto"/>
        </w:rPr>
        <w:t>some</w:t>
      </w:r>
      <w:r w:rsidRPr="006D2720">
        <w:rPr>
          <w:rFonts w:ascii="Times New Roman" w:hAnsi="Times New Roman" w:cs="Times New Roman"/>
          <w:color w:val="auto"/>
        </w:rPr>
        <w:t xml:space="preserve"> entities from the operation of the </w:t>
      </w:r>
      <w:r w:rsidR="003F4BBD" w:rsidRPr="006D2720">
        <w:rPr>
          <w:rFonts w:ascii="Times New Roman" w:hAnsi="Times New Roman" w:cs="Times New Roman"/>
          <w:color w:val="auto"/>
        </w:rPr>
        <w:t xml:space="preserve">Privacy </w:t>
      </w:r>
      <w:r w:rsidRPr="006D2720">
        <w:rPr>
          <w:rFonts w:ascii="Times New Roman" w:hAnsi="Times New Roman" w:cs="Times New Roman"/>
          <w:color w:val="auto"/>
        </w:rPr>
        <w:t xml:space="preserve">Act. </w:t>
      </w:r>
      <w:r w:rsidR="00BE3525" w:rsidRPr="006D2720">
        <w:rPr>
          <w:rFonts w:ascii="Times New Roman" w:hAnsi="Times New Roman" w:cs="Times New Roman"/>
          <w:color w:val="auto"/>
        </w:rPr>
        <w:t>This includes</w:t>
      </w:r>
      <w:r w:rsidRPr="006D2720">
        <w:rPr>
          <w:rFonts w:ascii="Times New Roman" w:hAnsi="Times New Roman" w:cs="Times New Roman"/>
          <w:color w:val="auto"/>
        </w:rPr>
        <w:t xml:space="preserve"> p</w:t>
      </w:r>
      <w:r w:rsidR="00B76FFB" w:rsidRPr="006D2720">
        <w:rPr>
          <w:rFonts w:ascii="Times New Roman" w:hAnsi="Times New Roman" w:cs="Times New Roman"/>
        </w:rPr>
        <w:t xml:space="preserve">olitical parties registered under the </w:t>
      </w:r>
      <w:r w:rsidR="00B76FFB" w:rsidRPr="006D2720">
        <w:rPr>
          <w:rFonts w:ascii="Times New Roman" w:hAnsi="Times New Roman" w:cs="Times New Roman"/>
          <w:i/>
          <w:iCs/>
        </w:rPr>
        <w:t>Commonwealth Electoral Act 1918</w:t>
      </w:r>
      <w:r w:rsidR="00B76FFB" w:rsidRPr="006D2720">
        <w:rPr>
          <w:rFonts w:ascii="Times New Roman" w:hAnsi="Times New Roman" w:cs="Times New Roman"/>
        </w:rPr>
        <w:t xml:space="preserve"> (Cth)</w:t>
      </w:r>
      <w:r w:rsidR="00B76FFB" w:rsidRPr="006D2720">
        <w:rPr>
          <w:rStyle w:val="FootnoteReference"/>
          <w:rFonts w:ascii="Times New Roman" w:hAnsi="Times New Roman" w:cs="Times New Roman"/>
        </w:rPr>
        <w:footnoteReference w:id="58"/>
      </w:r>
      <w:r w:rsidR="002D5777" w:rsidRPr="006D2720">
        <w:rPr>
          <w:rFonts w:ascii="Times New Roman" w:hAnsi="Times New Roman" w:cs="Times New Roman"/>
          <w:color w:val="auto"/>
        </w:rPr>
        <w:t xml:space="preserve"> </w:t>
      </w:r>
      <w:r w:rsidR="00BE3525" w:rsidRPr="006D2720">
        <w:rPr>
          <w:rFonts w:ascii="Times New Roman" w:hAnsi="Times New Roman" w:cs="Times New Roman"/>
          <w:color w:val="auto"/>
        </w:rPr>
        <w:t xml:space="preserve">and </w:t>
      </w:r>
      <w:r w:rsidRPr="006D2720">
        <w:rPr>
          <w:rFonts w:ascii="Times New Roman" w:hAnsi="Times New Roman" w:cs="Times New Roman"/>
          <w:color w:val="auto"/>
        </w:rPr>
        <w:t>s</w:t>
      </w:r>
      <w:r w:rsidR="002D5777" w:rsidRPr="006D2720">
        <w:rPr>
          <w:rFonts w:ascii="Times New Roman" w:hAnsi="Times New Roman" w:cs="Times New Roman"/>
          <w:color w:val="auto"/>
        </w:rPr>
        <w:t>mall business</w:t>
      </w:r>
      <w:r w:rsidRPr="006D2720">
        <w:rPr>
          <w:rFonts w:ascii="Times New Roman" w:hAnsi="Times New Roman" w:cs="Times New Roman"/>
          <w:color w:val="auto"/>
        </w:rPr>
        <w:t>es</w:t>
      </w:r>
      <w:r w:rsidR="00B76FFB" w:rsidRPr="006D2720">
        <w:rPr>
          <w:rFonts w:ascii="Times New Roman" w:hAnsi="Times New Roman" w:cs="Times New Roman"/>
        </w:rPr>
        <w:t xml:space="preserve"> </w:t>
      </w:r>
      <w:r w:rsidRPr="006D2720">
        <w:rPr>
          <w:rFonts w:ascii="Times New Roman" w:hAnsi="Times New Roman" w:cs="Times New Roman"/>
          <w:color w:val="auto"/>
        </w:rPr>
        <w:t>operators</w:t>
      </w:r>
      <w:r w:rsidR="00BE3525" w:rsidRPr="006D2720">
        <w:rPr>
          <w:rFonts w:ascii="Times New Roman" w:hAnsi="Times New Roman" w:cs="Times New Roman"/>
          <w:color w:val="auto"/>
        </w:rPr>
        <w:t xml:space="preserve"> as </w:t>
      </w:r>
      <w:r w:rsidRPr="006D2720">
        <w:rPr>
          <w:rFonts w:ascii="Times New Roman" w:hAnsi="Times New Roman" w:cs="Times New Roman"/>
          <w:color w:val="auto"/>
        </w:rPr>
        <w:t>define</w:t>
      </w:r>
      <w:r w:rsidR="00BE3525" w:rsidRPr="006D2720">
        <w:rPr>
          <w:rFonts w:ascii="Times New Roman" w:hAnsi="Times New Roman" w:cs="Times New Roman"/>
          <w:color w:val="auto"/>
        </w:rPr>
        <w:t>d in s</w:t>
      </w:r>
      <w:r w:rsidR="00EE64C7" w:rsidRPr="006D2720">
        <w:rPr>
          <w:rFonts w:ascii="Times New Roman" w:hAnsi="Times New Roman" w:cs="Times New Roman"/>
          <w:color w:val="auto"/>
        </w:rPr>
        <w:t>ection</w:t>
      </w:r>
      <w:r w:rsidR="00BE3525" w:rsidRPr="006D2720">
        <w:rPr>
          <w:rFonts w:ascii="Times New Roman" w:hAnsi="Times New Roman" w:cs="Times New Roman"/>
          <w:color w:val="auto"/>
        </w:rPr>
        <w:t xml:space="preserve"> 6D of the </w:t>
      </w:r>
      <w:r w:rsidR="00E1357E" w:rsidRPr="006D2720">
        <w:rPr>
          <w:rFonts w:ascii="Times New Roman" w:hAnsi="Times New Roman" w:cs="Times New Roman"/>
          <w:color w:val="auto"/>
        </w:rPr>
        <w:t>Privacy Act</w:t>
      </w:r>
      <w:r w:rsidR="00BE3525" w:rsidRPr="006D2720">
        <w:rPr>
          <w:rFonts w:ascii="Times New Roman" w:hAnsi="Times New Roman" w:cs="Times New Roman"/>
        </w:rPr>
        <w:t>.</w:t>
      </w:r>
      <w:r w:rsidR="00E1357E" w:rsidRPr="006D2720">
        <w:rPr>
          <w:rFonts w:ascii="Times New Roman" w:hAnsi="Times New Roman" w:cs="Times New Roman"/>
        </w:rPr>
        <w:t xml:space="preserve"> It </w:t>
      </w:r>
      <w:r w:rsidR="00B76FFB" w:rsidRPr="006D2720">
        <w:rPr>
          <w:rFonts w:ascii="Times New Roman" w:hAnsi="Times New Roman" w:cs="Times New Roman"/>
        </w:rPr>
        <w:t xml:space="preserve">should be noted that the current review of the Privacy Act has </w:t>
      </w:r>
      <w:r w:rsidR="00A24796" w:rsidRPr="006D2720">
        <w:rPr>
          <w:rFonts w:ascii="Times New Roman" w:hAnsi="Times New Roman" w:cs="Times New Roman"/>
          <w:color w:val="auto"/>
        </w:rPr>
        <w:t xml:space="preserve">questioned </w:t>
      </w:r>
      <w:r w:rsidR="00B76FFB" w:rsidRPr="006D2720">
        <w:rPr>
          <w:rFonts w:ascii="Times New Roman" w:hAnsi="Times New Roman" w:cs="Times New Roman"/>
        </w:rPr>
        <w:t>whether the small business exemptions which limit that Act’s application to the private sector should be removed or amended.</w:t>
      </w:r>
      <w:r w:rsidR="00B76FFB" w:rsidRPr="006D2720">
        <w:rPr>
          <w:rStyle w:val="FootnoteReference"/>
          <w:rFonts w:ascii="Times New Roman" w:hAnsi="Times New Roman" w:cs="Times New Roman"/>
        </w:rPr>
        <w:footnoteReference w:id="59"/>
      </w:r>
      <w:r w:rsidR="00B76FFB" w:rsidRPr="006D2720">
        <w:rPr>
          <w:rFonts w:ascii="Times New Roman" w:hAnsi="Times New Roman" w:cs="Times New Roman"/>
        </w:rPr>
        <w:t xml:space="preserve"> </w:t>
      </w:r>
      <w:r w:rsidR="00277A96" w:rsidRPr="006D2720">
        <w:rPr>
          <w:rFonts w:ascii="Times New Roman" w:hAnsi="Times New Roman" w:cs="Times New Roman"/>
          <w:color w:val="auto"/>
        </w:rPr>
        <w:t>T</w:t>
      </w:r>
      <w:r w:rsidR="00FE3000" w:rsidRPr="006D2720">
        <w:rPr>
          <w:rFonts w:ascii="Times New Roman" w:hAnsi="Times New Roman" w:cs="Times New Roman"/>
        </w:rPr>
        <w:t xml:space="preserve">he </w:t>
      </w:r>
      <w:r w:rsidR="00121200" w:rsidRPr="006D2720">
        <w:rPr>
          <w:rFonts w:ascii="Times New Roman" w:hAnsi="Times New Roman" w:cs="Times New Roman"/>
        </w:rPr>
        <w:t xml:space="preserve">Office of the Australian Information Commissioner </w:t>
      </w:r>
      <w:r w:rsidR="009C70BA" w:rsidRPr="006D2720">
        <w:rPr>
          <w:rFonts w:ascii="Times New Roman" w:hAnsi="Times New Roman" w:cs="Times New Roman"/>
        </w:rPr>
        <w:t>(‘OAIC’)</w:t>
      </w:r>
      <w:r w:rsidR="00B76FFB" w:rsidRPr="006D2720">
        <w:rPr>
          <w:rFonts w:ascii="Times New Roman" w:hAnsi="Times New Roman" w:cs="Times New Roman"/>
        </w:rPr>
        <w:t xml:space="preserve"> recommended that the exemption be removed subject to an appropriate transition period.</w:t>
      </w:r>
      <w:r w:rsidR="00B76FFB" w:rsidRPr="006D2720">
        <w:rPr>
          <w:rStyle w:val="FootnoteReference"/>
          <w:rFonts w:ascii="Times New Roman" w:hAnsi="Times New Roman" w:cs="Times New Roman"/>
        </w:rPr>
        <w:footnoteReference w:id="60"/>
      </w:r>
      <w:bookmarkStart w:id="133" w:name="_Toc91536431"/>
      <w:bookmarkEnd w:id="133"/>
    </w:p>
    <w:p w14:paraId="44D98AEC" w14:textId="13061963" w:rsidR="00B43204" w:rsidRPr="006D2720" w:rsidRDefault="00FF3FE7" w:rsidP="0066337D">
      <w:pPr>
        <w:pStyle w:val="Heading3"/>
        <w:rPr>
          <w:rFonts w:ascii="Times New Roman" w:hAnsi="Times New Roman" w:cs="Times New Roman"/>
        </w:rPr>
      </w:pPr>
      <w:r w:rsidRPr="006D2720">
        <w:rPr>
          <w:rFonts w:ascii="Times New Roman" w:hAnsi="Times New Roman" w:cs="Times New Roman"/>
        </w:rPr>
        <w:t xml:space="preserve">State or </w:t>
      </w:r>
      <w:r w:rsidR="003F4BBD" w:rsidRPr="006D2720">
        <w:rPr>
          <w:rFonts w:ascii="Times New Roman" w:hAnsi="Times New Roman" w:cs="Times New Roman"/>
        </w:rPr>
        <w:t>t</w:t>
      </w:r>
      <w:r w:rsidRPr="006D2720">
        <w:rPr>
          <w:rFonts w:ascii="Times New Roman" w:hAnsi="Times New Roman" w:cs="Times New Roman"/>
        </w:rPr>
        <w:t xml:space="preserve">erritory </w:t>
      </w:r>
      <w:r w:rsidR="00BA6B58" w:rsidRPr="006D2720">
        <w:rPr>
          <w:rFonts w:ascii="Times New Roman" w:hAnsi="Times New Roman" w:cs="Times New Roman"/>
        </w:rPr>
        <w:t>public authorities are</w:t>
      </w:r>
      <w:r w:rsidR="00B71B03" w:rsidRPr="006D2720">
        <w:rPr>
          <w:rFonts w:ascii="Times New Roman" w:hAnsi="Times New Roman" w:cs="Times New Roman"/>
        </w:rPr>
        <w:t xml:space="preserve"> also</w:t>
      </w:r>
      <w:r w:rsidR="00BA6B58" w:rsidRPr="006D2720">
        <w:rPr>
          <w:rFonts w:ascii="Times New Roman" w:hAnsi="Times New Roman" w:cs="Times New Roman"/>
        </w:rPr>
        <w:t xml:space="preserve"> </w:t>
      </w:r>
      <w:r w:rsidR="00BE38FA" w:rsidRPr="006D2720">
        <w:rPr>
          <w:rFonts w:ascii="Times New Roman" w:hAnsi="Times New Roman" w:cs="Times New Roman"/>
        </w:rPr>
        <w:t xml:space="preserve">generally </w:t>
      </w:r>
      <w:r w:rsidR="00B47EFC" w:rsidRPr="006D2720">
        <w:rPr>
          <w:rFonts w:ascii="Times New Roman" w:hAnsi="Times New Roman" w:cs="Times New Roman"/>
        </w:rPr>
        <w:t xml:space="preserve">exempt from </w:t>
      </w:r>
      <w:r w:rsidR="00C6327C" w:rsidRPr="006D2720">
        <w:rPr>
          <w:rFonts w:ascii="Times New Roman" w:hAnsi="Times New Roman" w:cs="Times New Roman"/>
        </w:rPr>
        <w:t>the operation of the Privacy Act.</w:t>
      </w:r>
      <w:r w:rsidR="000F5E9A" w:rsidRPr="006D2720">
        <w:rPr>
          <w:rStyle w:val="FootnoteReference"/>
          <w:rFonts w:ascii="Times New Roman" w:hAnsi="Times New Roman" w:cs="Times New Roman"/>
        </w:rPr>
        <w:footnoteReference w:id="61"/>
      </w:r>
      <w:r w:rsidR="00760A6F" w:rsidRPr="006D2720">
        <w:rPr>
          <w:rFonts w:ascii="Times New Roman" w:hAnsi="Times New Roman" w:cs="Times New Roman"/>
        </w:rPr>
        <w:t xml:space="preserve"> </w:t>
      </w:r>
      <w:r w:rsidR="002B1B50" w:rsidRPr="006D2720">
        <w:rPr>
          <w:rFonts w:ascii="Times New Roman" w:hAnsi="Times New Roman" w:cs="Times New Roman"/>
        </w:rPr>
        <w:t>Similarly, c</w:t>
      </w:r>
      <w:r w:rsidR="005C5B5D" w:rsidRPr="006D2720">
        <w:rPr>
          <w:rFonts w:ascii="Times New Roman" w:hAnsi="Times New Roman" w:cs="Times New Roman"/>
        </w:rPr>
        <w:t xml:space="preserve">ontractors </w:t>
      </w:r>
      <w:r w:rsidR="00E04DD8" w:rsidRPr="006D2720">
        <w:rPr>
          <w:rFonts w:ascii="Times New Roman" w:hAnsi="Times New Roman" w:cs="Times New Roman"/>
        </w:rPr>
        <w:t xml:space="preserve">engaged by </w:t>
      </w:r>
      <w:r w:rsidR="00D07E69" w:rsidRPr="006D2720">
        <w:rPr>
          <w:rFonts w:ascii="Times New Roman" w:hAnsi="Times New Roman" w:cs="Times New Roman"/>
        </w:rPr>
        <w:t>s</w:t>
      </w:r>
      <w:r w:rsidR="005C5B5D" w:rsidRPr="006D2720">
        <w:rPr>
          <w:rFonts w:ascii="Times New Roman" w:hAnsi="Times New Roman" w:cs="Times New Roman"/>
        </w:rPr>
        <w:t xml:space="preserve">tate public authorities </w:t>
      </w:r>
      <w:r w:rsidR="00E04DD8" w:rsidRPr="006D2720">
        <w:rPr>
          <w:rFonts w:ascii="Times New Roman" w:hAnsi="Times New Roman" w:cs="Times New Roman"/>
        </w:rPr>
        <w:t xml:space="preserve">to provide services </w:t>
      </w:r>
      <w:r w:rsidR="005C5B5D" w:rsidRPr="006D2720">
        <w:rPr>
          <w:rFonts w:ascii="Times New Roman" w:hAnsi="Times New Roman" w:cs="Times New Roman"/>
        </w:rPr>
        <w:t>are</w:t>
      </w:r>
      <w:r w:rsidR="0014349F" w:rsidRPr="006D2720">
        <w:rPr>
          <w:rFonts w:ascii="Times New Roman" w:hAnsi="Times New Roman" w:cs="Times New Roman"/>
        </w:rPr>
        <w:t xml:space="preserve"> </w:t>
      </w:r>
      <w:r w:rsidR="005C5B5D" w:rsidRPr="006D2720">
        <w:rPr>
          <w:rFonts w:ascii="Times New Roman" w:hAnsi="Times New Roman" w:cs="Times New Roman"/>
        </w:rPr>
        <w:t>exempt</w:t>
      </w:r>
      <w:r w:rsidR="0014349F" w:rsidRPr="006D2720">
        <w:rPr>
          <w:rFonts w:ascii="Times New Roman" w:hAnsi="Times New Roman" w:cs="Times New Roman"/>
        </w:rPr>
        <w:t xml:space="preserve">, </w:t>
      </w:r>
      <w:r w:rsidR="005C5B5D" w:rsidRPr="006D2720">
        <w:rPr>
          <w:rFonts w:ascii="Times New Roman" w:hAnsi="Times New Roman" w:cs="Times New Roman"/>
        </w:rPr>
        <w:t xml:space="preserve">but only in relation to acts </w:t>
      </w:r>
      <w:r w:rsidR="003C512D" w:rsidRPr="006D2720">
        <w:rPr>
          <w:rFonts w:ascii="Times New Roman" w:hAnsi="Times New Roman" w:cs="Times New Roman"/>
        </w:rPr>
        <w:t xml:space="preserve">that are </w:t>
      </w:r>
      <w:r w:rsidR="00E04DD8" w:rsidRPr="006D2720">
        <w:rPr>
          <w:rFonts w:ascii="Times New Roman" w:hAnsi="Times New Roman" w:cs="Times New Roman"/>
        </w:rPr>
        <w:t xml:space="preserve">done in order to fulfil obligations under </w:t>
      </w:r>
      <w:r w:rsidR="00BE5907" w:rsidRPr="006D2720">
        <w:rPr>
          <w:rFonts w:ascii="Times New Roman" w:hAnsi="Times New Roman" w:cs="Times New Roman"/>
        </w:rPr>
        <w:t>the</w:t>
      </w:r>
      <w:r w:rsidR="00E04DD8" w:rsidRPr="006D2720">
        <w:rPr>
          <w:rFonts w:ascii="Times New Roman" w:hAnsi="Times New Roman" w:cs="Times New Roman"/>
        </w:rPr>
        <w:t xml:space="preserve"> </w:t>
      </w:r>
      <w:r w:rsidR="00D07E69" w:rsidRPr="006D2720">
        <w:rPr>
          <w:rFonts w:ascii="Times New Roman" w:hAnsi="Times New Roman" w:cs="Times New Roman"/>
        </w:rPr>
        <w:t>s</w:t>
      </w:r>
      <w:r w:rsidR="00A52183" w:rsidRPr="006D2720">
        <w:rPr>
          <w:rFonts w:ascii="Times New Roman" w:hAnsi="Times New Roman" w:cs="Times New Roman"/>
        </w:rPr>
        <w:t xml:space="preserve">tate </w:t>
      </w:r>
      <w:r w:rsidR="00E04DD8" w:rsidRPr="006D2720">
        <w:rPr>
          <w:rFonts w:ascii="Times New Roman" w:hAnsi="Times New Roman" w:cs="Times New Roman"/>
        </w:rPr>
        <w:t>contract</w:t>
      </w:r>
      <w:r w:rsidR="005C5B5D" w:rsidRPr="006D2720">
        <w:rPr>
          <w:rFonts w:ascii="Times New Roman" w:hAnsi="Times New Roman" w:cs="Times New Roman"/>
        </w:rPr>
        <w:t>.</w:t>
      </w:r>
      <w:r w:rsidR="005C5B5D" w:rsidRPr="006D2720">
        <w:rPr>
          <w:rStyle w:val="FootnoteReference"/>
          <w:rFonts w:ascii="Times New Roman" w:hAnsi="Times New Roman" w:cs="Times New Roman"/>
        </w:rPr>
        <w:footnoteReference w:id="62"/>
      </w:r>
      <w:r w:rsidR="00946FDA" w:rsidRPr="006D2720">
        <w:rPr>
          <w:rFonts w:ascii="Times New Roman" w:hAnsi="Times New Roman" w:cs="Times New Roman"/>
        </w:rPr>
        <w:t xml:space="preserve"> For </w:t>
      </w:r>
      <w:r w:rsidR="00B43204" w:rsidRPr="006D2720">
        <w:rPr>
          <w:rFonts w:ascii="Times New Roman" w:hAnsi="Times New Roman" w:cs="Times New Roman"/>
        </w:rPr>
        <w:t>acts outside of the</w:t>
      </w:r>
      <w:r w:rsidR="005144F6" w:rsidRPr="006D2720">
        <w:rPr>
          <w:rFonts w:ascii="Times New Roman" w:hAnsi="Times New Roman" w:cs="Times New Roman"/>
        </w:rPr>
        <w:t>ir</w:t>
      </w:r>
      <w:r w:rsidR="00B43204" w:rsidRPr="006D2720">
        <w:rPr>
          <w:rFonts w:ascii="Times New Roman" w:hAnsi="Times New Roman" w:cs="Times New Roman"/>
        </w:rPr>
        <w:t xml:space="preserve"> contract</w:t>
      </w:r>
      <w:r w:rsidR="00946FDA" w:rsidRPr="006D2720">
        <w:rPr>
          <w:rFonts w:ascii="Times New Roman" w:hAnsi="Times New Roman" w:cs="Times New Roman"/>
        </w:rPr>
        <w:t>ual obligations</w:t>
      </w:r>
      <w:r w:rsidR="00B43204" w:rsidRPr="006D2720">
        <w:rPr>
          <w:rFonts w:ascii="Times New Roman" w:hAnsi="Times New Roman" w:cs="Times New Roman"/>
        </w:rPr>
        <w:t xml:space="preserve">, </w:t>
      </w:r>
      <w:r w:rsidR="00C6327C" w:rsidRPr="006D2720">
        <w:rPr>
          <w:rFonts w:ascii="Times New Roman" w:hAnsi="Times New Roman" w:cs="Times New Roman"/>
        </w:rPr>
        <w:t xml:space="preserve">organisations </w:t>
      </w:r>
      <w:r w:rsidR="00B43204" w:rsidRPr="006D2720">
        <w:rPr>
          <w:rFonts w:ascii="Times New Roman" w:hAnsi="Times New Roman" w:cs="Times New Roman"/>
        </w:rPr>
        <w:t xml:space="preserve">may </w:t>
      </w:r>
      <w:r w:rsidR="00C6327C" w:rsidRPr="006D2720">
        <w:rPr>
          <w:rFonts w:ascii="Times New Roman" w:hAnsi="Times New Roman" w:cs="Times New Roman"/>
        </w:rPr>
        <w:t xml:space="preserve">be subject to both the </w:t>
      </w:r>
      <w:r w:rsidR="00CD0EC1" w:rsidRPr="006D2720">
        <w:rPr>
          <w:rFonts w:ascii="Times New Roman" w:hAnsi="Times New Roman" w:cs="Times New Roman"/>
        </w:rPr>
        <w:t xml:space="preserve">Commonwealth </w:t>
      </w:r>
      <w:r w:rsidR="00C6327C" w:rsidRPr="006D2720">
        <w:rPr>
          <w:rFonts w:ascii="Times New Roman" w:hAnsi="Times New Roman" w:cs="Times New Roman"/>
        </w:rPr>
        <w:t xml:space="preserve">Privacy Act and </w:t>
      </w:r>
      <w:r w:rsidR="00644276" w:rsidRPr="006D2720">
        <w:rPr>
          <w:rFonts w:ascii="Times New Roman" w:hAnsi="Times New Roman" w:cs="Times New Roman"/>
        </w:rPr>
        <w:t xml:space="preserve">the </w:t>
      </w:r>
      <w:r w:rsidR="003F4BBD" w:rsidRPr="006D2720">
        <w:rPr>
          <w:rFonts w:ascii="Times New Roman" w:hAnsi="Times New Roman" w:cs="Times New Roman"/>
        </w:rPr>
        <w:t xml:space="preserve">Tasmanian </w:t>
      </w:r>
      <w:r w:rsidR="00C6327C" w:rsidRPr="006D2720">
        <w:rPr>
          <w:rFonts w:ascii="Times New Roman" w:hAnsi="Times New Roman" w:cs="Times New Roman"/>
        </w:rPr>
        <w:t xml:space="preserve">PIPA. </w:t>
      </w:r>
      <w:r w:rsidR="006A1758" w:rsidRPr="006D2720">
        <w:rPr>
          <w:rFonts w:ascii="Times New Roman" w:hAnsi="Times New Roman" w:cs="Times New Roman"/>
        </w:rPr>
        <w:t xml:space="preserve">For example, a private body might </w:t>
      </w:r>
      <w:r w:rsidR="00F22D3C" w:rsidRPr="006D2720">
        <w:rPr>
          <w:rFonts w:ascii="Times New Roman" w:hAnsi="Times New Roman" w:cs="Times New Roman"/>
        </w:rPr>
        <w:t xml:space="preserve">have an annual turnover of greater than </w:t>
      </w:r>
      <w:r w:rsidR="00B64096" w:rsidRPr="006D2720">
        <w:rPr>
          <w:rFonts w:ascii="Times New Roman" w:hAnsi="Times New Roman" w:cs="Times New Roman"/>
        </w:rPr>
        <w:t>$3</w:t>
      </w:r>
      <w:r w:rsidR="00120CDB" w:rsidRPr="006D2720">
        <w:rPr>
          <w:rFonts w:ascii="Times New Roman" w:hAnsi="Times New Roman" w:cs="Times New Roman"/>
        </w:rPr>
        <w:t xml:space="preserve">,000,000 and hence be subject to the Commonwealth </w:t>
      </w:r>
      <w:r w:rsidR="000A57DB" w:rsidRPr="006D2720">
        <w:rPr>
          <w:rFonts w:ascii="Times New Roman" w:hAnsi="Times New Roman" w:cs="Times New Roman"/>
        </w:rPr>
        <w:t>APPs</w:t>
      </w:r>
      <w:r w:rsidR="00120CDB" w:rsidRPr="006D2720">
        <w:rPr>
          <w:rFonts w:ascii="Times New Roman" w:hAnsi="Times New Roman" w:cs="Times New Roman"/>
        </w:rPr>
        <w:t xml:space="preserve">, and </w:t>
      </w:r>
      <w:r w:rsidR="00297E46" w:rsidRPr="006D2720">
        <w:rPr>
          <w:rFonts w:ascii="Times New Roman" w:hAnsi="Times New Roman" w:cs="Times New Roman"/>
        </w:rPr>
        <w:t xml:space="preserve">also </w:t>
      </w:r>
      <w:r w:rsidR="005400E1" w:rsidRPr="006D2720">
        <w:rPr>
          <w:rFonts w:ascii="Times New Roman" w:hAnsi="Times New Roman" w:cs="Times New Roman"/>
        </w:rPr>
        <w:t xml:space="preserve">be party to a personal information contract with the </w:t>
      </w:r>
      <w:r w:rsidR="00373152" w:rsidRPr="006D2720">
        <w:rPr>
          <w:rFonts w:ascii="Times New Roman" w:hAnsi="Times New Roman" w:cs="Times New Roman"/>
        </w:rPr>
        <w:t>Tasmanian</w:t>
      </w:r>
      <w:r w:rsidR="005400E1" w:rsidRPr="006D2720">
        <w:rPr>
          <w:rFonts w:ascii="Times New Roman" w:hAnsi="Times New Roman" w:cs="Times New Roman"/>
        </w:rPr>
        <w:t xml:space="preserve"> government </w:t>
      </w:r>
      <w:r w:rsidR="00744D5B" w:rsidRPr="006D2720">
        <w:rPr>
          <w:rFonts w:ascii="Times New Roman" w:hAnsi="Times New Roman" w:cs="Times New Roman"/>
        </w:rPr>
        <w:t xml:space="preserve">and hence </w:t>
      </w:r>
      <w:r w:rsidR="00B43204" w:rsidRPr="006D2720">
        <w:rPr>
          <w:rFonts w:ascii="Times New Roman" w:hAnsi="Times New Roman" w:cs="Times New Roman"/>
        </w:rPr>
        <w:t xml:space="preserve">generally </w:t>
      </w:r>
      <w:r w:rsidR="00744D5B" w:rsidRPr="006D2720">
        <w:rPr>
          <w:rFonts w:ascii="Times New Roman" w:hAnsi="Times New Roman" w:cs="Times New Roman"/>
        </w:rPr>
        <w:t xml:space="preserve">subject to the </w:t>
      </w:r>
      <w:r w:rsidR="000A57DB" w:rsidRPr="006D2720">
        <w:rPr>
          <w:rFonts w:ascii="Times New Roman" w:hAnsi="Times New Roman" w:cs="Times New Roman"/>
        </w:rPr>
        <w:t>Tasma</w:t>
      </w:r>
      <w:r w:rsidR="00C04F1E" w:rsidRPr="006D2720">
        <w:rPr>
          <w:rFonts w:ascii="Times New Roman" w:hAnsi="Times New Roman" w:cs="Times New Roman"/>
        </w:rPr>
        <w:t>n</w:t>
      </w:r>
      <w:r w:rsidR="000A57DB" w:rsidRPr="006D2720">
        <w:rPr>
          <w:rFonts w:ascii="Times New Roman" w:hAnsi="Times New Roman" w:cs="Times New Roman"/>
        </w:rPr>
        <w:t>ian PIPPs</w:t>
      </w:r>
      <w:r w:rsidR="00744D5B" w:rsidRPr="006D2720">
        <w:rPr>
          <w:rFonts w:ascii="Times New Roman" w:hAnsi="Times New Roman" w:cs="Times New Roman"/>
        </w:rPr>
        <w:t xml:space="preserve">. </w:t>
      </w:r>
    </w:p>
    <w:p w14:paraId="2571E008" w14:textId="72C94120" w:rsidR="00C6327C" w:rsidRPr="006D2720" w:rsidRDefault="0036283B" w:rsidP="00D27926">
      <w:pPr>
        <w:pStyle w:val="Heading3"/>
        <w:rPr>
          <w:rFonts w:ascii="Times New Roman" w:hAnsi="Times New Roman" w:cs="Times New Roman"/>
        </w:rPr>
      </w:pPr>
      <w:bookmarkStart w:id="134" w:name="_Ref129289697"/>
      <w:r w:rsidRPr="006D2720">
        <w:rPr>
          <w:rFonts w:ascii="Times New Roman" w:hAnsi="Times New Roman" w:cs="Times New Roman"/>
        </w:rPr>
        <w:t>The</w:t>
      </w:r>
      <w:r w:rsidR="00241CE4" w:rsidRPr="006D2720">
        <w:rPr>
          <w:rFonts w:ascii="Times New Roman" w:hAnsi="Times New Roman" w:cs="Times New Roman"/>
        </w:rPr>
        <w:t xml:space="preserve"> concurrent operation of the </w:t>
      </w:r>
      <w:r w:rsidR="003F4BBD" w:rsidRPr="006D2720">
        <w:rPr>
          <w:rFonts w:ascii="Times New Roman" w:hAnsi="Times New Roman" w:cs="Times New Roman"/>
        </w:rPr>
        <w:t xml:space="preserve">Privacy Act and the </w:t>
      </w:r>
      <w:r w:rsidR="00241CE4" w:rsidRPr="006D2720">
        <w:rPr>
          <w:rFonts w:ascii="Times New Roman" w:hAnsi="Times New Roman" w:cs="Times New Roman"/>
        </w:rPr>
        <w:t xml:space="preserve">PIPA may give rise to complex constitutional questions </w:t>
      </w:r>
      <w:r w:rsidR="002C68CD" w:rsidRPr="006D2720">
        <w:rPr>
          <w:rFonts w:ascii="Times New Roman" w:hAnsi="Times New Roman" w:cs="Times New Roman"/>
        </w:rPr>
        <w:t xml:space="preserve">about </w:t>
      </w:r>
      <w:r w:rsidR="009B40EA" w:rsidRPr="006D2720">
        <w:rPr>
          <w:rFonts w:ascii="Times New Roman" w:hAnsi="Times New Roman" w:cs="Times New Roman"/>
        </w:rPr>
        <w:t xml:space="preserve">consistency between federal and </w:t>
      </w:r>
      <w:r w:rsidR="003F4BBD" w:rsidRPr="006D2720">
        <w:rPr>
          <w:rFonts w:ascii="Times New Roman" w:hAnsi="Times New Roman" w:cs="Times New Roman"/>
        </w:rPr>
        <w:t>s</w:t>
      </w:r>
      <w:r w:rsidR="009B40EA" w:rsidRPr="006D2720">
        <w:rPr>
          <w:rFonts w:ascii="Times New Roman" w:hAnsi="Times New Roman" w:cs="Times New Roman"/>
        </w:rPr>
        <w:t xml:space="preserve">tate </w:t>
      </w:r>
      <w:r w:rsidR="003F4BBD" w:rsidRPr="006D2720">
        <w:rPr>
          <w:rFonts w:ascii="Times New Roman" w:hAnsi="Times New Roman" w:cs="Times New Roman"/>
        </w:rPr>
        <w:t xml:space="preserve">and territory </w:t>
      </w:r>
      <w:r w:rsidR="009B40EA" w:rsidRPr="006D2720">
        <w:rPr>
          <w:rFonts w:ascii="Times New Roman" w:hAnsi="Times New Roman" w:cs="Times New Roman"/>
        </w:rPr>
        <w:t>laws</w:t>
      </w:r>
      <w:r w:rsidR="006D7A36" w:rsidRPr="006D2720">
        <w:rPr>
          <w:rFonts w:ascii="Times New Roman" w:hAnsi="Times New Roman" w:cs="Times New Roman"/>
        </w:rPr>
        <w:t xml:space="preserve">, and </w:t>
      </w:r>
      <w:r w:rsidR="009B40EA" w:rsidRPr="006D2720">
        <w:rPr>
          <w:rFonts w:ascii="Times New Roman" w:hAnsi="Times New Roman" w:cs="Times New Roman"/>
        </w:rPr>
        <w:t xml:space="preserve">it is beyond the scope of this Issues Paper to analyse </w:t>
      </w:r>
      <w:r w:rsidR="006B2F6E" w:rsidRPr="006D2720">
        <w:rPr>
          <w:rFonts w:ascii="Times New Roman" w:hAnsi="Times New Roman" w:cs="Times New Roman"/>
        </w:rPr>
        <w:t>these</w:t>
      </w:r>
      <w:r w:rsidR="009B40EA" w:rsidRPr="006D2720">
        <w:rPr>
          <w:rFonts w:ascii="Times New Roman" w:hAnsi="Times New Roman" w:cs="Times New Roman"/>
        </w:rPr>
        <w:t xml:space="preserve"> questions</w:t>
      </w:r>
      <w:r w:rsidR="006D7A36" w:rsidRPr="006D2720">
        <w:rPr>
          <w:rFonts w:ascii="Times New Roman" w:hAnsi="Times New Roman" w:cs="Times New Roman"/>
        </w:rPr>
        <w:t>. However,</w:t>
      </w:r>
      <w:r w:rsidR="009B40EA" w:rsidRPr="006D2720">
        <w:rPr>
          <w:rFonts w:ascii="Times New Roman" w:hAnsi="Times New Roman" w:cs="Times New Roman"/>
        </w:rPr>
        <w:t xml:space="preserve"> it is </w:t>
      </w:r>
      <w:r w:rsidR="00925BD6" w:rsidRPr="006D2720">
        <w:rPr>
          <w:rFonts w:ascii="Times New Roman" w:hAnsi="Times New Roman" w:cs="Times New Roman"/>
        </w:rPr>
        <w:t xml:space="preserve">worth </w:t>
      </w:r>
      <w:r w:rsidR="00A607EA" w:rsidRPr="006D2720">
        <w:rPr>
          <w:rFonts w:ascii="Times New Roman" w:hAnsi="Times New Roman" w:cs="Times New Roman"/>
        </w:rPr>
        <w:t>observing</w:t>
      </w:r>
      <w:r w:rsidR="009B40EA" w:rsidRPr="006D2720">
        <w:rPr>
          <w:rFonts w:ascii="Times New Roman" w:hAnsi="Times New Roman" w:cs="Times New Roman"/>
        </w:rPr>
        <w:t xml:space="preserve"> that </w:t>
      </w:r>
      <w:r w:rsidR="00101FBC" w:rsidRPr="006D2720">
        <w:rPr>
          <w:rFonts w:ascii="Times New Roman" w:hAnsi="Times New Roman" w:cs="Times New Roman"/>
        </w:rPr>
        <w:t xml:space="preserve">the imposition of broad obligations on private organisations, </w:t>
      </w:r>
      <w:r w:rsidR="00D27926" w:rsidRPr="006D2720">
        <w:rPr>
          <w:rFonts w:ascii="Times New Roman" w:hAnsi="Times New Roman" w:cs="Times New Roman"/>
        </w:rPr>
        <w:t xml:space="preserve">in the absence of a sufficient connection to the Tasmanian public sector, </w:t>
      </w:r>
      <w:r w:rsidR="005A1007" w:rsidRPr="006D2720">
        <w:rPr>
          <w:rFonts w:ascii="Times New Roman" w:hAnsi="Times New Roman" w:cs="Times New Roman"/>
        </w:rPr>
        <w:t>would generally be restricted by the fact that the Privacy Act already applies to those organisations</w:t>
      </w:r>
      <w:r w:rsidR="00D27926" w:rsidRPr="006D2720">
        <w:rPr>
          <w:rFonts w:ascii="Times New Roman" w:hAnsi="Times New Roman" w:cs="Times New Roman"/>
        </w:rPr>
        <w:t>.</w:t>
      </w:r>
      <w:bookmarkEnd w:id="134"/>
      <w:r w:rsidR="00D27926" w:rsidRPr="006D2720">
        <w:rPr>
          <w:rFonts w:ascii="Times New Roman" w:hAnsi="Times New Roman" w:cs="Times New Roman"/>
        </w:rPr>
        <w:t xml:space="preserve"> </w:t>
      </w:r>
    </w:p>
    <w:p w14:paraId="7336601A" w14:textId="4A3C21A1" w:rsidR="00C6327C" w:rsidRPr="006D2720" w:rsidRDefault="00E82BF7" w:rsidP="00CA1A69">
      <w:pPr>
        <w:pStyle w:val="Heading2"/>
        <w:numPr>
          <w:ilvl w:val="0"/>
          <w:numId w:val="0"/>
        </w:numPr>
        <w:ind w:left="578" w:hanging="578"/>
        <w:rPr>
          <w:rFonts w:ascii="Times New Roman" w:hAnsi="Times New Roman" w:cs="Times New Roman"/>
          <w:i/>
          <w:iCs/>
        </w:rPr>
      </w:pPr>
      <w:bookmarkStart w:id="135" w:name="_Toc85537740"/>
      <w:bookmarkStart w:id="136" w:name="_Toc85537874"/>
      <w:bookmarkStart w:id="137" w:name="_Toc85381222"/>
      <w:bookmarkStart w:id="138" w:name="_Toc85537741"/>
      <w:bookmarkStart w:id="139" w:name="_Toc85537875"/>
      <w:bookmarkStart w:id="140" w:name="_Toc85381223"/>
      <w:bookmarkStart w:id="141" w:name="_Toc85537742"/>
      <w:bookmarkStart w:id="142" w:name="_Toc85537876"/>
      <w:bookmarkStart w:id="143" w:name="_Toc85381224"/>
      <w:bookmarkStart w:id="144" w:name="_Toc85537743"/>
      <w:bookmarkStart w:id="145" w:name="_Toc85537877"/>
      <w:bookmarkStart w:id="146" w:name="_Toc85381225"/>
      <w:bookmarkStart w:id="147" w:name="_Toc85537744"/>
      <w:bookmarkStart w:id="148" w:name="_Toc85537878"/>
      <w:bookmarkStart w:id="149" w:name="_Toc85381226"/>
      <w:bookmarkStart w:id="150" w:name="_Toc85537745"/>
      <w:bookmarkStart w:id="151" w:name="_Toc85537879"/>
      <w:bookmarkStart w:id="152" w:name="_Toc77846277"/>
      <w:bookmarkStart w:id="153" w:name="_Toc77846329"/>
      <w:bookmarkStart w:id="154" w:name="_Toc77846381"/>
      <w:bookmarkStart w:id="155" w:name="_Toc77846541"/>
      <w:bookmarkStart w:id="156" w:name="_Toc77933332"/>
      <w:bookmarkStart w:id="157" w:name="_Toc77846278"/>
      <w:bookmarkStart w:id="158" w:name="_Toc77846330"/>
      <w:bookmarkStart w:id="159" w:name="_Toc77846382"/>
      <w:bookmarkStart w:id="160" w:name="_Toc77846542"/>
      <w:bookmarkStart w:id="161" w:name="_Toc77933333"/>
      <w:bookmarkStart w:id="162" w:name="_Toc77846279"/>
      <w:bookmarkStart w:id="163" w:name="_Toc77846331"/>
      <w:bookmarkStart w:id="164" w:name="_Toc77846383"/>
      <w:bookmarkStart w:id="165" w:name="_Toc77846543"/>
      <w:bookmarkStart w:id="166" w:name="_Toc77933334"/>
      <w:bookmarkStart w:id="167" w:name="_Toc77846280"/>
      <w:bookmarkStart w:id="168" w:name="_Toc77846332"/>
      <w:bookmarkStart w:id="169" w:name="_Toc77846384"/>
      <w:bookmarkStart w:id="170" w:name="_Toc77846544"/>
      <w:bookmarkStart w:id="171" w:name="_Toc77933335"/>
      <w:bookmarkStart w:id="172" w:name="_Toc77846281"/>
      <w:bookmarkStart w:id="173" w:name="_Toc77846333"/>
      <w:bookmarkStart w:id="174" w:name="_Toc77846385"/>
      <w:bookmarkStart w:id="175" w:name="_Toc77846545"/>
      <w:bookmarkStart w:id="176" w:name="_Toc77933336"/>
      <w:bookmarkStart w:id="177" w:name="_Toc77846282"/>
      <w:bookmarkStart w:id="178" w:name="_Toc77846334"/>
      <w:bookmarkStart w:id="179" w:name="_Toc77846386"/>
      <w:bookmarkStart w:id="180" w:name="_Toc77846546"/>
      <w:bookmarkStart w:id="181" w:name="_Toc77933337"/>
      <w:bookmarkStart w:id="182" w:name="_Toc91831997"/>
      <w:bookmarkStart w:id="183" w:name="_Toc13054043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6D2720">
        <w:rPr>
          <w:rFonts w:ascii="Times New Roman" w:hAnsi="Times New Roman" w:cs="Times New Roman"/>
          <w:i/>
          <w:iCs/>
        </w:rPr>
        <w:t>Protection of ‘personal information’</w:t>
      </w:r>
      <w:bookmarkEnd w:id="182"/>
      <w:bookmarkEnd w:id="183"/>
    </w:p>
    <w:p w14:paraId="2F3CA9B2" w14:textId="7A44D438" w:rsidR="00C77C14" w:rsidRPr="006D2720" w:rsidRDefault="00316803" w:rsidP="0066337D">
      <w:pPr>
        <w:pStyle w:val="Heading3"/>
        <w:rPr>
          <w:rFonts w:ascii="Times New Roman" w:hAnsi="Times New Roman" w:cs="Times New Roman"/>
        </w:rPr>
      </w:pPr>
      <w:r w:rsidRPr="006D2720">
        <w:rPr>
          <w:rFonts w:ascii="Times New Roman" w:hAnsi="Times New Roman" w:cs="Times New Roman"/>
        </w:rPr>
        <w:t xml:space="preserve">The </w:t>
      </w:r>
      <w:r w:rsidR="002A32B4" w:rsidRPr="006D2720">
        <w:rPr>
          <w:rFonts w:ascii="Times New Roman" w:hAnsi="Times New Roman" w:cs="Times New Roman"/>
        </w:rPr>
        <w:t xml:space="preserve">Tasmanian PIPPs </w:t>
      </w:r>
      <w:r w:rsidRPr="006D2720">
        <w:rPr>
          <w:rFonts w:ascii="Times New Roman" w:hAnsi="Times New Roman" w:cs="Times New Roman"/>
        </w:rPr>
        <w:t xml:space="preserve">provided for in </w:t>
      </w:r>
      <w:r w:rsidR="003A74DC" w:rsidRPr="006D2720">
        <w:rPr>
          <w:rFonts w:ascii="Times New Roman" w:hAnsi="Times New Roman" w:cs="Times New Roman"/>
        </w:rPr>
        <w:t xml:space="preserve">the </w:t>
      </w:r>
      <w:r w:rsidRPr="006D2720">
        <w:rPr>
          <w:rFonts w:ascii="Times New Roman" w:hAnsi="Times New Roman" w:cs="Times New Roman"/>
        </w:rPr>
        <w:t xml:space="preserve">PIPA generally apply to </w:t>
      </w:r>
      <w:r w:rsidR="002A32B4" w:rsidRPr="006D2720">
        <w:rPr>
          <w:rFonts w:ascii="Times New Roman" w:hAnsi="Times New Roman" w:cs="Times New Roman"/>
        </w:rPr>
        <w:t xml:space="preserve">the protection of </w:t>
      </w:r>
      <w:r w:rsidRPr="006D2720">
        <w:rPr>
          <w:rFonts w:ascii="Times New Roman" w:hAnsi="Times New Roman" w:cs="Times New Roman"/>
        </w:rPr>
        <w:t>personal information.</w:t>
      </w:r>
      <w:r w:rsidR="007122C3" w:rsidRPr="006D2720">
        <w:rPr>
          <w:rStyle w:val="FootnoteReference"/>
          <w:rFonts w:ascii="Times New Roman" w:hAnsi="Times New Roman" w:cs="Times New Roman"/>
        </w:rPr>
        <w:footnoteReference w:id="63"/>
      </w:r>
      <w:r w:rsidRPr="006D2720">
        <w:rPr>
          <w:rFonts w:ascii="Times New Roman" w:hAnsi="Times New Roman" w:cs="Times New Roman"/>
        </w:rPr>
        <w:t xml:space="preserve"> P</w:t>
      </w:r>
      <w:r w:rsidR="00F02447" w:rsidRPr="006D2720">
        <w:rPr>
          <w:rFonts w:ascii="Times New Roman" w:hAnsi="Times New Roman" w:cs="Times New Roman"/>
        </w:rPr>
        <w:t xml:space="preserve">ersonal information </w:t>
      </w:r>
      <w:r w:rsidRPr="006D2720">
        <w:rPr>
          <w:rFonts w:ascii="Times New Roman" w:hAnsi="Times New Roman" w:cs="Times New Roman"/>
        </w:rPr>
        <w:t>is defined in the Act to mean:</w:t>
      </w:r>
      <w:r w:rsidR="00034CEE" w:rsidRPr="006D2720">
        <w:rPr>
          <w:rStyle w:val="FootnoteReference"/>
          <w:rFonts w:ascii="Times New Roman" w:hAnsi="Times New Roman" w:cs="Times New Roman"/>
        </w:rPr>
        <w:footnoteReference w:id="64"/>
      </w:r>
      <w:r w:rsidR="00C77C14" w:rsidRPr="006D2720">
        <w:rPr>
          <w:rFonts w:ascii="Times New Roman" w:hAnsi="Times New Roman" w:cs="Times New Roman"/>
        </w:rPr>
        <w:t xml:space="preserve"> </w:t>
      </w:r>
    </w:p>
    <w:p w14:paraId="5D6AB69F" w14:textId="0822845D" w:rsidR="00F02447" w:rsidRPr="006D2720" w:rsidRDefault="00F02447" w:rsidP="0070734B">
      <w:pPr>
        <w:pStyle w:val="Blockquote"/>
        <w:rPr>
          <w:rFonts w:ascii="Times New Roman" w:hAnsi="Times New Roman" w:cs="Times New Roman"/>
        </w:rPr>
      </w:pPr>
      <w:r w:rsidRPr="006D2720">
        <w:rPr>
          <w:rFonts w:ascii="Times New Roman" w:hAnsi="Times New Roman" w:cs="Times New Roman"/>
        </w:rPr>
        <w:t>any information or opinion in any recorded format about an individual –</w:t>
      </w:r>
    </w:p>
    <w:p w14:paraId="61ECEBBE" w14:textId="77777777" w:rsidR="00F02447" w:rsidRPr="006D2720" w:rsidRDefault="00F02447" w:rsidP="0070734B">
      <w:pPr>
        <w:pStyle w:val="Blockquote"/>
        <w:rPr>
          <w:rFonts w:ascii="Times New Roman" w:hAnsi="Times New Roman" w:cs="Times New Roman"/>
        </w:rPr>
      </w:pPr>
      <w:r w:rsidRPr="006D2720">
        <w:rPr>
          <w:rFonts w:ascii="Times New Roman" w:hAnsi="Times New Roman" w:cs="Times New Roman"/>
        </w:rPr>
        <w:t>(a) whose identity is apparent or is reasonably ascertainable from the information or opinion; and</w:t>
      </w:r>
    </w:p>
    <w:p w14:paraId="1F80AB7F" w14:textId="367D7D2F" w:rsidR="00F02447" w:rsidRPr="006D2720" w:rsidRDefault="00F02447" w:rsidP="0070734B">
      <w:pPr>
        <w:pStyle w:val="Blockquote"/>
        <w:rPr>
          <w:rFonts w:ascii="Times New Roman" w:hAnsi="Times New Roman" w:cs="Times New Roman"/>
        </w:rPr>
      </w:pPr>
      <w:r w:rsidRPr="006D2720">
        <w:rPr>
          <w:rFonts w:ascii="Times New Roman" w:hAnsi="Times New Roman" w:cs="Times New Roman"/>
        </w:rPr>
        <w:t>(b) who is alive or has not been dead for more than 25 years</w:t>
      </w:r>
      <w:r w:rsidR="00725DB2" w:rsidRPr="006D2720">
        <w:rPr>
          <w:rFonts w:ascii="Times New Roman" w:hAnsi="Times New Roman" w:cs="Times New Roman"/>
        </w:rPr>
        <w:t>.</w:t>
      </w:r>
    </w:p>
    <w:p w14:paraId="2E6CD9B5" w14:textId="163911DD" w:rsidR="002F60DF" w:rsidRPr="006D2720" w:rsidRDefault="0034192F" w:rsidP="00785746">
      <w:pPr>
        <w:pStyle w:val="Heading3"/>
        <w:rPr>
          <w:rFonts w:ascii="Times New Roman" w:hAnsi="Times New Roman" w:cs="Times New Roman"/>
        </w:rPr>
      </w:pPr>
      <w:r w:rsidRPr="006D2720">
        <w:rPr>
          <w:rFonts w:ascii="Times New Roman" w:hAnsi="Times New Roman" w:cs="Times New Roman"/>
        </w:rPr>
        <w:t xml:space="preserve">In the following sections of this Issues Paper, the various elements of this definition will be discussed in detail and compared with other jurisdictions </w:t>
      </w:r>
      <w:r w:rsidR="002F60DF" w:rsidRPr="006D2720">
        <w:rPr>
          <w:rFonts w:ascii="Times New Roman" w:hAnsi="Times New Roman" w:cs="Times New Roman"/>
        </w:rPr>
        <w:t xml:space="preserve">where such comparisons are </w:t>
      </w:r>
      <w:r w:rsidR="00AA1A7E" w:rsidRPr="006D2720">
        <w:rPr>
          <w:rFonts w:ascii="Times New Roman" w:hAnsi="Times New Roman" w:cs="Times New Roman"/>
        </w:rPr>
        <w:t>relevant</w:t>
      </w:r>
      <w:r w:rsidRPr="006D2720">
        <w:rPr>
          <w:rFonts w:ascii="Times New Roman" w:hAnsi="Times New Roman" w:cs="Times New Roman"/>
        </w:rPr>
        <w:t xml:space="preserve">. </w:t>
      </w:r>
      <w:r w:rsidR="001025B8" w:rsidRPr="006D2720">
        <w:rPr>
          <w:rFonts w:ascii="Times New Roman" w:hAnsi="Times New Roman" w:cs="Times New Roman"/>
        </w:rPr>
        <w:t>A</w:t>
      </w:r>
      <w:r w:rsidRPr="006D2720">
        <w:rPr>
          <w:rFonts w:ascii="Times New Roman" w:hAnsi="Times New Roman" w:cs="Times New Roman"/>
        </w:rPr>
        <w:t xml:space="preserve"> few points of difference </w:t>
      </w:r>
      <w:r w:rsidR="001025B8" w:rsidRPr="006D2720">
        <w:rPr>
          <w:rFonts w:ascii="Times New Roman" w:hAnsi="Times New Roman" w:cs="Times New Roman"/>
        </w:rPr>
        <w:t>are</w:t>
      </w:r>
      <w:r w:rsidRPr="006D2720">
        <w:rPr>
          <w:rFonts w:ascii="Times New Roman" w:hAnsi="Times New Roman" w:cs="Times New Roman"/>
        </w:rPr>
        <w:t xml:space="preserve"> </w:t>
      </w:r>
      <w:r w:rsidR="00AF6146" w:rsidRPr="006D2720">
        <w:rPr>
          <w:rFonts w:ascii="Times New Roman" w:hAnsi="Times New Roman" w:cs="Times New Roman"/>
        </w:rPr>
        <w:t>briefly</w:t>
      </w:r>
      <w:r w:rsidRPr="006D2720">
        <w:rPr>
          <w:rFonts w:ascii="Times New Roman" w:hAnsi="Times New Roman" w:cs="Times New Roman"/>
        </w:rPr>
        <w:t xml:space="preserve"> noted</w:t>
      </w:r>
      <w:r w:rsidR="00AF6146" w:rsidRPr="006D2720">
        <w:rPr>
          <w:rFonts w:ascii="Times New Roman" w:hAnsi="Times New Roman" w:cs="Times New Roman"/>
        </w:rPr>
        <w:t xml:space="preserve">. </w:t>
      </w:r>
    </w:p>
    <w:p w14:paraId="09C195D4" w14:textId="5DE94D1F" w:rsidR="00A5121F" w:rsidRPr="006D2720" w:rsidRDefault="002F60DF" w:rsidP="00B972E8">
      <w:pPr>
        <w:pStyle w:val="Dotpointlist"/>
        <w:rPr>
          <w:rFonts w:ascii="Times New Roman" w:hAnsi="Times New Roman" w:cs="Times New Roman"/>
        </w:rPr>
      </w:pPr>
      <w:r w:rsidRPr="006D2720">
        <w:rPr>
          <w:rFonts w:ascii="Times New Roman" w:hAnsi="Times New Roman" w:cs="Times New Roman"/>
        </w:rPr>
        <w:t>The PIPA does not make it clear whether it matters if the information or opinion is true</w:t>
      </w:r>
      <w:r w:rsidR="001025B8" w:rsidRPr="006D2720">
        <w:rPr>
          <w:rFonts w:ascii="Times New Roman" w:hAnsi="Times New Roman" w:cs="Times New Roman"/>
        </w:rPr>
        <w:t>,</w:t>
      </w:r>
      <w:r w:rsidR="006B2DC0" w:rsidRPr="006D2720">
        <w:rPr>
          <w:rStyle w:val="FootnoteReference"/>
          <w:rFonts w:ascii="Times New Roman" w:hAnsi="Times New Roman" w:cs="Times New Roman"/>
        </w:rPr>
        <w:footnoteReference w:id="65"/>
      </w:r>
      <w:r w:rsidR="001025B8" w:rsidRPr="006D2720">
        <w:rPr>
          <w:rFonts w:ascii="Times New Roman" w:hAnsi="Times New Roman" w:cs="Times New Roman"/>
        </w:rPr>
        <w:t xml:space="preserve"> nor does it </w:t>
      </w:r>
      <w:r w:rsidR="00EE64C7" w:rsidRPr="006D2720">
        <w:rPr>
          <w:rFonts w:ascii="Times New Roman" w:hAnsi="Times New Roman" w:cs="Times New Roman"/>
        </w:rPr>
        <w:t xml:space="preserve">make </w:t>
      </w:r>
      <w:r w:rsidRPr="006D2720">
        <w:rPr>
          <w:rFonts w:ascii="Times New Roman" w:hAnsi="Times New Roman" w:cs="Times New Roman"/>
        </w:rPr>
        <w:t xml:space="preserve">clear whether it matters if the information </w:t>
      </w:r>
      <w:r w:rsidR="00FB1CB2" w:rsidRPr="006D2720">
        <w:rPr>
          <w:rFonts w:ascii="Times New Roman" w:hAnsi="Times New Roman" w:cs="Times New Roman"/>
        </w:rPr>
        <w:t xml:space="preserve">is </w:t>
      </w:r>
      <w:r w:rsidR="006B2DC0" w:rsidRPr="006D2720">
        <w:rPr>
          <w:rFonts w:ascii="Times New Roman" w:hAnsi="Times New Roman" w:cs="Times New Roman"/>
        </w:rPr>
        <w:t>recorded in a material form</w:t>
      </w:r>
      <w:r w:rsidR="001025B8" w:rsidRPr="006D2720">
        <w:rPr>
          <w:rFonts w:ascii="Times New Roman" w:hAnsi="Times New Roman" w:cs="Times New Roman"/>
        </w:rPr>
        <w:t>.</w:t>
      </w:r>
      <w:r w:rsidR="006B2DC0" w:rsidRPr="006D2720">
        <w:rPr>
          <w:rStyle w:val="FootnoteReference"/>
          <w:rFonts w:ascii="Times New Roman" w:hAnsi="Times New Roman" w:cs="Times New Roman"/>
        </w:rPr>
        <w:footnoteReference w:id="66"/>
      </w:r>
    </w:p>
    <w:p w14:paraId="2C465EA6" w14:textId="780CBAF0" w:rsidR="006B2DC0" w:rsidRPr="006D2720" w:rsidRDefault="001025B8" w:rsidP="002F60DF">
      <w:pPr>
        <w:pStyle w:val="Dotpointlist"/>
        <w:rPr>
          <w:rFonts w:ascii="Times New Roman" w:hAnsi="Times New Roman" w:cs="Times New Roman"/>
        </w:rPr>
      </w:pPr>
      <w:r w:rsidRPr="006D2720">
        <w:rPr>
          <w:rFonts w:ascii="Times New Roman" w:hAnsi="Times New Roman" w:cs="Times New Roman"/>
        </w:rPr>
        <w:t>However, t</w:t>
      </w:r>
      <w:r w:rsidR="006B2DC0" w:rsidRPr="006D2720">
        <w:rPr>
          <w:rFonts w:ascii="Times New Roman" w:hAnsi="Times New Roman" w:cs="Times New Roman"/>
        </w:rPr>
        <w:t xml:space="preserve">he PIPA definition </w:t>
      </w:r>
      <w:r w:rsidRPr="006D2720">
        <w:rPr>
          <w:rFonts w:ascii="Times New Roman" w:hAnsi="Times New Roman" w:cs="Times New Roman"/>
        </w:rPr>
        <w:t xml:space="preserve">does </w:t>
      </w:r>
      <w:r w:rsidR="006B2DC0" w:rsidRPr="006D2720">
        <w:rPr>
          <w:rFonts w:ascii="Times New Roman" w:hAnsi="Times New Roman" w:cs="Times New Roman"/>
        </w:rPr>
        <w:t>includ</w:t>
      </w:r>
      <w:r w:rsidRPr="006D2720">
        <w:rPr>
          <w:rFonts w:ascii="Times New Roman" w:hAnsi="Times New Roman" w:cs="Times New Roman"/>
        </w:rPr>
        <w:t>e</w:t>
      </w:r>
      <w:r w:rsidR="006B2DC0" w:rsidRPr="006D2720">
        <w:rPr>
          <w:rFonts w:ascii="Times New Roman" w:hAnsi="Times New Roman" w:cs="Times New Roman"/>
        </w:rPr>
        <w:t xml:space="preserve"> information </w:t>
      </w:r>
      <w:r w:rsidR="00E53483" w:rsidRPr="006D2720">
        <w:rPr>
          <w:rFonts w:ascii="Times New Roman" w:hAnsi="Times New Roman" w:cs="Times New Roman"/>
        </w:rPr>
        <w:t>about</w:t>
      </w:r>
      <w:r w:rsidR="006B2DC0" w:rsidRPr="006D2720">
        <w:rPr>
          <w:rFonts w:ascii="Times New Roman" w:hAnsi="Times New Roman" w:cs="Times New Roman"/>
        </w:rPr>
        <w:t xml:space="preserve"> a person who has been dead for not more than 25 years</w:t>
      </w:r>
      <w:r w:rsidR="004F05B7" w:rsidRPr="006D2720">
        <w:rPr>
          <w:rFonts w:ascii="Times New Roman" w:hAnsi="Times New Roman" w:cs="Times New Roman"/>
        </w:rPr>
        <w:t xml:space="preserve">, which is </w:t>
      </w:r>
      <w:r w:rsidR="00394998" w:rsidRPr="006D2720">
        <w:rPr>
          <w:rFonts w:ascii="Times New Roman" w:hAnsi="Times New Roman" w:cs="Times New Roman"/>
        </w:rPr>
        <w:t xml:space="preserve">a </w:t>
      </w:r>
      <w:r w:rsidR="004F05B7" w:rsidRPr="006D2720">
        <w:rPr>
          <w:rFonts w:ascii="Times New Roman" w:hAnsi="Times New Roman" w:cs="Times New Roman"/>
        </w:rPr>
        <w:t xml:space="preserve">shorter </w:t>
      </w:r>
      <w:r w:rsidR="00394998" w:rsidRPr="006D2720">
        <w:rPr>
          <w:rFonts w:ascii="Times New Roman" w:hAnsi="Times New Roman" w:cs="Times New Roman"/>
        </w:rPr>
        <w:t xml:space="preserve">period </w:t>
      </w:r>
      <w:r w:rsidR="004F05B7" w:rsidRPr="006D2720">
        <w:rPr>
          <w:rFonts w:ascii="Times New Roman" w:hAnsi="Times New Roman" w:cs="Times New Roman"/>
        </w:rPr>
        <w:t>than in some other Australian jurisdictions</w:t>
      </w:r>
      <w:r w:rsidR="006B2DC0" w:rsidRPr="006D2720">
        <w:rPr>
          <w:rFonts w:ascii="Times New Roman" w:hAnsi="Times New Roman" w:cs="Times New Roman"/>
        </w:rPr>
        <w:t>.</w:t>
      </w:r>
      <w:r w:rsidR="00A5121F" w:rsidRPr="006D2720">
        <w:rPr>
          <w:rStyle w:val="FootnoteReference"/>
          <w:rFonts w:ascii="Times New Roman" w:hAnsi="Times New Roman" w:cs="Times New Roman"/>
        </w:rPr>
        <w:footnoteReference w:id="67"/>
      </w:r>
      <w:r w:rsidR="006B2DC0" w:rsidRPr="006D2720">
        <w:rPr>
          <w:rFonts w:ascii="Times New Roman" w:hAnsi="Times New Roman" w:cs="Times New Roman"/>
        </w:rPr>
        <w:t xml:space="preserve"> </w:t>
      </w:r>
    </w:p>
    <w:p w14:paraId="626B7958" w14:textId="1B6C923C" w:rsidR="00680F10" w:rsidRPr="006D2720" w:rsidRDefault="00AF6146" w:rsidP="007A4310">
      <w:pPr>
        <w:rPr>
          <w:rFonts w:ascii="Times New Roman" w:hAnsi="Times New Roman" w:cs="Times New Roman"/>
          <w:b/>
          <w:bCs/>
          <w:i/>
          <w:iCs/>
        </w:rPr>
      </w:pPr>
      <w:r w:rsidRPr="006D2720">
        <w:rPr>
          <w:rFonts w:ascii="Times New Roman" w:hAnsi="Times New Roman" w:cs="Times New Roman"/>
          <w:b/>
          <w:bCs/>
          <w:i/>
          <w:iCs/>
        </w:rPr>
        <w:t xml:space="preserve">Information or opinion </w:t>
      </w:r>
      <w:r w:rsidR="00680F10" w:rsidRPr="006D2720">
        <w:rPr>
          <w:rFonts w:ascii="Times New Roman" w:hAnsi="Times New Roman" w:cs="Times New Roman"/>
          <w:b/>
          <w:bCs/>
          <w:i/>
          <w:iCs/>
        </w:rPr>
        <w:t>‘about an individual</w:t>
      </w:r>
      <w:r w:rsidRPr="006D2720">
        <w:rPr>
          <w:rFonts w:ascii="Times New Roman" w:hAnsi="Times New Roman" w:cs="Times New Roman"/>
          <w:b/>
          <w:bCs/>
          <w:i/>
          <w:iCs/>
        </w:rPr>
        <w:t>’</w:t>
      </w:r>
    </w:p>
    <w:p w14:paraId="7CE5ABE2" w14:textId="73F32211" w:rsidR="004B0574" w:rsidRPr="006D2720" w:rsidRDefault="003B11C9" w:rsidP="0066337D">
      <w:pPr>
        <w:pStyle w:val="Heading3"/>
        <w:rPr>
          <w:rFonts w:ascii="Times New Roman" w:hAnsi="Times New Roman" w:cs="Times New Roman"/>
        </w:rPr>
      </w:pPr>
      <w:r w:rsidRPr="006D2720">
        <w:rPr>
          <w:rFonts w:ascii="Times New Roman" w:hAnsi="Times New Roman" w:cs="Times New Roman"/>
        </w:rPr>
        <w:t xml:space="preserve">The requirement that information be ‘about an individual’ has been interpreted as requiring that the </w:t>
      </w:r>
      <w:r w:rsidR="00093E74" w:rsidRPr="006D2720">
        <w:rPr>
          <w:rFonts w:ascii="Times New Roman" w:hAnsi="Times New Roman" w:cs="Times New Roman"/>
        </w:rPr>
        <w:t>individual in question is the subject matter of the information or opinion</w:t>
      </w:r>
      <w:r w:rsidR="005F2F8A" w:rsidRPr="006D2720">
        <w:rPr>
          <w:rFonts w:ascii="Times New Roman" w:hAnsi="Times New Roman" w:cs="Times New Roman"/>
        </w:rPr>
        <w:t>.</w:t>
      </w:r>
      <w:r w:rsidR="005F2F8A" w:rsidRPr="006D2720">
        <w:rPr>
          <w:rStyle w:val="FootnoteReference"/>
          <w:rFonts w:ascii="Times New Roman" w:hAnsi="Times New Roman" w:cs="Times New Roman"/>
        </w:rPr>
        <w:footnoteReference w:id="68"/>
      </w:r>
      <w:r w:rsidR="001846A8" w:rsidRPr="006D2720">
        <w:rPr>
          <w:rFonts w:ascii="Times New Roman" w:hAnsi="Times New Roman" w:cs="Times New Roman"/>
        </w:rPr>
        <w:t xml:space="preserve"> </w:t>
      </w:r>
      <w:r w:rsidR="00F25508" w:rsidRPr="006D2720">
        <w:rPr>
          <w:rFonts w:ascii="Times New Roman" w:hAnsi="Times New Roman" w:cs="Times New Roman"/>
        </w:rPr>
        <w:t>However, it is uncerta</w:t>
      </w:r>
      <w:r w:rsidR="000C7950" w:rsidRPr="006D2720">
        <w:rPr>
          <w:rFonts w:ascii="Times New Roman" w:hAnsi="Times New Roman" w:cs="Times New Roman"/>
        </w:rPr>
        <w:t xml:space="preserve">in whether this includes technical information </w:t>
      </w:r>
      <w:r w:rsidR="00777C60" w:rsidRPr="006D2720">
        <w:rPr>
          <w:rFonts w:ascii="Times New Roman" w:hAnsi="Times New Roman" w:cs="Times New Roman"/>
        </w:rPr>
        <w:t>about</w:t>
      </w:r>
      <w:r w:rsidR="00BE15DD" w:rsidRPr="006D2720">
        <w:rPr>
          <w:rFonts w:ascii="Times New Roman" w:hAnsi="Times New Roman" w:cs="Times New Roman"/>
        </w:rPr>
        <w:t xml:space="preserve"> </w:t>
      </w:r>
      <w:r w:rsidR="00142E02" w:rsidRPr="006D2720">
        <w:rPr>
          <w:rFonts w:ascii="Times New Roman" w:hAnsi="Times New Roman" w:cs="Times New Roman"/>
        </w:rPr>
        <w:t xml:space="preserve">an </w:t>
      </w:r>
      <w:r w:rsidR="00774138" w:rsidRPr="006D2720">
        <w:rPr>
          <w:rFonts w:ascii="Times New Roman" w:hAnsi="Times New Roman" w:cs="Times New Roman"/>
        </w:rPr>
        <w:t>individual</w:t>
      </w:r>
      <w:r w:rsidR="00142E02" w:rsidRPr="006D2720">
        <w:rPr>
          <w:rFonts w:ascii="Times New Roman" w:hAnsi="Times New Roman" w:cs="Times New Roman"/>
        </w:rPr>
        <w:t>’s</w:t>
      </w:r>
      <w:r w:rsidR="00774138" w:rsidRPr="006D2720">
        <w:rPr>
          <w:rFonts w:ascii="Times New Roman" w:hAnsi="Times New Roman" w:cs="Times New Roman"/>
        </w:rPr>
        <w:t xml:space="preserve"> </w:t>
      </w:r>
      <w:r w:rsidR="00BE15DD" w:rsidRPr="006D2720">
        <w:rPr>
          <w:rFonts w:ascii="Times New Roman" w:hAnsi="Times New Roman" w:cs="Times New Roman"/>
        </w:rPr>
        <w:t xml:space="preserve">use of devices </w:t>
      </w:r>
      <w:r w:rsidR="00E2647B" w:rsidRPr="006D2720">
        <w:rPr>
          <w:rFonts w:ascii="Times New Roman" w:hAnsi="Times New Roman" w:cs="Times New Roman"/>
        </w:rPr>
        <w:t>or network</w:t>
      </w:r>
      <w:r w:rsidR="00390963" w:rsidRPr="006D2720">
        <w:rPr>
          <w:rFonts w:ascii="Times New Roman" w:hAnsi="Times New Roman" w:cs="Times New Roman"/>
        </w:rPr>
        <w:t>s</w:t>
      </w:r>
      <w:r w:rsidR="00526F69" w:rsidRPr="006D2720">
        <w:rPr>
          <w:rFonts w:ascii="Times New Roman" w:hAnsi="Times New Roman" w:cs="Times New Roman"/>
        </w:rPr>
        <w:t xml:space="preserve"> and whether it includes</w:t>
      </w:r>
      <w:r w:rsidR="00E2647B" w:rsidRPr="006D2720">
        <w:rPr>
          <w:rFonts w:ascii="Times New Roman" w:hAnsi="Times New Roman" w:cs="Times New Roman"/>
        </w:rPr>
        <w:t xml:space="preserve"> </w:t>
      </w:r>
      <w:r w:rsidR="000A68FE" w:rsidRPr="006D2720">
        <w:rPr>
          <w:rFonts w:ascii="Times New Roman" w:hAnsi="Times New Roman" w:cs="Times New Roman"/>
        </w:rPr>
        <w:t xml:space="preserve">information </w:t>
      </w:r>
      <w:r w:rsidR="00777C60" w:rsidRPr="006D2720">
        <w:rPr>
          <w:rFonts w:ascii="Times New Roman" w:hAnsi="Times New Roman" w:cs="Times New Roman"/>
        </w:rPr>
        <w:t>about</w:t>
      </w:r>
      <w:r w:rsidR="00390963" w:rsidRPr="006D2720">
        <w:rPr>
          <w:rFonts w:ascii="Times New Roman" w:hAnsi="Times New Roman" w:cs="Times New Roman"/>
        </w:rPr>
        <w:t xml:space="preserve"> </w:t>
      </w:r>
      <w:r w:rsidR="00E2647B" w:rsidRPr="006D2720">
        <w:rPr>
          <w:rFonts w:ascii="Times New Roman" w:hAnsi="Times New Roman" w:cs="Times New Roman"/>
        </w:rPr>
        <w:t xml:space="preserve">inferences and predictions </w:t>
      </w:r>
      <w:r w:rsidR="009F278A" w:rsidRPr="006D2720">
        <w:rPr>
          <w:rFonts w:ascii="Times New Roman" w:hAnsi="Times New Roman" w:cs="Times New Roman"/>
        </w:rPr>
        <w:t xml:space="preserve">regarding </w:t>
      </w:r>
      <w:r w:rsidR="00E2647B" w:rsidRPr="006D2720">
        <w:rPr>
          <w:rFonts w:ascii="Times New Roman" w:hAnsi="Times New Roman" w:cs="Times New Roman"/>
        </w:rPr>
        <w:t>individuals</w:t>
      </w:r>
      <w:r w:rsidR="00B008EA" w:rsidRPr="006D2720">
        <w:rPr>
          <w:rFonts w:ascii="Times New Roman" w:hAnsi="Times New Roman" w:cs="Times New Roman"/>
        </w:rPr>
        <w:t xml:space="preserve"> </w:t>
      </w:r>
      <w:r w:rsidR="0086676D" w:rsidRPr="006D2720">
        <w:rPr>
          <w:rFonts w:ascii="Times New Roman" w:hAnsi="Times New Roman" w:cs="Times New Roman"/>
        </w:rPr>
        <w:t>as members of a class or group.</w:t>
      </w:r>
      <w:r w:rsidR="0086676D" w:rsidRPr="006D2720">
        <w:rPr>
          <w:rStyle w:val="FootnoteReference"/>
          <w:rFonts w:ascii="Times New Roman" w:hAnsi="Times New Roman" w:cs="Times New Roman"/>
        </w:rPr>
        <w:footnoteReference w:id="69"/>
      </w:r>
      <w:r w:rsidR="00E86952" w:rsidRPr="006D2720">
        <w:rPr>
          <w:rFonts w:ascii="Times New Roman" w:hAnsi="Times New Roman" w:cs="Times New Roman"/>
        </w:rPr>
        <w:t xml:space="preserve"> </w:t>
      </w:r>
    </w:p>
    <w:p w14:paraId="6E6FBA65" w14:textId="16CD3F07" w:rsidR="00B81240" w:rsidRPr="006D2720" w:rsidRDefault="53FBEFC3" w:rsidP="0066337D">
      <w:pPr>
        <w:pStyle w:val="Heading3"/>
        <w:rPr>
          <w:rFonts w:ascii="Times New Roman" w:hAnsi="Times New Roman" w:cs="Times New Roman"/>
        </w:rPr>
      </w:pPr>
      <w:r w:rsidRPr="006D2720">
        <w:rPr>
          <w:rFonts w:ascii="Times New Roman" w:hAnsi="Times New Roman" w:cs="Times New Roman"/>
        </w:rPr>
        <w:t xml:space="preserve">In contrast, </w:t>
      </w:r>
      <w:r w:rsidR="1CC8A834" w:rsidRPr="006D2720">
        <w:rPr>
          <w:rFonts w:ascii="Times New Roman" w:hAnsi="Times New Roman" w:cs="Times New Roman"/>
        </w:rPr>
        <w:t>t</w:t>
      </w:r>
      <w:r w:rsidR="00E86952" w:rsidRPr="006D2720">
        <w:rPr>
          <w:rFonts w:ascii="Times New Roman" w:hAnsi="Times New Roman" w:cs="Times New Roman"/>
        </w:rPr>
        <w:t>he</w:t>
      </w:r>
      <w:r w:rsidR="001639CB" w:rsidRPr="006D2720">
        <w:rPr>
          <w:rFonts w:ascii="Times New Roman" w:hAnsi="Times New Roman" w:cs="Times New Roman"/>
        </w:rPr>
        <w:t xml:space="preserve"> European Union’s </w:t>
      </w:r>
      <w:r w:rsidR="00480956" w:rsidRPr="006D2720">
        <w:rPr>
          <w:rFonts w:ascii="Times New Roman" w:hAnsi="Times New Roman" w:cs="Times New Roman"/>
          <w:i/>
          <w:iCs/>
        </w:rPr>
        <w:t>General Data Protection Regulation</w:t>
      </w:r>
      <w:r w:rsidR="00480956" w:rsidRPr="006D2720">
        <w:rPr>
          <w:rFonts w:ascii="Times New Roman" w:hAnsi="Times New Roman" w:cs="Times New Roman"/>
        </w:rPr>
        <w:t xml:space="preserve"> </w:t>
      </w:r>
      <w:r w:rsidR="00480956" w:rsidRPr="006D2720">
        <w:rPr>
          <w:rFonts w:ascii="Times New Roman" w:hAnsi="Times New Roman" w:cs="Times New Roman"/>
          <w:i/>
          <w:iCs/>
        </w:rPr>
        <w:t>2016/679</w:t>
      </w:r>
      <w:r w:rsidR="00480956" w:rsidRPr="006D2720" w:rsidDel="0089683E">
        <w:rPr>
          <w:rFonts w:ascii="Times New Roman" w:hAnsi="Times New Roman" w:cs="Times New Roman"/>
        </w:rPr>
        <w:t xml:space="preserve"> </w:t>
      </w:r>
      <w:r w:rsidR="00480956" w:rsidRPr="006D2720">
        <w:rPr>
          <w:rFonts w:ascii="Times New Roman" w:hAnsi="Times New Roman" w:cs="Times New Roman"/>
        </w:rPr>
        <w:t>(‘</w:t>
      </w:r>
      <w:r w:rsidR="001639CB" w:rsidRPr="006D2720">
        <w:rPr>
          <w:rFonts w:ascii="Times New Roman" w:hAnsi="Times New Roman" w:cs="Times New Roman"/>
        </w:rPr>
        <w:t>GDPR</w:t>
      </w:r>
      <w:r w:rsidR="00480956" w:rsidRPr="006D2720">
        <w:rPr>
          <w:rFonts w:ascii="Times New Roman" w:hAnsi="Times New Roman" w:cs="Times New Roman"/>
        </w:rPr>
        <w:t>’)</w:t>
      </w:r>
      <w:r w:rsidR="001639CB" w:rsidRPr="006D2720">
        <w:rPr>
          <w:rFonts w:ascii="Times New Roman" w:hAnsi="Times New Roman" w:cs="Times New Roman"/>
        </w:rPr>
        <w:t xml:space="preserve"> </w:t>
      </w:r>
      <w:r w:rsidR="004B0574" w:rsidRPr="006D2720">
        <w:rPr>
          <w:rFonts w:ascii="Times New Roman" w:hAnsi="Times New Roman" w:cs="Times New Roman"/>
        </w:rPr>
        <w:t xml:space="preserve">defines </w:t>
      </w:r>
      <w:r w:rsidR="00E86952" w:rsidRPr="006D2720">
        <w:rPr>
          <w:rFonts w:ascii="Times New Roman" w:hAnsi="Times New Roman" w:cs="Times New Roman"/>
        </w:rPr>
        <w:t xml:space="preserve">personal information </w:t>
      </w:r>
      <w:r w:rsidR="00871E00" w:rsidRPr="006D2720">
        <w:rPr>
          <w:rFonts w:ascii="Times New Roman" w:hAnsi="Times New Roman" w:cs="Times New Roman"/>
        </w:rPr>
        <w:t>with</w:t>
      </w:r>
      <w:r w:rsidR="004B0574" w:rsidRPr="006D2720">
        <w:rPr>
          <w:rFonts w:ascii="Times New Roman" w:hAnsi="Times New Roman" w:cs="Times New Roman"/>
        </w:rPr>
        <w:t xml:space="preserve"> </w:t>
      </w:r>
      <w:r w:rsidR="00871E00" w:rsidRPr="006D2720">
        <w:rPr>
          <w:rFonts w:ascii="Times New Roman" w:hAnsi="Times New Roman" w:cs="Times New Roman"/>
        </w:rPr>
        <w:t xml:space="preserve">a broader scope, by </w:t>
      </w:r>
      <w:r w:rsidR="004B0574" w:rsidRPr="006D2720">
        <w:rPr>
          <w:rFonts w:ascii="Times New Roman" w:hAnsi="Times New Roman" w:cs="Times New Roman"/>
        </w:rPr>
        <w:t xml:space="preserve">reference to </w:t>
      </w:r>
      <w:r w:rsidR="005A76FF" w:rsidRPr="006D2720">
        <w:rPr>
          <w:rFonts w:ascii="Times New Roman" w:hAnsi="Times New Roman" w:cs="Times New Roman"/>
        </w:rPr>
        <w:t>‘</w:t>
      </w:r>
      <w:r w:rsidR="007F16F5" w:rsidRPr="006D2720">
        <w:rPr>
          <w:rFonts w:ascii="Times New Roman" w:hAnsi="Times New Roman" w:cs="Times New Roman"/>
        </w:rPr>
        <w:t>any information</w:t>
      </w:r>
      <w:r w:rsidR="007F16F5" w:rsidRPr="006D2720">
        <w:rPr>
          <w:rFonts w:ascii="Times New Roman" w:hAnsi="Times New Roman" w:cs="Times New Roman"/>
          <w:i/>
          <w:iCs/>
        </w:rPr>
        <w:t xml:space="preserve"> relating to</w:t>
      </w:r>
      <w:r w:rsidR="007F16F5" w:rsidRPr="006D2720">
        <w:rPr>
          <w:rFonts w:ascii="Times New Roman" w:hAnsi="Times New Roman" w:cs="Times New Roman"/>
        </w:rPr>
        <w:t xml:space="preserve"> an identified or identifiable natural person</w:t>
      </w:r>
      <w:r w:rsidR="005A76FF" w:rsidRPr="006D2720">
        <w:rPr>
          <w:rFonts w:ascii="Times New Roman" w:hAnsi="Times New Roman" w:cs="Times New Roman"/>
        </w:rPr>
        <w:t>’</w:t>
      </w:r>
      <w:r w:rsidR="00823433" w:rsidRPr="006D2720">
        <w:rPr>
          <w:rFonts w:ascii="Times New Roman" w:hAnsi="Times New Roman" w:cs="Times New Roman"/>
        </w:rPr>
        <w:t>.</w:t>
      </w:r>
      <w:r w:rsidR="00011A2D" w:rsidRPr="006D2720">
        <w:rPr>
          <w:rStyle w:val="FootnoteReference"/>
          <w:rFonts w:ascii="Times New Roman" w:hAnsi="Times New Roman" w:cs="Times New Roman"/>
        </w:rPr>
        <w:footnoteReference w:id="70"/>
      </w:r>
      <w:r w:rsidR="00121F8D" w:rsidRPr="006D2720">
        <w:rPr>
          <w:rFonts w:ascii="Times New Roman" w:hAnsi="Times New Roman" w:cs="Times New Roman"/>
        </w:rPr>
        <w:t xml:space="preserve"> </w:t>
      </w:r>
      <w:r w:rsidR="00C27A76" w:rsidRPr="006D2720">
        <w:rPr>
          <w:rFonts w:ascii="Times New Roman" w:hAnsi="Times New Roman" w:cs="Times New Roman"/>
        </w:rPr>
        <w:t>T</w:t>
      </w:r>
      <w:r w:rsidR="00121F8D" w:rsidRPr="006D2720">
        <w:rPr>
          <w:rFonts w:ascii="Times New Roman" w:hAnsi="Times New Roman" w:cs="Times New Roman"/>
        </w:rPr>
        <w:t xml:space="preserve">he Court of Justice of the European Union </w:t>
      </w:r>
      <w:r w:rsidR="00C27A76" w:rsidRPr="006D2720">
        <w:rPr>
          <w:rFonts w:ascii="Times New Roman" w:hAnsi="Times New Roman" w:cs="Times New Roman"/>
        </w:rPr>
        <w:t xml:space="preserve">has </w:t>
      </w:r>
      <w:r w:rsidR="00984667" w:rsidRPr="006D2720">
        <w:rPr>
          <w:rFonts w:ascii="Times New Roman" w:hAnsi="Times New Roman" w:cs="Times New Roman"/>
        </w:rPr>
        <w:t xml:space="preserve">made it </w:t>
      </w:r>
      <w:r w:rsidR="00121F8D" w:rsidRPr="006D2720">
        <w:rPr>
          <w:rFonts w:ascii="Times New Roman" w:hAnsi="Times New Roman" w:cs="Times New Roman"/>
        </w:rPr>
        <w:t xml:space="preserve">clear that </w:t>
      </w:r>
      <w:r w:rsidR="007F4A3A" w:rsidRPr="006D2720">
        <w:rPr>
          <w:rFonts w:ascii="Times New Roman" w:hAnsi="Times New Roman" w:cs="Times New Roman"/>
        </w:rPr>
        <w:t>‘</w:t>
      </w:r>
      <w:r w:rsidR="00121F8D" w:rsidRPr="006D2720">
        <w:rPr>
          <w:rFonts w:ascii="Times New Roman" w:hAnsi="Times New Roman" w:cs="Times New Roman"/>
        </w:rPr>
        <w:t>relating to</w:t>
      </w:r>
      <w:r w:rsidR="007F4A3A" w:rsidRPr="006D2720">
        <w:rPr>
          <w:rFonts w:ascii="Times New Roman" w:hAnsi="Times New Roman" w:cs="Times New Roman"/>
        </w:rPr>
        <w:t xml:space="preserve">’ </w:t>
      </w:r>
      <w:r w:rsidR="00D05536" w:rsidRPr="006D2720">
        <w:rPr>
          <w:rFonts w:ascii="Times New Roman" w:hAnsi="Times New Roman" w:cs="Times New Roman"/>
        </w:rPr>
        <w:t xml:space="preserve">includes </w:t>
      </w:r>
      <w:r w:rsidR="001E2B05" w:rsidRPr="006D2720">
        <w:rPr>
          <w:rFonts w:ascii="Times New Roman" w:hAnsi="Times New Roman" w:cs="Times New Roman"/>
        </w:rPr>
        <w:t xml:space="preserve">where </w:t>
      </w:r>
      <w:r w:rsidR="00121F8D" w:rsidRPr="006D2720">
        <w:rPr>
          <w:rFonts w:ascii="Times New Roman" w:hAnsi="Times New Roman" w:cs="Times New Roman"/>
        </w:rPr>
        <w:t>the data relate</w:t>
      </w:r>
      <w:r w:rsidR="00CF5264" w:rsidRPr="006D2720">
        <w:rPr>
          <w:rFonts w:ascii="Times New Roman" w:hAnsi="Times New Roman" w:cs="Times New Roman"/>
        </w:rPr>
        <w:t xml:space="preserve">s to an individual </w:t>
      </w:r>
      <w:r w:rsidR="00121F8D" w:rsidRPr="006D2720">
        <w:rPr>
          <w:rFonts w:ascii="Times New Roman" w:hAnsi="Times New Roman" w:cs="Times New Roman"/>
        </w:rPr>
        <w:t xml:space="preserve">in terms of </w:t>
      </w:r>
      <w:r w:rsidR="008A3879" w:rsidRPr="006D2720">
        <w:rPr>
          <w:rFonts w:ascii="Times New Roman" w:hAnsi="Times New Roman" w:cs="Times New Roman"/>
        </w:rPr>
        <w:t xml:space="preserve">the </w:t>
      </w:r>
      <w:r w:rsidR="00121F8D" w:rsidRPr="006D2720">
        <w:rPr>
          <w:rFonts w:ascii="Times New Roman" w:hAnsi="Times New Roman" w:cs="Times New Roman"/>
        </w:rPr>
        <w:t>content, purpose</w:t>
      </w:r>
      <w:r w:rsidR="00EF78F8" w:rsidRPr="006D2720">
        <w:rPr>
          <w:rFonts w:ascii="Times New Roman" w:hAnsi="Times New Roman" w:cs="Times New Roman"/>
        </w:rPr>
        <w:t>,</w:t>
      </w:r>
      <w:r w:rsidR="00121F8D" w:rsidRPr="006D2720">
        <w:rPr>
          <w:rFonts w:ascii="Times New Roman" w:hAnsi="Times New Roman" w:cs="Times New Roman"/>
        </w:rPr>
        <w:t xml:space="preserve"> or result/effect</w:t>
      </w:r>
      <w:r w:rsidR="00141AB6" w:rsidRPr="006D2720">
        <w:rPr>
          <w:rFonts w:ascii="Times New Roman" w:hAnsi="Times New Roman" w:cs="Times New Roman"/>
        </w:rPr>
        <w:t xml:space="preserve"> of the data</w:t>
      </w:r>
      <w:r w:rsidR="00121F8D" w:rsidRPr="006D2720">
        <w:rPr>
          <w:rFonts w:ascii="Times New Roman" w:hAnsi="Times New Roman" w:cs="Times New Roman"/>
        </w:rPr>
        <w:t>.</w:t>
      </w:r>
      <w:r w:rsidR="00651F19" w:rsidRPr="006D2720">
        <w:rPr>
          <w:rStyle w:val="FootnoteReference"/>
          <w:rFonts w:ascii="Times New Roman" w:hAnsi="Times New Roman" w:cs="Times New Roman"/>
        </w:rPr>
        <w:footnoteReference w:id="71"/>
      </w:r>
    </w:p>
    <w:p w14:paraId="15F0F90B" w14:textId="77777777" w:rsidR="00596D74" w:rsidRPr="006D2720" w:rsidRDefault="00596D74">
      <w:pPr>
        <w:rPr>
          <w:rFonts w:ascii="Times New Roman" w:hAnsi="Times New Roman" w:cs="Times New Roman"/>
          <w:b/>
          <w:bCs/>
          <w:i/>
          <w:iCs/>
        </w:rPr>
      </w:pPr>
      <w:r w:rsidRPr="006D2720">
        <w:rPr>
          <w:rFonts w:ascii="Times New Roman" w:hAnsi="Times New Roman" w:cs="Times New Roman"/>
          <w:b/>
          <w:bCs/>
          <w:i/>
          <w:iCs/>
        </w:rPr>
        <w:br w:type="page"/>
      </w:r>
    </w:p>
    <w:p w14:paraId="1864B8B7" w14:textId="2FB6E160" w:rsidR="00546CD6" w:rsidRPr="006D2720" w:rsidRDefault="00AF6146" w:rsidP="007A4310">
      <w:pPr>
        <w:rPr>
          <w:rFonts w:ascii="Times New Roman" w:hAnsi="Times New Roman" w:cs="Times New Roman"/>
          <w:b/>
          <w:bCs/>
          <w:iCs/>
        </w:rPr>
      </w:pPr>
      <w:r w:rsidRPr="006D2720">
        <w:rPr>
          <w:rFonts w:ascii="Times New Roman" w:hAnsi="Times New Roman" w:cs="Times New Roman"/>
          <w:b/>
          <w:bCs/>
          <w:i/>
          <w:iCs/>
        </w:rPr>
        <w:t xml:space="preserve">Identity is </w:t>
      </w:r>
      <w:r w:rsidR="005F2464" w:rsidRPr="006D2720">
        <w:rPr>
          <w:rFonts w:ascii="Times New Roman" w:hAnsi="Times New Roman" w:cs="Times New Roman"/>
          <w:b/>
          <w:bCs/>
          <w:i/>
          <w:iCs/>
        </w:rPr>
        <w:t xml:space="preserve">‘reasonably </w:t>
      </w:r>
      <w:r w:rsidR="00546CD6" w:rsidRPr="006D2720">
        <w:rPr>
          <w:rFonts w:ascii="Times New Roman" w:hAnsi="Times New Roman" w:cs="Times New Roman"/>
          <w:b/>
          <w:bCs/>
          <w:i/>
          <w:iCs/>
        </w:rPr>
        <w:t>ascertainable</w:t>
      </w:r>
      <w:r w:rsidR="005F2464" w:rsidRPr="006D2720">
        <w:rPr>
          <w:rFonts w:ascii="Times New Roman" w:hAnsi="Times New Roman" w:cs="Times New Roman"/>
          <w:b/>
          <w:bCs/>
          <w:i/>
          <w:iCs/>
        </w:rPr>
        <w:t>’</w:t>
      </w:r>
      <w:r w:rsidR="00B770CC" w:rsidRPr="006D2720">
        <w:rPr>
          <w:rFonts w:ascii="Times New Roman" w:hAnsi="Times New Roman" w:cs="Times New Roman"/>
          <w:b/>
          <w:bCs/>
          <w:iCs/>
        </w:rPr>
        <w:t xml:space="preserve"> </w:t>
      </w:r>
    </w:p>
    <w:p w14:paraId="64B17C5A" w14:textId="770F3650" w:rsidR="00B77C67" w:rsidRPr="006D2720" w:rsidRDefault="00C54F9D" w:rsidP="00182866">
      <w:pPr>
        <w:pStyle w:val="Heading3"/>
        <w:rPr>
          <w:rFonts w:ascii="Times New Roman" w:hAnsi="Times New Roman" w:cs="Times New Roman"/>
        </w:rPr>
      </w:pPr>
      <w:r w:rsidRPr="006D2720">
        <w:rPr>
          <w:rFonts w:ascii="Times New Roman" w:hAnsi="Times New Roman" w:cs="Times New Roman"/>
        </w:rPr>
        <w:t>P</w:t>
      </w:r>
      <w:r w:rsidR="00B21BB9" w:rsidRPr="006D2720">
        <w:rPr>
          <w:rFonts w:ascii="Times New Roman" w:hAnsi="Times New Roman" w:cs="Times New Roman"/>
        </w:rPr>
        <w:t xml:space="preserve">ersonal information </w:t>
      </w:r>
      <w:r w:rsidRPr="006D2720">
        <w:rPr>
          <w:rFonts w:ascii="Times New Roman" w:hAnsi="Times New Roman" w:cs="Times New Roman"/>
        </w:rPr>
        <w:t xml:space="preserve">can include information which </w:t>
      </w:r>
      <w:r w:rsidR="003C1D92" w:rsidRPr="006D2720">
        <w:rPr>
          <w:rFonts w:ascii="Times New Roman" w:hAnsi="Times New Roman" w:cs="Times New Roman"/>
        </w:rPr>
        <w:t>does not</w:t>
      </w:r>
      <w:r w:rsidRPr="006D2720">
        <w:rPr>
          <w:rFonts w:ascii="Times New Roman" w:hAnsi="Times New Roman" w:cs="Times New Roman"/>
        </w:rPr>
        <w:t xml:space="preserve"> name or identify the person directly, but </w:t>
      </w:r>
      <w:r w:rsidR="00AD2C71" w:rsidRPr="006D2720">
        <w:rPr>
          <w:rFonts w:ascii="Times New Roman" w:hAnsi="Times New Roman" w:cs="Times New Roman"/>
        </w:rPr>
        <w:t>where the person’s identity</w:t>
      </w:r>
      <w:r w:rsidRPr="006D2720">
        <w:rPr>
          <w:rFonts w:ascii="Times New Roman" w:hAnsi="Times New Roman" w:cs="Times New Roman"/>
        </w:rPr>
        <w:t xml:space="preserve"> is </w:t>
      </w:r>
      <w:r w:rsidR="00B21BB9" w:rsidRPr="006D2720">
        <w:rPr>
          <w:rFonts w:ascii="Times New Roman" w:hAnsi="Times New Roman" w:cs="Times New Roman"/>
        </w:rPr>
        <w:t>‘reasonably ascertainable’</w:t>
      </w:r>
      <w:r w:rsidRPr="006D2720">
        <w:rPr>
          <w:rFonts w:ascii="Times New Roman" w:hAnsi="Times New Roman" w:cs="Times New Roman"/>
        </w:rPr>
        <w:t xml:space="preserve"> when combined with other information</w:t>
      </w:r>
      <w:r w:rsidR="009B4EE3" w:rsidRPr="006D2720">
        <w:rPr>
          <w:rFonts w:ascii="Times New Roman" w:hAnsi="Times New Roman" w:cs="Times New Roman"/>
        </w:rPr>
        <w:t xml:space="preserve">. </w:t>
      </w:r>
      <w:r w:rsidR="00071AE9" w:rsidRPr="006D2720">
        <w:rPr>
          <w:rFonts w:ascii="Times New Roman" w:hAnsi="Times New Roman" w:cs="Times New Roman"/>
        </w:rPr>
        <w:t xml:space="preserve">There is no definition of ‘reasonably ascertainable’ in either the PIPA, judicial interpretations, or guidance by the Tasmanian Ombudsman. </w:t>
      </w:r>
    </w:p>
    <w:p w14:paraId="10521C8D" w14:textId="7B4E6B8C" w:rsidR="00B770CC" w:rsidRPr="006D2720" w:rsidRDefault="0046610C" w:rsidP="00CA1A69">
      <w:pPr>
        <w:pStyle w:val="Heading3"/>
        <w:rPr>
          <w:rFonts w:ascii="Times New Roman" w:hAnsi="Times New Roman" w:cs="Times New Roman"/>
        </w:rPr>
      </w:pPr>
      <w:bookmarkStart w:id="184" w:name="_Toc91536443"/>
      <w:bookmarkStart w:id="185" w:name="_Toc91536444"/>
      <w:bookmarkEnd w:id="184"/>
      <w:bookmarkEnd w:id="185"/>
      <w:r w:rsidRPr="006D2720">
        <w:rPr>
          <w:rFonts w:ascii="Times New Roman" w:hAnsi="Times New Roman" w:cs="Times New Roman"/>
        </w:rPr>
        <w:t>T</w:t>
      </w:r>
      <w:r w:rsidR="009A7219" w:rsidRPr="006D2720">
        <w:rPr>
          <w:rFonts w:ascii="Times New Roman" w:hAnsi="Times New Roman" w:cs="Times New Roman"/>
        </w:rPr>
        <w:t>he Commonwealth definition</w:t>
      </w:r>
      <w:r w:rsidR="001F2DCB" w:rsidRPr="006D2720">
        <w:rPr>
          <w:rFonts w:ascii="Times New Roman" w:hAnsi="Times New Roman" w:cs="Times New Roman"/>
        </w:rPr>
        <w:t xml:space="preserve"> of personal information</w:t>
      </w:r>
      <w:r w:rsidRPr="006D2720">
        <w:rPr>
          <w:rFonts w:ascii="Times New Roman" w:hAnsi="Times New Roman" w:cs="Times New Roman"/>
        </w:rPr>
        <w:t xml:space="preserve"> uses </w:t>
      </w:r>
      <w:r w:rsidR="006C2F10" w:rsidRPr="006D2720">
        <w:rPr>
          <w:rFonts w:ascii="Times New Roman" w:hAnsi="Times New Roman" w:cs="Times New Roman"/>
        </w:rPr>
        <w:t xml:space="preserve">the term ‘reasonably identifiable’. </w:t>
      </w:r>
      <w:r w:rsidR="004C6DF0" w:rsidRPr="006D2720">
        <w:rPr>
          <w:rFonts w:ascii="Times New Roman" w:hAnsi="Times New Roman" w:cs="Times New Roman"/>
        </w:rPr>
        <w:t>G</w:t>
      </w:r>
      <w:r w:rsidR="00B770CC" w:rsidRPr="006D2720">
        <w:rPr>
          <w:rFonts w:ascii="Times New Roman" w:hAnsi="Times New Roman" w:cs="Times New Roman"/>
        </w:rPr>
        <w:t xml:space="preserve">uidance </w:t>
      </w:r>
      <w:r w:rsidR="004C6DF0" w:rsidRPr="006D2720">
        <w:rPr>
          <w:rFonts w:ascii="Times New Roman" w:hAnsi="Times New Roman" w:cs="Times New Roman"/>
        </w:rPr>
        <w:t xml:space="preserve">from the </w:t>
      </w:r>
      <w:r w:rsidR="007626A9" w:rsidRPr="006D2720">
        <w:rPr>
          <w:rFonts w:ascii="Times New Roman" w:hAnsi="Times New Roman" w:cs="Times New Roman"/>
        </w:rPr>
        <w:t>OAIC</w:t>
      </w:r>
      <w:r w:rsidR="004C6DF0" w:rsidRPr="006D2720">
        <w:rPr>
          <w:rFonts w:ascii="Times New Roman" w:hAnsi="Times New Roman" w:cs="Times New Roman"/>
        </w:rPr>
        <w:t xml:space="preserve"> </w:t>
      </w:r>
      <w:r w:rsidR="00B770CC" w:rsidRPr="006D2720">
        <w:rPr>
          <w:rFonts w:ascii="Times New Roman" w:hAnsi="Times New Roman" w:cs="Times New Roman"/>
        </w:rPr>
        <w:t>emphasises that ‘reasonably identifiable’ allows reference to:</w:t>
      </w:r>
    </w:p>
    <w:p w14:paraId="391E0B7D" w14:textId="77777777" w:rsidR="00B770CC" w:rsidRPr="006D2720" w:rsidRDefault="00B770CC" w:rsidP="00CA1A69">
      <w:pPr>
        <w:pStyle w:val="Dotpointlist"/>
        <w:rPr>
          <w:rFonts w:ascii="Times New Roman" w:hAnsi="Times New Roman" w:cs="Times New Roman"/>
        </w:rPr>
      </w:pPr>
      <w:r w:rsidRPr="006D2720">
        <w:rPr>
          <w:rFonts w:ascii="Times New Roman" w:hAnsi="Times New Roman" w:cs="Times New Roman"/>
        </w:rPr>
        <w:t>the nature and amount of information that might be available;</w:t>
      </w:r>
    </w:p>
    <w:p w14:paraId="50AB9213" w14:textId="77777777" w:rsidR="00B770CC" w:rsidRPr="006D2720" w:rsidRDefault="00B770CC" w:rsidP="00CA1A69">
      <w:pPr>
        <w:pStyle w:val="Dotpointlist"/>
        <w:rPr>
          <w:rFonts w:ascii="Times New Roman" w:hAnsi="Times New Roman" w:cs="Times New Roman"/>
        </w:rPr>
      </w:pPr>
      <w:r w:rsidRPr="006D2720">
        <w:rPr>
          <w:rFonts w:ascii="Times New Roman" w:hAnsi="Times New Roman" w:cs="Times New Roman"/>
        </w:rPr>
        <w:t xml:space="preserve">the range of persons who might have access to the information in question; and </w:t>
      </w:r>
    </w:p>
    <w:p w14:paraId="610FD0AC" w14:textId="38723491" w:rsidR="00B770CC" w:rsidRPr="006D2720" w:rsidRDefault="00B770CC" w:rsidP="00CE663B">
      <w:pPr>
        <w:pStyle w:val="Dotpointlist"/>
        <w:rPr>
          <w:rFonts w:ascii="Times New Roman" w:hAnsi="Times New Roman" w:cs="Times New Roman"/>
        </w:rPr>
      </w:pPr>
      <w:r w:rsidRPr="006D2720">
        <w:rPr>
          <w:rFonts w:ascii="Times New Roman" w:hAnsi="Times New Roman" w:cs="Times New Roman"/>
        </w:rPr>
        <w:t>the practicality of using that information to identify the individual.</w:t>
      </w:r>
      <w:r w:rsidRPr="006D2720">
        <w:rPr>
          <w:rStyle w:val="FootnoteReference"/>
          <w:rFonts w:ascii="Times New Roman" w:hAnsi="Times New Roman" w:cs="Times New Roman"/>
        </w:rPr>
        <w:footnoteReference w:id="72"/>
      </w:r>
      <w:r w:rsidRPr="006D2720">
        <w:rPr>
          <w:rFonts w:ascii="Times New Roman" w:hAnsi="Times New Roman" w:cs="Times New Roman"/>
        </w:rPr>
        <w:t xml:space="preserve"> </w:t>
      </w:r>
    </w:p>
    <w:p w14:paraId="73BB47BC" w14:textId="435A689B" w:rsidR="00B910C7" w:rsidRPr="006D2720" w:rsidRDefault="00101FBC" w:rsidP="00875735">
      <w:pPr>
        <w:pStyle w:val="Heading3"/>
        <w:rPr>
          <w:rFonts w:ascii="Times New Roman" w:hAnsi="Times New Roman" w:cs="Times New Roman"/>
        </w:rPr>
      </w:pPr>
      <w:r w:rsidRPr="006D2720">
        <w:rPr>
          <w:rFonts w:ascii="Times New Roman" w:hAnsi="Times New Roman" w:cs="Times New Roman"/>
        </w:rPr>
        <w:t>However</w:t>
      </w:r>
      <w:r w:rsidR="00B910C7" w:rsidRPr="006D2720">
        <w:rPr>
          <w:rFonts w:ascii="Times New Roman" w:hAnsi="Times New Roman" w:cs="Times New Roman"/>
        </w:rPr>
        <w:t>, it is generally accepted that neither anonymous nor, importantly, pseudonymous data are included in the definition of personal information</w:t>
      </w:r>
      <w:r w:rsidR="00BF00E3" w:rsidRPr="006D2720">
        <w:rPr>
          <w:rFonts w:ascii="Times New Roman" w:hAnsi="Times New Roman" w:cs="Times New Roman"/>
        </w:rPr>
        <w:t>.</w:t>
      </w:r>
      <w:bookmarkStart w:id="186" w:name="_Ref129284621"/>
      <w:r w:rsidR="00BF00E3" w:rsidRPr="006D2720">
        <w:rPr>
          <w:rStyle w:val="FootnoteReference"/>
          <w:rFonts w:ascii="Times New Roman" w:hAnsi="Times New Roman" w:cs="Times New Roman"/>
        </w:rPr>
        <w:footnoteReference w:id="73"/>
      </w:r>
      <w:bookmarkEnd w:id="186"/>
      <w:r w:rsidR="00B910C7" w:rsidRPr="006D2720">
        <w:rPr>
          <w:rFonts w:ascii="Times New Roman" w:hAnsi="Times New Roman" w:cs="Times New Roman"/>
        </w:rPr>
        <w:t xml:space="preserve"> Again</w:t>
      </w:r>
      <w:r w:rsidR="00875735" w:rsidRPr="006D2720">
        <w:rPr>
          <w:rFonts w:ascii="Times New Roman" w:hAnsi="Times New Roman" w:cs="Times New Roman"/>
        </w:rPr>
        <w:t>,</w:t>
      </w:r>
      <w:r w:rsidR="00B910C7" w:rsidRPr="006D2720">
        <w:rPr>
          <w:rFonts w:ascii="Times New Roman" w:hAnsi="Times New Roman" w:cs="Times New Roman"/>
        </w:rPr>
        <w:t xml:space="preserve"> in contrast, the Court of Justice of the European Union’s interpretation of the ‘identifiability’ of information appears broader and this is also reflected in the provisions of the Regulation with the specific inclusion of pseudonymous data as personal data in </w:t>
      </w:r>
      <w:r w:rsidR="00241563" w:rsidRPr="006D2720">
        <w:rPr>
          <w:rFonts w:ascii="Times New Roman" w:hAnsi="Times New Roman" w:cs="Times New Roman"/>
        </w:rPr>
        <w:t>a</w:t>
      </w:r>
      <w:r w:rsidR="00B910C7" w:rsidRPr="006D2720">
        <w:rPr>
          <w:rFonts w:ascii="Times New Roman" w:hAnsi="Times New Roman" w:cs="Times New Roman"/>
        </w:rPr>
        <w:t>rticle 4(5) of the GDPR.</w:t>
      </w:r>
      <w:r w:rsidR="00B910C7" w:rsidRPr="006D2720">
        <w:rPr>
          <w:rStyle w:val="FootnoteReference"/>
          <w:rFonts w:ascii="Times New Roman" w:hAnsi="Times New Roman" w:cs="Times New Roman"/>
        </w:rPr>
        <w:footnoteReference w:id="74"/>
      </w:r>
    </w:p>
    <w:p w14:paraId="14CB2DA7" w14:textId="77777777" w:rsidR="00B910C7" w:rsidRPr="006D2720" w:rsidRDefault="00B910C7" w:rsidP="00B910C7">
      <w:pPr>
        <w:pStyle w:val="Heading3"/>
        <w:rPr>
          <w:rFonts w:ascii="Times New Roman" w:hAnsi="Times New Roman" w:cs="Times New Roman"/>
        </w:rPr>
      </w:pPr>
      <w:r w:rsidRPr="006D2720">
        <w:rPr>
          <w:rFonts w:ascii="Times New Roman" w:hAnsi="Times New Roman" w:cs="Times New Roman"/>
        </w:rPr>
        <w:t xml:space="preserve">No matter how the term is precisely defined, this Issues Paper observes that modern technology may make it easier to draw connections to identity, due to increasingly sophisticated forms of analysis and increased access to other sources of personal information. </w:t>
      </w:r>
    </w:p>
    <w:p w14:paraId="10577658" w14:textId="36158C7C" w:rsidR="005F2464" w:rsidRPr="006D2720" w:rsidRDefault="005F2464" w:rsidP="00CA1A69">
      <w:pPr>
        <w:rPr>
          <w:rFonts w:ascii="Times New Roman" w:hAnsi="Times New Roman" w:cs="Times New Roman"/>
          <w:b/>
          <w:bCs/>
          <w:i/>
          <w:iCs/>
        </w:rPr>
      </w:pPr>
      <w:r w:rsidRPr="006D2720">
        <w:rPr>
          <w:rFonts w:ascii="Times New Roman" w:hAnsi="Times New Roman" w:cs="Times New Roman"/>
          <w:b/>
          <w:bCs/>
          <w:i/>
          <w:iCs/>
        </w:rPr>
        <w:t>De-identification</w:t>
      </w:r>
      <w:r w:rsidR="00507F84" w:rsidRPr="006D2720">
        <w:rPr>
          <w:rFonts w:ascii="Times New Roman" w:hAnsi="Times New Roman" w:cs="Times New Roman"/>
          <w:b/>
          <w:bCs/>
          <w:i/>
          <w:iCs/>
        </w:rPr>
        <w:t xml:space="preserve"> and pseudonymisation</w:t>
      </w:r>
    </w:p>
    <w:p w14:paraId="14DC3904" w14:textId="0D81719B" w:rsidR="001F2DCB" w:rsidRPr="006D2720" w:rsidRDefault="00554BA9" w:rsidP="001F2DCB">
      <w:pPr>
        <w:pStyle w:val="Heading3"/>
        <w:rPr>
          <w:rFonts w:ascii="Times New Roman" w:hAnsi="Times New Roman" w:cs="Times New Roman"/>
        </w:rPr>
      </w:pPr>
      <w:bookmarkStart w:id="187" w:name="_Ref91829188"/>
      <w:r w:rsidRPr="006D2720">
        <w:rPr>
          <w:rFonts w:ascii="Times New Roman" w:hAnsi="Times New Roman" w:cs="Times New Roman"/>
        </w:rPr>
        <w:t xml:space="preserve">In </w:t>
      </w:r>
      <w:r w:rsidR="00813A9B" w:rsidRPr="006D2720">
        <w:rPr>
          <w:rFonts w:ascii="Times New Roman" w:hAnsi="Times New Roman" w:cs="Times New Roman"/>
        </w:rPr>
        <w:t xml:space="preserve">relation to the </w:t>
      </w:r>
      <w:r w:rsidRPr="006D2720">
        <w:rPr>
          <w:rFonts w:ascii="Times New Roman" w:hAnsi="Times New Roman" w:cs="Times New Roman"/>
        </w:rPr>
        <w:t xml:space="preserve">ability to identify </w:t>
      </w:r>
      <w:r w:rsidR="007D10F1" w:rsidRPr="006D2720">
        <w:rPr>
          <w:rFonts w:ascii="Times New Roman" w:hAnsi="Times New Roman" w:cs="Times New Roman"/>
        </w:rPr>
        <w:t>the individual</w:t>
      </w:r>
      <w:r w:rsidR="00E61CB6" w:rsidRPr="006D2720">
        <w:rPr>
          <w:rFonts w:ascii="Times New Roman" w:hAnsi="Times New Roman" w:cs="Times New Roman"/>
        </w:rPr>
        <w:t>, t</w:t>
      </w:r>
      <w:r w:rsidR="001F2DCB" w:rsidRPr="006D2720">
        <w:rPr>
          <w:rFonts w:ascii="Times New Roman" w:hAnsi="Times New Roman" w:cs="Times New Roman"/>
        </w:rPr>
        <w:t xml:space="preserve">he PIPPs also include obligations to permanently de-identify personal information if it is no longer needed for any purpose (PIPP 4(2)) or before disclosing certain health information (PIPP 10(5)). However, it is </w:t>
      </w:r>
      <w:r w:rsidR="000D6921" w:rsidRPr="006D2720">
        <w:rPr>
          <w:rFonts w:ascii="Times New Roman" w:hAnsi="Times New Roman" w:cs="Times New Roman"/>
        </w:rPr>
        <w:t>uncl</w:t>
      </w:r>
      <w:r w:rsidR="001F2DCB" w:rsidRPr="006D2720">
        <w:rPr>
          <w:rFonts w:ascii="Times New Roman" w:hAnsi="Times New Roman" w:cs="Times New Roman"/>
        </w:rPr>
        <w:t xml:space="preserve">ear </w:t>
      </w:r>
      <w:r w:rsidR="007B00EB" w:rsidRPr="006D2720">
        <w:rPr>
          <w:rFonts w:ascii="Times New Roman" w:hAnsi="Times New Roman" w:cs="Times New Roman"/>
        </w:rPr>
        <w:t xml:space="preserve">what </w:t>
      </w:r>
      <w:r w:rsidR="000D6921" w:rsidRPr="006D2720">
        <w:rPr>
          <w:rFonts w:ascii="Times New Roman" w:hAnsi="Times New Roman" w:cs="Times New Roman"/>
        </w:rPr>
        <w:t>extent of</w:t>
      </w:r>
      <w:r w:rsidR="002C54C0" w:rsidRPr="006D2720">
        <w:rPr>
          <w:rFonts w:ascii="Times New Roman" w:hAnsi="Times New Roman" w:cs="Times New Roman"/>
        </w:rPr>
        <w:t xml:space="preserve"> de</w:t>
      </w:r>
      <w:r w:rsidR="000D6921" w:rsidRPr="006D2720">
        <w:rPr>
          <w:rFonts w:ascii="Times New Roman" w:hAnsi="Times New Roman" w:cs="Times New Roman"/>
        </w:rPr>
        <w:t>-</w:t>
      </w:r>
      <w:r w:rsidR="002C54C0" w:rsidRPr="006D2720">
        <w:rPr>
          <w:rFonts w:ascii="Times New Roman" w:hAnsi="Times New Roman" w:cs="Times New Roman"/>
        </w:rPr>
        <w:t>identifi</w:t>
      </w:r>
      <w:r w:rsidR="000D6921" w:rsidRPr="006D2720">
        <w:rPr>
          <w:rFonts w:ascii="Times New Roman" w:hAnsi="Times New Roman" w:cs="Times New Roman"/>
        </w:rPr>
        <w:t xml:space="preserve">cation </w:t>
      </w:r>
      <w:r w:rsidR="007B00EB" w:rsidRPr="006D2720">
        <w:rPr>
          <w:rFonts w:ascii="Times New Roman" w:hAnsi="Times New Roman" w:cs="Times New Roman"/>
        </w:rPr>
        <w:t xml:space="preserve">is </w:t>
      </w:r>
      <w:r w:rsidR="000D6921" w:rsidRPr="006D2720">
        <w:rPr>
          <w:rFonts w:ascii="Times New Roman" w:hAnsi="Times New Roman" w:cs="Times New Roman"/>
        </w:rPr>
        <w:t>required</w:t>
      </w:r>
      <w:r w:rsidR="00241563" w:rsidRPr="006D2720">
        <w:rPr>
          <w:rFonts w:ascii="Times New Roman" w:hAnsi="Times New Roman" w:cs="Times New Roman"/>
        </w:rPr>
        <w:softHyphen/>
        <w:t>—</w:t>
      </w:r>
      <w:r w:rsidR="002C54C0" w:rsidRPr="006D2720">
        <w:rPr>
          <w:rFonts w:ascii="Times New Roman" w:hAnsi="Times New Roman" w:cs="Times New Roman"/>
        </w:rPr>
        <w:t xml:space="preserve">whether it requires </w:t>
      </w:r>
      <w:r w:rsidR="001F2DCB" w:rsidRPr="006D2720">
        <w:rPr>
          <w:rFonts w:ascii="Times New Roman" w:hAnsi="Times New Roman" w:cs="Times New Roman"/>
        </w:rPr>
        <w:t xml:space="preserve">that it be no longer technically possible to identify the person at all, or whether it </w:t>
      </w:r>
      <w:r w:rsidR="00DB430C" w:rsidRPr="006D2720">
        <w:rPr>
          <w:rFonts w:ascii="Times New Roman" w:hAnsi="Times New Roman" w:cs="Times New Roman"/>
        </w:rPr>
        <w:t xml:space="preserve">only </w:t>
      </w:r>
      <w:r w:rsidR="001F2DCB" w:rsidRPr="006D2720">
        <w:rPr>
          <w:rFonts w:ascii="Times New Roman" w:hAnsi="Times New Roman" w:cs="Times New Roman"/>
        </w:rPr>
        <w:t>requires</w:t>
      </w:r>
      <w:r w:rsidR="00DB430C" w:rsidRPr="006D2720">
        <w:rPr>
          <w:rFonts w:ascii="Times New Roman" w:hAnsi="Times New Roman" w:cs="Times New Roman"/>
        </w:rPr>
        <w:t xml:space="preserve"> </w:t>
      </w:r>
      <w:r w:rsidR="001F2DCB" w:rsidRPr="006D2720">
        <w:rPr>
          <w:rFonts w:ascii="Times New Roman" w:hAnsi="Times New Roman" w:cs="Times New Roman"/>
        </w:rPr>
        <w:t>that the identity of the person be no longer ‘reasonably ascertainable’.</w:t>
      </w:r>
      <w:bookmarkEnd w:id="187"/>
    </w:p>
    <w:p w14:paraId="4D03496E" w14:textId="16D79FC1" w:rsidR="00143039" w:rsidRPr="006D2720" w:rsidRDefault="00814568" w:rsidP="0066337D">
      <w:pPr>
        <w:pStyle w:val="Heading3"/>
        <w:rPr>
          <w:rFonts w:ascii="Times New Roman" w:hAnsi="Times New Roman" w:cs="Times New Roman"/>
        </w:rPr>
      </w:pPr>
      <w:r w:rsidRPr="006D2720">
        <w:rPr>
          <w:rFonts w:ascii="Times New Roman" w:hAnsi="Times New Roman" w:cs="Times New Roman"/>
        </w:rPr>
        <w:t>Under</w:t>
      </w:r>
      <w:r w:rsidR="00ED331F" w:rsidRPr="006D2720">
        <w:rPr>
          <w:rFonts w:ascii="Times New Roman" w:hAnsi="Times New Roman" w:cs="Times New Roman"/>
        </w:rPr>
        <w:t xml:space="preserve"> Commonwealth</w:t>
      </w:r>
      <w:r w:rsidRPr="006D2720">
        <w:rPr>
          <w:rFonts w:ascii="Times New Roman" w:hAnsi="Times New Roman" w:cs="Times New Roman"/>
        </w:rPr>
        <w:t xml:space="preserve"> law</w:t>
      </w:r>
      <w:r w:rsidR="00ED331F" w:rsidRPr="006D2720">
        <w:rPr>
          <w:rFonts w:ascii="Times New Roman" w:hAnsi="Times New Roman" w:cs="Times New Roman"/>
        </w:rPr>
        <w:t>, personal information is de‑identified ‘if the information is no longer about an identifiable individual or an individual who is reasonably identifiable’.</w:t>
      </w:r>
      <w:r w:rsidR="00ED331F" w:rsidRPr="006D2720">
        <w:rPr>
          <w:rStyle w:val="FootnoteReference"/>
          <w:rFonts w:ascii="Times New Roman" w:hAnsi="Times New Roman" w:cs="Times New Roman"/>
        </w:rPr>
        <w:footnoteReference w:id="75"/>
      </w:r>
      <w:r w:rsidR="00ED331F" w:rsidRPr="006D2720">
        <w:rPr>
          <w:rFonts w:ascii="Times New Roman" w:hAnsi="Times New Roman" w:cs="Times New Roman"/>
        </w:rPr>
        <w:t xml:space="preserve"> </w:t>
      </w:r>
      <w:r w:rsidR="00A91232" w:rsidRPr="006D2720">
        <w:rPr>
          <w:rFonts w:ascii="Times New Roman" w:hAnsi="Times New Roman" w:cs="Times New Roman"/>
        </w:rPr>
        <w:t xml:space="preserve">For the purposes of the </w:t>
      </w:r>
      <w:r w:rsidRPr="006D2720">
        <w:rPr>
          <w:rFonts w:ascii="Times New Roman" w:hAnsi="Times New Roman" w:cs="Times New Roman"/>
        </w:rPr>
        <w:t>Privacy Act</w:t>
      </w:r>
      <w:r w:rsidR="00A91232" w:rsidRPr="006D2720">
        <w:rPr>
          <w:rFonts w:ascii="Times New Roman" w:hAnsi="Times New Roman" w:cs="Times New Roman"/>
        </w:rPr>
        <w:t xml:space="preserve">, </w:t>
      </w:r>
      <w:bookmarkStart w:id="188" w:name="_Ref90068520"/>
      <w:r w:rsidR="006F3E1A" w:rsidRPr="006D2720">
        <w:rPr>
          <w:rFonts w:ascii="Times New Roman" w:hAnsi="Times New Roman" w:cs="Times New Roman"/>
        </w:rPr>
        <w:t xml:space="preserve">de-identified information is </w:t>
      </w:r>
      <w:r w:rsidR="00AB4B56" w:rsidRPr="006D2720">
        <w:rPr>
          <w:rFonts w:ascii="Times New Roman" w:hAnsi="Times New Roman" w:cs="Times New Roman"/>
        </w:rPr>
        <w:t>no longer ‘</w:t>
      </w:r>
      <w:r w:rsidR="006F3E1A" w:rsidRPr="006D2720">
        <w:rPr>
          <w:rFonts w:ascii="Times New Roman" w:hAnsi="Times New Roman" w:cs="Times New Roman"/>
        </w:rPr>
        <w:t>personal</w:t>
      </w:r>
      <w:r w:rsidR="00B93175" w:rsidRPr="006D2720">
        <w:rPr>
          <w:rFonts w:ascii="Times New Roman" w:hAnsi="Times New Roman" w:cs="Times New Roman"/>
        </w:rPr>
        <w:t xml:space="preserve"> information</w:t>
      </w:r>
      <w:r w:rsidR="00AB4B56" w:rsidRPr="006D2720">
        <w:rPr>
          <w:rFonts w:ascii="Times New Roman" w:hAnsi="Times New Roman" w:cs="Times New Roman"/>
        </w:rPr>
        <w:t>’</w:t>
      </w:r>
      <w:r w:rsidR="00B93175" w:rsidRPr="006D2720">
        <w:rPr>
          <w:rFonts w:ascii="Times New Roman" w:hAnsi="Times New Roman" w:cs="Times New Roman"/>
        </w:rPr>
        <w:t>.</w:t>
      </w:r>
      <w:r w:rsidR="00CA6C13" w:rsidRPr="006D2720">
        <w:rPr>
          <w:rFonts w:ascii="Times New Roman" w:hAnsi="Times New Roman" w:cs="Times New Roman"/>
        </w:rPr>
        <w:t xml:space="preserve"> </w:t>
      </w:r>
      <w:r w:rsidR="00A91232" w:rsidRPr="006D2720">
        <w:rPr>
          <w:rFonts w:ascii="Times New Roman" w:hAnsi="Times New Roman" w:cs="Times New Roman"/>
        </w:rPr>
        <w:t xml:space="preserve">It is </w:t>
      </w:r>
      <w:r w:rsidR="00CA6C13" w:rsidRPr="006D2720">
        <w:rPr>
          <w:rFonts w:ascii="Times New Roman" w:hAnsi="Times New Roman" w:cs="Times New Roman"/>
        </w:rPr>
        <w:t>therefore generally not subject to the protection of the APPs, even though it may be technically possible to identify the individual concerned</w:t>
      </w:r>
      <w:r w:rsidR="006805B9" w:rsidRPr="006D2720">
        <w:rPr>
          <w:rFonts w:ascii="Times New Roman" w:hAnsi="Times New Roman" w:cs="Times New Roman"/>
        </w:rPr>
        <w:t>, particularly if the information is</w:t>
      </w:r>
      <w:r w:rsidR="00177EFF" w:rsidRPr="006D2720">
        <w:rPr>
          <w:rFonts w:ascii="Times New Roman" w:hAnsi="Times New Roman" w:cs="Times New Roman"/>
        </w:rPr>
        <w:t xml:space="preserve"> made available to others</w:t>
      </w:r>
      <w:r w:rsidR="00F760B5" w:rsidRPr="006D2720">
        <w:rPr>
          <w:rFonts w:ascii="Times New Roman" w:hAnsi="Times New Roman" w:cs="Times New Roman"/>
        </w:rPr>
        <w:t xml:space="preserve"> or </w:t>
      </w:r>
      <w:r w:rsidR="006805B9" w:rsidRPr="006D2720">
        <w:rPr>
          <w:rFonts w:ascii="Times New Roman" w:hAnsi="Times New Roman" w:cs="Times New Roman"/>
        </w:rPr>
        <w:t>released publicly</w:t>
      </w:r>
      <w:r w:rsidR="00CA6C13" w:rsidRPr="006D2720">
        <w:rPr>
          <w:rFonts w:ascii="Times New Roman" w:hAnsi="Times New Roman" w:cs="Times New Roman"/>
        </w:rPr>
        <w:t xml:space="preserve"> such as </w:t>
      </w:r>
      <w:r w:rsidR="006805B9" w:rsidRPr="006D2720">
        <w:rPr>
          <w:rFonts w:ascii="Times New Roman" w:hAnsi="Times New Roman" w:cs="Times New Roman"/>
        </w:rPr>
        <w:t>through a data breach.</w:t>
      </w:r>
      <w:r w:rsidR="00811E83" w:rsidRPr="006D2720">
        <w:rPr>
          <w:rFonts w:ascii="Times New Roman" w:hAnsi="Times New Roman" w:cs="Times New Roman"/>
        </w:rPr>
        <w:t xml:space="preserve"> </w:t>
      </w:r>
      <w:bookmarkEnd w:id="188"/>
    </w:p>
    <w:p w14:paraId="699533ED" w14:textId="77777777" w:rsidR="008B18B4" w:rsidRPr="006D2720" w:rsidRDefault="00CA6C13" w:rsidP="00182866">
      <w:pPr>
        <w:pStyle w:val="Heading3"/>
        <w:rPr>
          <w:rFonts w:ascii="Times New Roman" w:hAnsi="Times New Roman" w:cs="Times New Roman"/>
        </w:rPr>
      </w:pPr>
      <w:bookmarkStart w:id="189" w:name="_Ref89684688"/>
      <w:r w:rsidRPr="006D2720">
        <w:rPr>
          <w:rFonts w:ascii="Times New Roman" w:hAnsi="Times New Roman" w:cs="Times New Roman"/>
        </w:rPr>
        <w:t xml:space="preserve">The possibility of de-identified information being re-identified </w:t>
      </w:r>
      <w:r w:rsidR="00322632" w:rsidRPr="006D2720">
        <w:rPr>
          <w:rFonts w:ascii="Times New Roman" w:hAnsi="Times New Roman" w:cs="Times New Roman"/>
        </w:rPr>
        <w:t>with the help of</w:t>
      </w:r>
      <w:r w:rsidR="00CD495E" w:rsidRPr="006D2720">
        <w:rPr>
          <w:rFonts w:ascii="Times New Roman" w:hAnsi="Times New Roman" w:cs="Times New Roman"/>
        </w:rPr>
        <w:t xml:space="preserve"> additional information </w:t>
      </w:r>
      <w:r w:rsidRPr="006D2720">
        <w:rPr>
          <w:rFonts w:ascii="Times New Roman" w:hAnsi="Times New Roman" w:cs="Times New Roman"/>
        </w:rPr>
        <w:t xml:space="preserve">is </w:t>
      </w:r>
      <w:r w:rsidR="00DC4F3C" w:rsidRPr="006D2720">
        <w:rPr>
          <w:rFonts w:ascii="Times New Roman" w:hAnsi="Times New Roman" w:cs="Times New Roman"/>
        </w:rPr>
        <w:t>covered</w:t>
      </w:r>
      <w:r w:rsidRPr="006D2720">
        <w:rPr>
          <w:rFonts w:ascii="Times New Roman" w:hAnsi="Times New Roman" w:cs="Times New Roman"/>
        </w:rPr>
        <w:t xml:space="preserve"> in the </w:t>
      </w:r>
      <w:r w:rsidR="00CA5ED4" w:rsidRPr="006D2720">
        <w:rPr>
          <w:rFonts w:ascii="Times New Roman" w:hAnsi="Times New Roman" w:cs="Times New Roman"/>
        </w:rPr>
        <w:t xml:space="preserve">GDPR. </w:t>
      </w:r>
      <w:r w:rsidR="00F8314A" w:rsidRPr="006D2720">
        <w:rPr>
          <w:rFonts w:ascii="Times New Roman" w:hAnsi="Times New Roman" w:cs="Times New Roman"/>
        </w:rPr>
        <w:t>‘Personal data’ is defined in the GDPR as ‘any information relating to an identified or identifiable natural person</w:t>
      </w:r>
      <w:r w:rsidR="008A70C9" w:rsidRPr="006D2720">
        <w:rPr>
          <w:rFonts w:ascii="Times New Roman" w:hAnsi="Times New Roman" w:cs="Times New Roman"/>
        </w:rPr>
        <w:t xml:space="preserve"> (‘data subject’)</w:t>
      </w:r>
      <w:r w:rsidR="00F8314A" w:rsidRPr="006D2720">
        <w:rPr>
          <w:rFonts w:ascii="Times New Roman" w:hAnsi="Times New Roman" w:cs="Times New Roman"/>
        </w:rPr>
        <w:t xml:space="preserve">’. </w:t>
      </w:r>
      <w:r w:rsidR="00E81745" w:rsidRPr="006D2720">
        <w:rPr>
          <w:rFonts w:ascii="Times New Roman" w:hAnsi="Times New Roman" w:cs="Times New Roman"/>
        </w:rPr>
        <w:t xml:space="preserve">These regulations </w:t>
      </w:r>
      <w:r w:rsidR="0067204E" w:rsidRPr="006D2720">
        <w:rPr>
          <w:rFonts w:ascii="Times New Roman" w:hAnsi="Times New Roman" w:cs="Times New Roman"/>
        </w:rPr>
        <w:t xml:space="preserve">adopt </w:t>
      </w:r>
      <w:r w:rsidR="00E81745" w:rsidRPr="006D2720">
        <w:rPr>
          <w:rFonts w:ascii="Times New Roman" w:hAnsi="Times New Roman" w:cs="Times New Roman"/>
        </w:rPr>
        <w:t xml:space="preserve">a </w:t>
      </w:r>
      <w:r w:rsidR="00F8314A" w:rsidRPr="006D2720">
        <w:rPr>
          <w:rFonts w:ascii="Times New Roman" w:hAnsi="Times New Roman" w:cs="Times New Roman"/>
        </w:rPr>
        <w:t>broad</w:t>
      </w:r>
      <w:r w:rsidR="009F6D88" w:rsidRPr="006D2720">
        <w:rPr>
          <w:rFonts w:ascii="Times New Roman" w:hAnsi="Times New Roman" w:cs="Times New Roman"/>
        </w:rPr>
        <w:t>er</w:t>
      </w:r>
      <w:r w:rsidR="00F8314A" w:rsidRPr="006D2720">
        <w:rPr>
          <w:rFonts w:ascii="Times New Roman" w:hAnsi="Times New Roman" w:cs="Times New Roman"/>
        </w:rPr>
        <w:t xml:space="preserve"> </w:t>
      </w:r>
      <w:r w:rsidR="006D3896" w:rsidRPr="006D2720">
        <w:rPr>
          <w:rFonts w:ascii="Times New Roman" w:hAnsi="Times New Roman" w:cs="Times New Roman"/>
        </w:rPr>
        <w:t xml:space="preserve">approach </w:t>
      </w:r>
      <w:r w:rsidR="005B6B29" w:rsidRPr="006D2720">
        <w:rPr>
          <w:rFonts w:ascii="Times New Roman" w:hAnsi="Times New Roman" w:cs="Times New Roman"/>
        </w:rPr>
        <w:t>for</w:t>
      </w:r>
      <w:r w:rsidR="00E81745" w:rsidRPr="006D2720">
        <w:rPr>
          <w:rFonts w:ascii="Times New Roman" w:hAnsi="Times New Roman" w:cs="Times New Roman"/>
        </w:rPr>
        <w:t xml:space="preserve"> </w:t>
      </w:r>
      <w:r w:rsidR="009F6D88" w:rsidRPr="006D2720">
        <w:rPr>
          <w:rFonts w:ascii="Times New Roman" w:hAnsi="Times New Roman" w:cs="Times New Roman"/>
        </w:rPr>
        <w:t xml:space="preserve">whether information is </w:t>
      </w:r>
      <w:r w:rsidR="00F8314A" w:rsidRPr="006D2720">
        <w:rPr>
          <w:rFonts w:ascii="Times New Roman" w:hAnsi="Times New Roman" w:cs="Times New Roman"/>
        </w:rPr>
        <w:t>‘identifiable’</w:t>
      </w:r>
      <w:r w:rsidR="003252E3" w:rsidRPr="006D2720">
        <w:rPr>
          <w:rFonts w:ascii="Times New Roman" w:hAnsi="Times New Roman" w:cs="Times New Roman"/>
        </w:rPr>
        <w:t xml:space="preserve"> and therefore protected</w:t>
      </w:r>
      <w:r w:rsidR="00F8314A" w:rsidRPr="006D2720">
        <w:rPr>
          <w:rFonts w:ascii="Times New Roman" w:hAnsi="Times New Roman" w:cs="Times New Roman"/>
        </w:rPr>
        <w:t>.</w:t>
      </w:r>
      <w:bookmarkEnd w:id="189"/>
    </w:p>
    <w:p w14:paraId="47590EF3" w14:textId="77777777" w:rsidR="008B18B4" w:rsidRPr="006D2720" w:rsidRDefault="008B18B4">
      <w:pPr>
        <w:rPr>
          <w:rFonts w:ascii="Times New Roman" w:eastAsiaTheme="majorEastAsia" w:hAnsi="Times New Roman" w:cs="Times New Roman"/>
          <w:bCs/>
          <w:color w:val="0D0D0D" w:themeColor="text1" w:themeTint="F2"/>
          <w:szCs w:val="21"/>
        </w:rPr>
      </w:pPr>
      <w:r w:rsidRPr="006D2720">
        <w:rPr>
          <w:rFonts w:ascii="Times New Roman" w:hAnsi="Times New Roman" w:cs="Times New Roman"/>
        </w:rPr>
        <w:br w:type="page"/>
      </w:r>
    </w:p>
    <w:p w14:paraId="6E799DD5" w14:textId="5661C13C" w:rsidR="006468FF" w:rsidRPr="006D2720" w:rsidRDefault="00BB1402" w:rsidP="00D544DB">
      <w:pPr>
        <w:pStyle w:val="Heading3"/>
        <w:rPr>
          <w:rFonts w:ascii="Times New Roman" w:hAnsi="Times New Roman" w:cs="Times New Roman"/>
        </w:rPr>
      </w:pPr>
      <w:bookmarkStart w:id="190" w:name="_Ref90035133"/>
      <w:r w:rsidRPr="006D2720">
        <w:rPr>
          <w:rFonts w:ascii="Times New Roman" w:hAnsi="Times New Roman" w:cs="Times New Roman"/>
        </w:rPr>
        <w:t>Relevantly, t</w:t>
      </w:r>
      <w:r w:rsidR="6D0EE074" w:rsidRPr="006D2720">
        <w:rPr>
          <w:rFonts w:ascii="Times New Roman" w:hAnsi="Times New Roman" w:cs="Times New Roman"/>
        </w:rPr>
        <w:t>he GDPR</w:t>
      </w:r>
      <w:r w:rsidR="008655F5" w:rsidRPr="006D2720">
        <w:rPr>
          <w:rFonts w:ascii="Times New Roman" w:hAnsi="Times New Roman" w:cs="Times New Roman"/>
        </w:rPr>
        <w:t xml:space="preserve">’s protective scope covers </w:t>
      </w:r>
      <w:r w:rsidR="00F06013" w:rsidRPr="006D2720">
        <w:rPr>
          <w:rFonts w:ascii="Times New Roman" w:hAnsi="Times New Roman" w:cs="Times New Roman"/>
        </w:rPr>
        <w:t xml:space="preserve">information which has been subject to </w:t>
      </w:r>
      <w:r w:rsidR="00470547" w:rsidRPr="006D2720">
        <w:rPr>
          <w:rFonts w:ascii="Times New Roman" w:hAnsi="Times New Roman" w:cs="Times New Roman"/>
        </w:rPr>
        <w:t xml:space="preserve">‘pseudonymisation’, </w:t>
      </w:r>
      <w:r w:rsidR="008F26FF" w:rsidRPr="006D2720">
        <w:rPr>
          <w:rFonts w:ascii="Times New Roman" w:hAnsi="Times New Roman" w:cs="Times New Roman"/>
        </w:rPr>
        <w:t xml:space="preserve">which is </w:t>
      </w:r>
      <w:r w:rsidR="003348B0" w:rsidRPr="006D2720">
        <w:rPr>
          <w:rFonts w:ascii="Times New Roman" w:hAnsi="Times New Roman" w:cs="Times New Roman"/>
        </w:rPr>
        <w:t>‘</w:t>
      </w:r>
      <w:r w:rsidR="00470547" w:rsidRPr="006D2720">
        <w:rPr>
          <w:rFonts w:ascii="Times New Roman" w:hAnsi="Times New Roman" w:cs="Times New Roman"/>
        </w:rPr>
        <w:t xml:space="preserve">the processing of personal data in such a manner that the personal data can no longer be attributed to a specific data subject </w:t>
      </w:r>
      <w:r w:rsidR="00470547" w:rsidRPr="006D2720">
        <w:rPr>
          <w:rFonts w:ascii="Times New Roman" w:hAnsi="Times New Roman" w:cs="Times New Roman"/>
          <w:i/>
          <w:iCs/>
        </w:rPr>
        <w:t>without the use of additional information</w:t>
      </w:r>
      <w:r w:rsidR="00C53830" w:rsidRPr="006D2720">
        <w:rPr>
          <w:rFonts w:ascii="Times New Roman" w:hAnsi="Times New Roman" w:cs="Times New Roman"/>
        </w:rPr>
        <w:t>’.</w:t>
      </w:r>
      <w:r w:rsidR="00C53830" w:rsidRPr="006D2720">
        <w:rPr>
          <w:rStyle w:val="FootnoteReference"/>
          <w:rFonts w:ascii="Times New Roman" w:hAnsi="Times New Roman" w:cs="Times New Roman"/>
        </w:rPr>
        <w:footnoteReference w:id="76"/>
      </w:r>
      <w:r w:rsidR="00C53830" w:rsidRPr="006D2720">
        <w:rPr>
          <w:rFonts w:ascii="Times New Roman" w:hAnsi="Times New Roman" w:cs="Times New Roman"/>
        </w:rPr>
        <w:t xml:space="preserve"> </w:t>
      </w:r>
      <w:r w:rsidR="005A6324" w:rsidRPr="006D2720">
        <w:rPr>
          <w:rFonts w:ascii="Times New Roman" w:hAnsi="Times New Roman" w:cs="Times New Roman"/>
        </w:rPr>
        <w:t xml:space="preserve">It must be </w:t>
      </w:r>
      <w:r w:rsidR="00C9749C" w:rsidRPr="006D2720">
        <w:rPr>
          <w:rFonts w:ascii="Times New Roman" w:hAnsi="Times New Roman" w:cs="Times New Roman"/>
        </w:rPr>
        <w:t xml:space="preserve">emphasised </w:t>
      </w:r>
      <w:r w:rsidR="005A6324" w:rsidRPr="006D2720">
        <w:rPr>
          <w:rFonts w:ascii="Times New Roman" w:hAnsi="Times New Roman" w:cs="Times New Roman"/>
        </w:rPr>
        <w:t xml:space="preserve">that pseudonymisation is </w:t>
      </w:r>
      <w:r w:rsidR="00840381" w:rsidRPr="006D2720">
        <w:rPr>
          <w:rFonts w:ascii="Times New Roman" w:hAnsi="Times New Roman" w:cs="Times New Roman"/>
        </w:rPr>
        <w:t>different</w:t>
      </w:r>
      <w:r w:rsidR="005A6324" w:rsidRPr="006D2720">
        <w:rPr>
          <w:rFonts w:ascii="Times New Roman" w:hAnsi="Times New Roman" w:cs="Times New Roman"/>
        </w:rPr>
        <w:t xml:space="preserve"> from complete </w:t>
      </w:r>
      <w:r w:rsidR="00B86CEE" w:rsidRPr="006D2720">
        <w:rPr>
          <w:rFonts w:ascii="Times New Roman" w:hAnsi="Times New Roman" w:cs="Times New Roman"/>
        </w:rPr>
        <w:t>anonymity</w:t>
      </w:r>
      <w:r w:rsidR="005A6324" w:rsidRPr="006D2720">
        <w:rPr>
          <w:rFonts w:ascii="Times New Roman" w:hAnsi="Times New Roman" w:cs="Times New Roman"/>
        </w:rPr>
        <w:t xml:space="preserve">. </w:t>
      </w:r>
      <w:r w:rsidR="006D6963" w:rsidRPr="006D2720">
        <w:rPr>
          <w:rFonts w:ascii="Times New Roman" w:hAnsi="Times New Roman" w:cs="Times New Roman"/>
        </w:rPr>
        <w:t>P</w:t>
      </w:r>
      <w:r w:rsidR="005A6324" w:rsidRPr="006D2720">
        <w:rPr>
          <w:rFonts w:ascii="Times New Roman" w:hAnsi="Times New Roman" w:cs="Times New Roman"/>
        </w:rPr>
        <w:t>seudonymi</w:t>
      </w:r>
      <w:r w:rsidR="003248FB" w:rsidRPr="006D2720">
        <w:rPr>
          <w:rFonts w:ascii="Times New Roman" w:hAnsi="Times New Roman" w:cs="Times New Roman"/>
        </w:rPr>
        <w:t>sed</w:t>
      </w:r>
      <w:r w:rsidR="005A6324" w:rsidRPr="006D2720">
        <w:rPr>
          <w:rFonts w:ascii="Times New Roman" w:hAnsi="Times New Roman" w:cs="Times New Roman"/>
        </w:rPr>
        <w:t xml:space="preserve"> data could still be attribut</w:t>
      </w:r>
      <w:r w:rsidR="00BC4EA5" w:rsidRPr="006D2720">
        <w:rPr>
          <w:rFonts w:ascii="Times New Roman" w:hAnsi="Times New Roman" w:cs="Times New Roman"/>
        </w:rPr>
        <w:t>ed</w:t>
      </w:r>
      <w:r w:rsidR="005A6324" w:rsidRPr="006D2720">
        <w:rPr>
          <w:rFonts w:ascii="Times New Roman" w:hAnsi="Times New Roman" w:cs="Times New Roman"/>
        </w:rPr>
        <w:t xml:space="preserve"> to a person and is therefore protected. However, if </w:t>
      </w:r>
      <w:r w:rsidR="00B86CEE" w:rsidRPr="006D2720">
        <w:rPr>
          <w:rFonts w:ascii="Times New Roman" w:hAnsi="Times New Roman" w:cs="Times New Roman"/>
        </w:rPr>
        <w:t xml:space="preserve">personal </w:t>
      </w:r>
      <w:r w:rsidR="005A6324" w:rsidRPr="006D2720">
        <w:rPr>
          <w:rFonts w:ascii="Times New Roman" w:hAnsi="Times New Roman" w:cs="Times New Roman"/>
        </w:rPr>
        <w:t xml:space="preserve">data is </w:t>
      </w:r>
      <w:r w:rsidR="00BE1077" w:rsidRPr="006D2720">
        <w:rPr>
          <w:rFonts w:ascii="Times New Roman" w:hAnsi="Times New Roman" w:cs="Times New Roman"/>
        </w:rPr>
        <w:t xml:space="preserve">processed in such a way that </w:t>
      </w:r>
      <w:r w:rsidR="005A6324" w:rsidRPr="006D2720">
        <w:rPr>
          <w:rFonts w:ascii="Times New Roman" w:hAnsi="Times New Roman" w:cs="Times New Roman"/>
        </w:rPr>
        <w:t>the individual is not or is no longer identifiable</w:t>
      </w:r>
      <w:r w:rsidR="00C56DC5" w:rsidRPr="006D2720">
        <w:rPr>
          <w:rFonts w:ascii="Times New Roman" w:hAnsi="Times New Roman" w:cs="Times New Roman"/>
        </w:rPr>
        <w:t xml:space="preserve"> at all</w:t>
      </w:r>
      <w:r w:rsidR="00BE1077" w:rsidRPr="006D2720">
        <w:rPr>
          <w:rFonts w:ascii="Times New Roman" w:hAnsi="Times New Roman" w:cs="Times New Roman"/>
        </w:rPr>
        <w:t>—</w:t>
      </w:r>
      <w:r w:rsidR="001710B0" w:rsidRPr="006D2720">
        <w:rPr>
          <w:rFonts w:ascii="Times New Roman" w:hAnsi="Times New Roman" w:cs="Times New Roman"/>
        </w:rPr>
        <w:t xml:space="preserve">not </w:t>
      </w:r>
      <w:r w:rsidR="00BE1077" w:rsidRPr="006D2720">
        <w:rPr>
          <w:rFonts w:ascii="Times New Roman" w:hAnsi="Times New Roman" w:cs="Times New Roman"/>
        </w:rPr>
        <w:t xml:space="preserve">even with the help of additional information—then it becomes anonymous data and is </w:t>
      </w:r>
      <w:r w:rsidR="00C56DC5" w:rsidRPr="006D2720">
        <w:rPr>
          <w:rFonts w:ascii="Times New Roman" w:hAnsi="Times New Roman" w:cs="Times New Roman"/>
        </w:rPr>
        <w:t>no longer protected</w:t>
      </w:r>
      <w:r w:rsidR="007959A2" w:rsidRPr="006D2720">
        <w:rPr>
          <w:rFonts w:ascii="Times New Roman" w:hAnsi="Times New Roman" w:cs="Times New Roman"/>
        </w:rPr>
        <w:t xml:space="preserve"> by the GDPR</w:t>
      </w:r>
      <w:r w:rsidR="00C56DC5" w:rsidRPr="006D2720">
        <w:rPr>
          <w:rFonts w:ascii="Times New Roman" w:hAnsi="Times New Roman" w:cs="Times New Roman"/>
        </w:rPr>
        <w:t>.</w:t>
      </w:r>
      <w:r w:rsidR="00F26920" w:rsidRPr="006D2720">
        <w:rPr>
          <w:rStyle w:val="FootnoteReference"/>
          <w:rFonts w:ascii="Times New Roman" w:hAnsi="Times New Roman" w:cs="Times New Roman"/>
        </w:rPr>
        <w:footnoteReference w:id="77"/>
      </w:r>
      <w:bookmarkEnd w:id="190"/>
      <w:r w:rsidR="00C56DC5" w:rsidRPr="006D2720">
        <w:rPr>
          <w:rFonts w:ascii="Times New Roman" w:hAnsi="Times New Roman" w:cs="Times New Roman"/>
        </w:rPr>
        <w:t xml:space="preserve"> </w:t>
      </w:r>
      <w:r w:rsidR="005A6324" w:rsidRPr="006D2720">
        <w:rPr>
          <w:rFonts w:ascii="Times New Roman" w:hAnsi="Times New Roman" w:cs="Times New Roman"/>
        </w:rPr>
        <w:t xml:space="preserve"> </w:t>
      </w:r>
    </w:p>
    <w:p w14:paraId="470F81A1" w14:textId="0266F470" w:rsidR="00646A83" w:rsidRPr="006D2720" w:rsidRDefault="0071659E" w:rsidP="0066337D">
      <w:pPr>
        <w:pStyle w:val="Heading3"/>
        <w:rPr>
          <w:rFonts w:ascii="Times New Roman" w:hAnsi="Times New Roman" w:cs="Times New Roman"/>
        </w:rPr>
      </w:pPr>
      <w:bookmarkStart w:id="191" w:name="_Toc91536452"/>
      <w:bookmarkEnd w:id="191"/>
      <w:r w:rsidRPr="006D2720">
        <w:rPr>
          <w:rFonts w:ascii="Times New Roman" w:hAnsi="Times New Roman" w:cs="Times New Roman"/>
        </w:rPr>
        <w:t xml:space="preserve">The </w:t>
      </w:r>
      <w:r w:rsidR="006A7487" w:rsidRPr="006D2720">
        <w:rPr>
          <w:rFonts w:ascii="Times New Roman" w:hAnsi="Times New Roman" w:cs="Times New Roman"/>
        </w:rPr>
        <w:t xml:space="preserve">report of the </w:t>
      </w:r>
      <w:r w:rsidR="00FF57CA" w:rsidRPr="006D2720">
        <w:rPr>
          <w:rFonts w:ascii="Times New Roman" w:hAnsi="Times New Roman" w:cs="Times New Roman"/>
        </w:rPr>
        <w:t xml:space="preserve">Australian Competition and Consumer Commission’s </w:t>
      </w:r>
      <w:r w:rsidR="00241563" w:rsidRPr="006D2720">
        <w:rPr>
          <w:rFonts w:ascii="Times New Roman" w:hAnsi="Times New Roman" w:cs="Times New Roman"/>
        </w:rPr>
        <w:t xml:space="preserve">(‘ACCC') </w:t>
      </w:r>
      <w:r w:rsidR="000901A7" w:rsidRPr="006D2720">
        <w:rPr>
          <w:rFonts w:ascii="Times New Roman" w:hAnsi="Times New Roman" w:cs="Times New Roman"/>
        </w:rPr>
        <w:t>in</w:t>
      </w:r>
      <w:r w:rsidR="00D25C8D" w:rsidRPr="006D2720">
        <w:rPr>
          <w:rFonts w:ascii="Times New Roman" w:hAnsi="Times New Roman" w:cs="Times New Roman"/>
        </w:rPr>
        <w:t xml:space="preserve"> the </w:t>
      </w:r>
      <w:r w:rsidRPr="006D2720">
        <w:rPr>
          <w:rFonts w:ascii="Times New Roman" w:hAnsi="Times New Roman" w:cs="Times New Roman"/>
        </w:rPr>
        <w:t xml:space="preserve">Digital Platforms </w:t>
      </w:r>
      <w:r w:rsidR="00C86FB0" w:rsidRPr="006D2720">
        <w:rPr>
          <w:rFonts w:ascii="Times New Roman" w:hAnsi="Times New Roman" w:cs="Times New Roman"/>
        </w:rPr>
        <w:t xml:space="preserve">Inquiry </w:t>
      </w:r>
      <w:r w:rsidR="003422C6" w:rsidRPr="006D2720">
        <w:rPr>
          <w:rFonts w:ascii="Times New Roman" w:hAnsi="Times New Roman" w:cs="Times New Roman"/>
        </w:rPr>
        <w:t xml:space="preserve">referred </w:t>
      </w:r>
      <w:r w:rsidR="00FE1905" w:rsidRPr="006D2720">
        <w:rPr>
          <w:rFonts w:ascii="Times New Roman" w:hAnsi="Times New Roman" w:cs="Times New Roman"/>
        </w:rPr>
        <w:t>to</w:t>
      </w:r>
      <w:r w:rsidR="003422C6" w:rsidRPr="006D2720">
        <w:rPr>
          <w:rFonts w:ascii="Times New Roman" w:hAnsi="Times New Roman" w:cs="Times New Roman"/>
        </w:rPr>
        <w:t xml:space="preserve"> the GDPR in recommending that </w:t>
      </w:r>
      <w:r w:rsidR="00EA5F8D" w:rsidRPr="006D2720">
        <w:rPr>
          <w:rFonts w:ascii="Times New Roman" w:hAnsi="Times New Roman" w:cs="Times New Roman"/>
        </w:rPr>
        <w:t xml:space="preserve">reform of the Privacy Act </w:t>
      </w:r>
      <w:r w:rsidR="00EA56B4" w:rsidRPr="006D2720">
        <w:rPr>
          <w:rFonts w:ascii="Times New Roman" w:hAnsi="Times New Roman" w:cs="Times New Roman"/>
        </w:rPr>
        <w:t xml:space="preserve">should </w:t>
      </w:r>
      <w:r w:rsidR="00EA5F8D" w:rsidRPr="006D2720">
        <w:rPr>
          <w:rFonts w:ascii="Times New Roman" w:hAnsi="Times New Roman" w:cs="Times New Roman"/>
        </w:rPr>
        <w:t xml:space="preserve">include </w:t>
      </w:r>
      <w:r w:rsidR="0043584F" w:rsidRPr="006D2720">
        <w:rPr>
          <w:rFonts w:ascii="Times New Roman" w:hAnsi="Times New Roman" w:cs="Times New Roman"/>
        </w:rPr>
        <w:t>‘</w:t>
      </w:r>
      <w:r w:rsidR="00EA5F8D" w:rsidRPr="006D2720">
        <w:rPr>
          <w:rFonts w:ascii="Times New Roman" w:hAnsi="Times New Roman" w:cs="Times New Roman"/>
        </w:rPr>
        <w:t>protections or standards for de-identification,</w:t>
      </w:r>
      <w:r w:rsidR="00231B42" w:rsidRPr="006D2720">
        <w:rPr>
          <w:rFonts w:ascii="Times New Roman" w:hAnsi="Times New Roman" w:cs="Times New Roman"/>
        </w:rPr>
        <w:t xml:space="preserve"> </w:t>
      </w:r>
      <w:r w:rsidR="00EA5F8D" w:rsidRPr="006D2720">
        <w:rPr>
          <w:rFonts w:ascii="Times New Roman" w:hAnsi="Times New Roman" w:cs="Times New Roman"/>
        </w:rPr>
        <w:t>anonymisation and pseudonymisation of personal information</w:t>
      </w:r>
      <w:r w:rsidR="0043584F" w:rsidRPr="006D2720">
        <w:rPr>
          <w:rFonts w:ascii="Times New Roman" w:hAnsi="Times New Roman" w:cs="Times New Roman"/>
        </w:rPr>
        <w:t xml:space="preserve">’. </w:t>
      </w:r>
      <w:r w:rsidR="00A85DD6" w:rsidRPr="006D2720">
        <w:rPr>
          <w:rFonts w:ascii="Times New Roman" w:hAnsi="Times New Roman" w:cs="Times New Roman"/>
        </w:rPr>
        <w:t>According to the report, this was required</w:t>
      </w:r>
      <w:r w:rsidR="0046449A" w:rsidRPr="006D2720">
        <w:rPr>
          <w:rFonts w:ascii="Times New Roman" w:hAnsi="Times New Roman" w:cs="Times New Roman"/>
        </w:rPr>
        <w:t xml:space="preserve"> </w:t>
      </w:r>
      <w:r w:rsidR="00E22AB1" w:rsidRPr="006D2720">
        <w:rPr>
          <w:rFonts w:ascii="Times New Roman" w:hAnsi="Times New Roman" w:cs="Times New Roman"/>
        </w:rPr>
        <w:t xml:space="preserve">in order to </w:t>
      </w:r>
      <w:r w:rsidR="00D542F8" w:rsidRPr="006D2720">
        <w:rPr>
          <w:rFonts w:ascii="Times New Roman" w:hAnsi="Times New Roman" w:cs="Times New Roman"/>
        </w:rPr>
        <w:t>‘</w:t>
      </w:r>
      <w:r w:rsidR="00EA5F8D" w:rsidRPr="006D2720">
        <w:rPr>
          <w:rFonts w:ascii="Times New Roman" w:hAnsi="Times New Roman" w:cs="Times New Roman"/>
        </w:rPr>
        <w:t>address the growing risks of reidentification</w:t>
      </w:r>
      <w:r w:rsidR="00E27C3B" w:rsidRPr="006D2720">
        <w:rPr>
          <w:rFonts w:ascii="Times New Roman" w:hAnsi="Times New Roman" w:cs="Times New Roman"/>
        </w:rPr>
        <w:t xml:space="preserve"> </w:t>
      </w:r>
      <w:r w:rsidR="00EA5F8D" w:rsidRPr="006D2720">
        <w:rPr>
          <w:rFonts w:ascii="Times New Roman" w:hAnsi="Times New Roman" w:cs="Times New Roman"/>
        </w:rPr>
        <w:t>as datasets are combined and data analytics technologies become more advanced</w:t>
      </w:r>
      <w:r w:rsidR="00FA2E42" w:rsidRPr="006D2720">
        <w:rPr>
          <w:rFonts w:ascii="Times New Roman" w:hAnsi="Times New Roman" w:cs="Times New Roman"/>
        </w:rPr>
        <w:t>’.</w:t>
      </w:r>
      <w:bookmarkStart w:id="192" w:name="_Ref91757526"/>
      <w:r w:rsidR="00FA2E42" w:rsidRPr="006D2720">
        <w:rPr>
          <w:rStyle w:val="FootnoteReference"/>
          <w:rFonts w:ascii="Times New Roman" w:hAnsi="Times New Roman" w:cs="Times New Roman"/>
        </w:rPr>
        <w:footnoteReference w:id="78"/>
      </w:r>
      <w:bookmarkEnd w:id="192"/>
    </w:p>
    <w:p w14:paraId="5234F6F1" w14:textId="119B335B" w:rsidR="003422C6" w:rsidRPr="006D2720" w:rsidRDefault="003422C6" w:rsidP="0066337D">
      <w:pPr>
        <w:pStyle w:val="Heading3"/>
        <w:rPr>
          <w:rFonts w:ascii="Times New Roman" w:hAnsi="Times New Roman" w:cs="Times New Roman"/>
        </w:rPr>
      </w:pPr>
      <w:bookmarkStart w:id="193" w:name="_Ref89684696"/>
      <w:r w:rsidRPr="006D2720">
        <w:rPr>
          <w:rFonts w:ascii="Times New Roman" w:hAnsi="Times New Roman" w:cs="Times New Roman"/>
        </w:rPr>
        <w:t>T</w:t>
      </w:r>
      <w:r w:rsidR="005A4686" w:rsidRPr="006D2720">
        <w:rPr>
          <w:rFonts w:ascii="Times New Roman" w:hAnsi="Times New Roman" w:cs="Times New Roman"/>
        </w:rPr>
        <w:t xml:space="preserve">he </w:t>
      </w:r>
      <w:r w:rsidR="00920465" w:rsidRPr="006D2720">
        <w:rPr>
          <w:rFonts w:ascii="Times New Roman" w:hAnsi="Times New Roman" w:cs="Times New Roman"/>
        </w:rPr>
        <w:t>OAIC</w:t>
      </w:r>
      <w:r w:rsidR="000660B5" w:rsidRPr="006D2720">
        <w:rPr>
          <w:rFonts w:ascii="Times New Roman" w:hAnsi="Times New Roman" w:cs="Times New Roman"/>
        </w:rPr>
        <w:t xml:space="preserve"> </w:t>
      </w:r>
      <w:r w:rsidR="005A4686" w:rsidRPr="006D2720">
        <w:rPr>
          <w:rFonts w:ascii="Times New Roman" w:hAnsi="Times New Roman" w:cs="Times New Roman"/>
        </w:rPr>
        <w:t xml:space="preserve">has </w:t>
      </w:r>
      <w:r w:rsidRPr="006D2720">
        <w:rPr>
          <w:rFonts w:ascii="Times New Roman" w:hAnsi="Times New Roman" w:cs="Times New Roman"/>
        </w:rPr>
        <w:t xml:space="preserve">also </w:t>
      </w:r>
      <w:r w:rsidR="005A4686" w:rsidRPr="006D2720">
        <w:rPr>
          <w:rFonts w:ascii="Times New Roman" w:hAnsi="Times New Roman" w:cs="Times New Roman"/>
        </w:rPr>
        <w:t xml:space="preserve">recommended that the Privacy Act be </w:t>
      </w:r>
      <w:r w:rsidR="00F264B5" w:rsidRPr="006D2720">
        <w:rPr>
          <w:rFonts w:ascii="Times New Roman" w:hAnsi="Times New Roman" w:cs="Times New Roman"/>
        </w:rPr>
        <w:t xml:space="preserve">amended to </w:t>
      </w:r>
      <w:r w:rsidR="00CD790B" w:rsidRPr="006D2720">
        <w:rPr>
          <w:rFonts w:ascii="Times New Roman" w:hAnsi="Times New Roman" w:cs="Times New Roman"/>
        </w:rPr>
        <w:t xml:space="preserve">adopt the GDPR references to </w:t>
      </w:r>
      <w:r w:rsidR="00F264B5" w:rsidRPr="006D2720">
        <w:rPr>
          <w:rFonts w:ascii="Times New Roman" w:hAnsi="Times New Roman" w:cs="Times New Roman"/>
        </w:rPr>
        <w:t>pseud</w:t>
      </w:r>
      <w:r w:rsidR="0049450F" w:rsidRPr="006D2720">
        <w:rPr>
          <w:rFonts w:ascii="Times New Roman" w:hAnsi="Times New Roman" w:cs="Times New Roman"/>
        </w:rPr>
        <w:t>onymisation and anonymisation</w:t>
      </w:r>
      <w:r w:rsidR="00C034D4" w:rsidRPr="006D2720">
        <w:rPr>
          <w:rFonts w:ascii="Times New Roman" w:hAnsi="Times New Roman" w:cs="Times New Roman"/>
        </w:rPr>
        <w:t xml:space="preserve">. </w:t>
      </w:r>
      <w:r w:rsidR="002071AB" w:rsidRPr="006D2720">
        <w:rPr>
          <w:rFonts w:ascii="Times New Roman" w:hAnsi="Times New Roman" w:cs="Times New Roman"/>
        </w:rPr>
        <w:t>However,</w:t>
      </w:r>
      <w:r w:rsidR="00A75D65" w:rsidRPr="006D2720">
        <w:rPr>
          <w:rFonts w:ascii="Times New Roman" w:hAnsi="Times New Roman" w:cs="Times New Roman"/>
        </w:rPr>
        <w:t xml:space="preserve"> </w:t>
      </w:r>
      <w:r w:rsidR="00A07BCC" w:rsidRPr="006D2720">
        <w:rPr>
          <w:rFonts w:ascii="Times New Roman" w:hAnsi="Times New Roman" w:cs="Times New Roman"/>
        </w:rPr>
        <w:t xml:space="preserve">the OAIC also </w:t>
      </w:r>
      <w:r w:rsidR="005A163C" w:rsidRPr="006D2720">
        <w:rPr>
          <w:rFonts w:ascii="Times New Roman" w:hAnsi="Times New Roman" w:cs="Times New Roman"/>
        </w:rPr>
        <w:t xml:space="preserve">recommend </w:t>
      </w:r>
      <w:r w:rsidR="006A7487" w:rsidRPr="006D2720">
        <w:rPr>
          <w:rFonts w:ascii="Times New Roman" w:hAnsi="Times New Roman" w:cs="Times New Roman"/>
        </w:rPr>
        <w:t xml:space="preserve">(in contrast with the scope of the GDPR) </w:t>
      </w:r>
      <w:r w:rsidR="005A163C" w:rsidRPr="006D2720">
        <w:rPr>
          <w:rFonts w:ascii="Times New Roman" w:hAnsi="Times New Roman" w:cs="Times New Roman"/>
        </w:rPr>
        <w:t>that e</w:t>
      </w:r>
      <w:r w:rsidR="00CF6BA3" w:rsidRPr="006D2720">
        <w:rPr>
          <w:rFonts w:ascii="Times New Roman" w:hAnsi="Times New Roman" w:cs="Times New Roman"/>
        </w:rPr>
        <w:t>ven a</w:t>
      </w:r>
      <w:r w:rsidR="006423E4" w:rsidRPr="006D2720">
        <w:rPr>
          <w:rFonts w:ascii="Times New Roman" w:hAnsi="Times New Roman" w:cs="Times New Roman"/>
        </w:rPr>
        <w:t>non</w:t>
      </w:r>
      <w:r w:rsidR="00184250" w:rsidRPr="006D2720">
        <w:rPr>
          <w:rFonts w:ascii="Times New Roman" w:hAnsi="Times New Roman" w:cs="Times New Roman"/>
        </w:rPr>
        <w:t>ymised data,</w:t>
      </w:r>
      <w:r w:rsidR="00AC2257" w:rsidRPr="006D2720">
        <w:rPr>
          <w:rFonts w:ascii="Times New Roman" w:hAnsi="Times New Roman" w:cs="Times New Roman"/>
        </w:rPr>
        <w:t xml:space="preserve"> which </w:t>
      </w:r>
      <w:r w:rsidR="005A10E9" w:rsidRPr="006D2720">
        <w:rPr>
          <w:rFonts w:ascii="Times New Roman" w:hAnsi="Times New Roman" w:cs="Times New Roman"/>
        </w:rPr>
        <w:t xml:space="preserve">is data that </w:t>
      </w:r>
      <w:r w:rsidR="00AC2257" w:rsidRPr="006D2720">
        <w:rPr>
          <w:rFonts w:ascii="Times New Roman" w:hAnsi="Times New Roman" w:cs="Times New Roman"/>
        </w:rPr>
        <w:t>has been stri</w:t>
      </w:r>
      <w:r w:rsidR="00FD18A1" w:rsidRPr="006D2720">
        <w:rPr>
          <w:rFonts w:ascii="Times New Roman" w:hAnsi="Times New Roman" w:cs="Times New Roman"/>
        </w:rPr>
        <w:t>p</w:t>
      </w:r>
      <w:r w:rsidR="00AC2257" w:rsidRPr="006D2720">
        <w:rPr>
          <w:rFonts w:ascii="Times New Roman" w:hAnsi="Times New Roman" w:cs="Times New Roman"/>
        </w:rPr>
        <w:t>ped of identifying information</w:t>
      </w:r>
      <w:r w:rsidRPr="006D2720">
        <w:rPr>
          <w:rFonts w:ascii="Times New Roman" w:hAnsi="Times New Roman" w:cs="Times New Roman"/>
        </w:rPr>
        <w:t xml:space="preserve">, should be subject to various </w:t>
      </w:r>
      <w:r w:rsidR="002A4C0B" w:rsidRPr="006D2720">
        <w:rPr>
          <w:rFonts w:ascii="Times New Roman" w:hAnsi="Times New Roman" w:cs="Times New Roman"/>
        </w:rPr>
        <w:t>obligations under the APPs</w:t>
      </w:r>
      <w:r w:rsidR="00DA7373" w:rsidRPr="006D2720">
        <w:rPr>
          <w:rFonts w:ascii="Times New Roman" w:hAnsi="Times New Roman" w:cs="Times New Roman"/>
        </w:rPr>
        <w:t xml:space="preserve">. These </w:t>
      </w:r>
      <w:r w:rsidR="002A4C0B" w:rsidRPr="006D2720">
        <w:rPr>
          <w:rFonts w:ascii="Times New Roman" w:hAnsi="Times New Roman" w:cs="Times New Roman"/>
        </w:rPr>
        <w:t>includ</w:t>
      </w:r>
      <w:r w:rsidR="00DA7373" w:rsidRPr="006D2720">
        <w:rPr>
          <w:rFonts w:ascii="Times New Roman" w:hAnsi="Times New Roman" w:cs="Times New Roman"/>
        </w:rPr>
        <w:t>e</w:t>
      </w:r>
      <w:r w:rsidRPr="006D2720">
        <w:rPr>
          <w:rFonts w:ascii="Times New Roman" w:hAnsi="Times New Roman" w:cs="Times New Roman"/>
        </w:rPr>
        <w:t>:</w:t>
      </w:r>
      <w:bookmarkEnd w:id="193"/>
    </w:p>
    <w:p w14:paraId="05F0AD6F" w14:textId="3F860EBE" w:rsidR="003422C6" w:rsidRPr="006D2720" w:rsidRDefault="000E7152">
      <w:pPr>
        <w:numPr>
          <w:ilvl w:val="0"/>
          <w:numId w:val="7"/>
        </w:numPr>
        <w:rPr>
          <w:rFonts w:ascii="Times New Roman" w:hAnsi="Times New Roman" w:cs="Times New Roman"/>
        </w:rPr>
      </w:pPr>
      <w:r w:rsidRPr="006D2720">
        <w:rPr>
          <w:rFonts w:ascii="Times New Roman" w:hAnsi="Times New Roman" w:cs="Times New Roman"/>
        </w:rPr>
        <w:t>inform</w:t>
      </w:r>
      <w:r w:rsidR="00AA43DC" w:rsidRPr="006D2720">
        <w:rPr>
          <w:rFonts w:ascii="Times New Roman" w:hAnsi="Times New Roman" w:cs="Times New Roman"/>
        </w:rPr>
        <w:t>ing</w:t>
      </w:r>
      <w:r w:rsidRPr="006D2720">
        <w:rPr>
          <w:rFonts w:ascii="Times New Roman" w:hAnsi="Times New Roman" w:cs="Times New Roman"/>
        </w:rPr>
        <w:t xml:space="preserve"> individuals if their data may be ano</w:t>
      </w:r>
      <w:r w:rsidR="00F05F57" w:rsidRPr="006D2720">
        <w:rPr>
          <w:rFonts w:ascii="Times New Roman" w:hAnsi="Times New Roman" w:cs="Times New Roman"/>
        </w:rPr>
        <w:t>nymised and used</w:t>
      </w:r>
      <w:r w:rsidR="00307197" w:rsidRPr="006D2720">
        <w:rPr>
          <w:rFonts w:ascii="Times New Roman" w:hAnsi="Times New Roman" w:cs="Times New Roman"/>
        </w:rPr>
        <w:t xml:space="preserve"> for additional purposes</w:t>
      </w:r>
      <w:r w:rsidR="003422C6" w:rsidRPr="006D2720">
        <w:rPr>
          <w:rFonts w:ascii="Times New Roman" w:hAnsi="Times New Roman" w:cs="Times New Roman"/>
        </w:rPr>
        <w:t>;</w:t>
      </w:r>
    </w:p>
    <w:p w14:paraId="2B63E091" w14:textId="2C6BDE01" w:rsidR="003422C6" w:rsidRPr="006D2720" w:rsidRDefault="00C071FE">
      <w:pPr>
        <w:numPr>
          <w:ilvl w:val="0"/>
          <w:numId w:val="7"/>
        </w:numPr>
        <w:rPr>
          <w:rFonts w:ascii="Times New Roman" w:hAnsi="Times New Roman" w:cs="Times New Roman"/>
        </w:rPr>
      </w:pPr>
      <w:r w:rsidRPr="006D2720">
        <w:rPr>
          <w:rFonts w:ascii="Times New Roman" w:hAnsi="Times New Roman" w:cs="Times New Roman"/>
        </w:rPr>
        <w:t xml:space="preserve">reasonably maintaining </w:t>
      </w:r>
      <w:r w:rsidR="00AA43DC" w:rsidRPr="006D2720">
        <w:rPr>
          <w:rFonts w:ascii="Times New Roman" w:hAnsi="Times New Roman" w:cs="Times New Roman"/>
        </w:rPr>
        <w:t>anonymised data against misuse, loss or unauthorised access</w:t>
      </w:r>
      <w:r w:rsidR="003422C6" w:rsidRPr="006D2720">
        <w:rPr>
          <w:rFonts w:ascii="Times New Roman" w:hAnsi="Times New Roman" w:cs="Times New Roman"/>
        </w:rPr>
        <w:t xml:space="preserve">; and </w:t>
      </w:r>
    </w:p>
    <w:p w14:paraId="730C524B" w14:textId="0264EA91" w:rsidR="003422C6" w:rsidRPr="006D2720" w:rsidRDefault="00227257">
      <w:pPr>
        <w:numPr>
          <w:ilvl w:val="0"/>
          <w:numId w:val="7"/>
        </w:numPr>
        <w:rPr>
          <w:rFonts w:ascii="Times New Roman" w:hAnsi="Times New Roman" w:cs="Times New Roman"/>
        </w:rPr>
      </w:pPr>
      <w:r w:rsidRPr="006D2720">
        <w:rPr>
          <w:rFonts w:ascii="Times New Roman" w:hAnsi="Times New Roman" w:cs="Times New Roman"/>
        </w:rPr>
        <w:t>prohibiting entities from re-identifying information collected anonymously.</w:t>
      </w:r>
    </w:p>
    <w:p w14:paraId="3E39F0BB" w14:textId="7086B3E3" w:rsidR="00BA628F" w:rsidRPr="006D2720" w:rsidRDefault="00DE2629" w:rsidP="0066337D">
      <w:pPr>
        <w:pStyle w:val="Heading3"/>
        <w:rPr>
          <w:rFonts w:ascii="Times New Roman" w:hAnsi="Times New Roman" w:cs="Times New Roman"/>
        </w:rPr>
      </w:pPr>
      <w:bookmarkStart w:id="194" w:name="_Ref91829190"/>
      <w:r w:rsidRPr="006D2720">
        <w:rPr>
          <w:rFonts w:ascii="Times New Roman" w:hAnsi="Times New Roman" w:cs="Times New Roman"/>
        </w:rPr>
        <w:t xml:space="preserve">The </w:t>
      </w:r>
      <w:r w:rsidR="00D213EA" w:rsidRPr="006D2720">
        <w:rPr>
          <w:rFonts w:ascii="Times New Roman" w:hAnsi="Times New Roman" w:cs="Times New Roman"/>
        </w:rPr>
        <w:t>OAIC</w:t>
      </w:r>
      <w:r w:rsidR="00260734" w:rsidRPr="006D2720">
        <w:rPr>
          <w:rFonts w:ascii="Times New Roman" w:hAnsi="Times New Roman" w:cs="Times New Roman"/>
        </w:rPr>
        <w:t xml:space="preserve"> </w:t>
      </w:r>
      <w:r w:rsidRPr="006D2720">
        <w:rPr>
          <w:rFonts w:ascii="Times New Roman" w:hAnsi="Times New Roman" w:cs="Times New Roman"/>
        </w:rPr>
        <w:t>also submitted</w:t>
      </w:r>
      <w:r w:rsidR="00EC0CD5" w:rsidRPr="006D2720">
        <w:rPr>
          <w:rFonts w:ascii="Times New Roman" w:hAnsi="Times New Roman" w:cs="Times New Roman"/>
        </w:rPr>
        <w:t xml:space="preserve"> that </w:t>
      </w:r>
      <w:r w:rsidR="003661DB" w:rsidRPr="006D2720">
        <w:rPr>
          <w:rFonts w:ascii="Times New Roman" w:hAnsi="Times New Roman" w:cs="Times New Roman"/>
        </w:rPr>
        <w:t>individual</w:t>
      </w:r>
      <w:r w:rsidR="00EC0CD5" w:rsidRPr="006D2720">
        <w:rPr>
          <w:rFonts w:ascii="Times New Roman" w:hAnsi="Times New Roman" w:cs="Times New Roman"/>
        </w:rPr>
        <w:t>s</w:t>
      </w:r>
      <w:r w:rsidR="003661DB" w:rsidRPr="006D2720">
        <w:rPr>
          <w:rFonts w:ascii="Times New Roman" w:hAnsi="Times New Roman" w:cs="Times New Roman"/>
        </w:rPr>
        <w:t xml:space="preserve"> </w:t>
      </w:r>
      <w:r w:rsidR="00EC0CD5" w:rsidRPr="006D2720">
        <w:rPr>
          <w:rFonts w:ascii="Times New Roman" w:hAnsi="Times New Roman" w:cs="Times New Roman"/>
        </w:rPr>
        <w:t xml:space="preserve">should be </w:t>
      </w:r>
      <w:r w:rsidR="004A684F" w:rsidRPr="006D2720">
        <w:rPr>
          <w:rFonts w:ascii="Times New Roman" w:hAnsi="Times New Roman" w:cs="Times New Roman"/>
        </w:rPr>
        <w:t>notified</w:t>
      </w:r>
      <w:r w:rsidR="00EC0CD5" w:rsidRPr="006D2720">
        <w:rPr>
          <w:rFonts w:ascii="Times New Roman" w:hAnsi="Times New Roman" w:cs="Times New Roman"/>
        </w:rPr>
        <w:t xml:space="preserve"> when the privacy of their </w:t>
      </w:r>
      <w:r w:rsidR="00DC5C61" w:rsidRPr="006D2720">
        <w:rPr>
          <w:rFonts w:ascii="Times New Roman" w:hAnsi="Times New Roman" w:cs="Times New Roman"/>
        </w:rPr>
        <w:t xml:space="preserve">anonymised </w:t>
      </w:r>
      <w:r w:rsidR="00EC0CD5" w:rsidRPr="006D2720">
        <w:rPr>
          <w:rFonts w:ascii="Times New Roman" w:hAnsi="Times New Roman" w:cs="Times New Roman"/>
        </w:rPr>
        <w:t xml:space="preserve">personal </w:t>
      </w:r>
      <w:r w:rsidR="003661DB" w:rsidRPr="006D2720">
        <w:rPr>
          <w:rFonts w:ascii="Times New Roman" w:hAnsi="Times New Roman" w:cs="Times New Roman"/>
        </w:rPr>
        <w:t xml:space="preserve">information </w:t>
      </w:r>
      <w:r w:rsidR="00EC0CD5" w:rsidRPr="006D2720">
        <w:rPr>
          <w:rFonts w:ascii="Times New Roman" w:hAnsi="Times New Roman" w:cs="Times New Roman"/>
        </w:rPr>
        <w:t xml:space="preserve">has been </w:t>
      </w:r>
      <w:r w:rsidR="003661DB" w:rsidRPr="006D2720">
        <w:rPr>
          <w:rFonts w:ascii="Times New Roman" w:hAnsi="Times New Roman" w:cs="Times New Roman"/>
        </w:rPr>
        <w:t>breach</w:t>
      </w:r>
      <w:r w:rsidR="00EC0CD5" w:rsidRPr="006D2720">
        <w:rPr>
          <w:rFonts w:ascii="Times New Roman" w:hAnsi="Times New Roman" w:cs="Times New Roman"/>
        </w:rPr>
        <w:t>ed</w:t>
      </w:r>
      <w:r w:rsidR="00DC5C61" w:rsidRPr="006D2720">
        <w:rPr>
          <w:rFonts w:ascii="Times New Roman" w:hAnsi="Times New Roman" w:cs="Times New Roman"/>
        </w:rPr>
        <w:t xml:space="preserve">, </w:t>
      </w:r>
      <w:r w:rsidR="00F4630E" w:rsidRPr="006D2720">
        <w:rPr>
          <w:rFonts w:ascii="Times New Roman" w:hAnsi="Times New Roman" w:cs="Times New Roman"/>
        </w:rPr>
        <w:t xml:space="preserve">if this breach creates </w:t>
      </w:r>
      <w:r w:rsidR="00EC0CD5" w:rsidRPr="006D2720">
        <w:rPr>
          <w:rFonts w:ascii="Times New Roman" w:hAnsi="Times New Roman" w:cs="Times New Roman"/>
        </w:rPr>
        <w:t>a risk of re-identification which is likely to result in non-remediable serious harm.</w:t>
      </w:r>
      <w:r w:rsidR="00EC0CD5" w:rsidRPr="006D2720">
        <w:rPr>
          <w:rStyle w:val="FootnoteReference"/>
          <w:rFonts w:ascii="Times New Roman" w:hAnsi="Times New Roman" w:cs="Times New Roman"/>
        </w:rPr>
        <w:footnoteReference w:id="79"/>
      </w:r>
      <w:r w:rsidR="00EC0CD5" w:rsidRPr="006D2720">
        <w:rPr>
          <w:rFonts w:ascii="Times New Roman" w:hAnsi="Times New Roman" w:cs="Times New Roman"/>
        </w:rPr>
        <w:t xml:space="preserve"> </w:t>
      </w:r>
      <w:r w:rsidR="00EA3D61" w:rsidRPr="006D2720">
        <w:rPr>
          <w:rFonts w:ascii="Times New Roman" w:hAnsi="Times New Roman" w:cs="Times New Roman"/>
        </w:rPr>
        <w:t>The instances in which</w:t>
      </w:r>
      <w:r w:rsidR="00DC5C61" w:rsidRPr="006D2720">
        <w:rPr>
          <w:rFonts w:ascii="Times New Roman" w:hAnsi="Times New Roman" w:cs="Times New Roman"/>
        </w:rPr>
        <w:t xml:space="preserve"> data breaches </w:t>
      </w:r>
      <w:r w:rsidR="00EA3D61" w:rsidRPr="006D2720">
        <w:rPr>
          <w:rFonts w:ascii="Times New Roman" w:hAnsi="Times New Roman" w:cs="Times New Roman"/>
        </w:rPr>
        <w:t xml:space="preserve">must be notified to the individual </w:t>
      </w:r>
      <w:r w:rsidR="00DC5C61" w:rsidRPr="006D2720">
        <w:rPr>
          <w:rFonts w:ascii="Times New Roman" w:hAnsi="Times New Roman" w:cs="Times New Roman"/>
        </w:rPr>
        <w:t>are discussed further</w:t>
      </w:r>
      <w:bookmarkEnd w:id="194"/>
      <w:r w:rsidR="00D73ABB" w:rsidRPr="006D2720">
        <w:rPr>
          <w:rFonts w:ascii="Times New Roman" w:hAnsi="Times New Roman" w:cs="Times New Roman"/>
        </w:rPr>
        <w:t xml:space="preserve"> </w:t>
      </w:r>
      <w:r w:rsidR="00095F18" w:rsidRPr="006D2720">
        <w:rPr>
          <w:rFonts w:ascii="Times New Roman" w:hAnsi="Times New Roman" w:cs="Times New Roman"/>
        </w:rPr>
        <w:t xml:space="preserve">below </w:t>
      </w:r>
      <w:r w:rsidR="00D73ABB" w:rsidRPr="006D2720">
        <w:rPr>
          <w:rFonts w:ascii="Times New Roman" w:hAnsi="Times New Roman" w:cs="Times New Roman"/>
        </w:rPr>
        <w:t>at [</w:t>
      </w:r>
      <w:r w:rsidR="00DD29CD" w:rsidRPr="006D2720">
        <w:rPr>
          <w:rFonts w:ascii="Times New Roman" w:hAnsi="Times New Roman" w:cs="Times New Roman"/>
        </w:rPr>
        <w:fldChar w:fldCharType="begin"/>
      </w:r>
      <w:r w:rsidR="00DD29CD" w:rsidRPr="006D2720">
        <w:rPr>
          <w:rFonts w:ascii="Times New Roman" w:hAnsi="Times New Roman" w:cs="Times New Roman"/>
        </w:rPr>
        <w:instrText xml:space="preserve"> REF _Ref91827650 \r \h </w:instrText>
      </w:r>
      <w:r w:rsidR="006D2720">
        <w:rPr>
          <w:rFonts w:ascii="Times New Roman" w:hAnsi="Times New Roman" w:cs="Times New Roman"/>
        </w:rPr>
        <w:instrText xml:space="preserve"> \* MERGEFORMAT </w:instrText>
      </w:r>
      <w:r w:rsidR="00DD29CD" w:rsidRPr="006D2720">
        <w:rPr>
          <w:rFonts w:ascii="Times New Roman" w:hAnsi="Times New Roman" w:cs="Times New Roman"/>
        </w:rPr>
      </w:r>
      <w:r w:rsidR="00DD29CD" w:rsidRPr="006D2720">
        <w:rPr>
          <w:rFonts w:ascii="Times New Roman" w:hAnsi="Times New Roman" w:cs="Times New Roman"/>
        </w:rPr>
        <w:fldChar w:fldCharType="separate"/>
      </w:r>
      <w:r w:rsidR="00E66B60">
        <w:rPr>
          <w:rFonts w:ascii="Times New Roman" w:hAnsi="Times New Roman" w:cs="Times New Roman"/>
        </w:rPr>
        <w:t>2.4.21</w:t>
      </w:r>
      <w:r w:rsidR="00DD29CD" w:rsidRPr="006D2720">
        <w:rPr>
          <w:rFonts w:ascii="Times New Roman" w:hAnsi="Times New Roman" w:cs="Times New Roman"/>
        </w:rPr>
        <w:fldChar w:fldCharType="end"/>
      </w:r>
      <w:r w:rsidR="00D73ABB" w:rsidRPr="006D2720">
        <w:rPr>
          <w:rFonts w:ascii="Times New Roman" w:hAnsi="Times New Roman" w:cs="Times New Roman"/>
        </w:rPr>
        <w:t>]</w:t>
      </w:r>
      <w:r w:rsidR="00DD29CD" w:rsidRPr="006D2720">
        <w:rPr>
          <w:rFonts w:ascii="Times New Roman" w:hAnsi="Times New Roman" w:cs="Times New Roman"/>
        </w:rPr>
        <w:t>–[</w:t>
      </w:r>
      <w:r w:rsidR="00DD29CD" w:rsidRPr="006D2720">
        <w:rPr>
          <w:rFonts w:ascii="Times New Roman" w:hAnsi="Times New Roman" w:cs="Times New Roman"/>
        </w:rPr>
        <w:fldChar w:fldCharType="begin"/>
      </w:r>
      <w:r w:rsidR="00DD29CD" w:rsidRPr="006D2720">
        <w:rPr>
          <w:rFonts w:ascii="Times New Roman" w:hAnsi="Times New Roman" w:cs="Times New Roman"/>
        </w:rPr>
        <w:instrText xml:space="preserve"> REF _Ref128939536 \r \h </w:instrText>
      </w:r>
      <w:r w:rsidR="006D2720">
        <w:rPr>
          <w:rFonts w:ascii="Times New Roman" w:hAnsi="Times New Roman" w:cs="Times New Roman"/>
        </w:rPr>
        <w:instrText xml:space="preserve"> \* MERGEFORMAT </w:instrText>
      </w:r>
      <w:r w:rsidR="00DD29CD" w:rsidRPr="006D2720">
        <w:rPr>
          <w:rFonts w:ascii="Times New Roman" w:hAnsi="Times New Roman" w:cs="Times New Roman"/>
        </w:rPr>
      </w:r>
      <w:r w:rsidR="00DD29CD" w:rsidRPr="006D2720">
        <w:rPr>
          <w:rFonts w:ascii="Times New Roman" w:hAnsi="Times New Roman" w:cs="Times New Roman"/>
        </w:rPr>
        <w:fldChar w:fldCharType="separate"/>
      </w:r>
      <w:r w:rsidR="00E66B60">
        <w:rPr>
          <w:rFonts w:ascii="Times New Roman" w:hAnsi="Times New Roman" w:cs="Times New Roman"/>
        </w:rPr>
        <w:t>2.4.28</w:t>
      </w:r>
      <w:r w:rsidR="00DD29CD" w:rsidRPr="006D2720">
        <w:rPr>
          <w:rFonts w:ascii="Times New Roman" w:hAnsi="Times New Roman" w:cs="Times New Roman"/>
        </w:rPr>
        <w:fldChar w:fldCharType="end"/>
      </w:r>
      <w:r w:rsidR="00DD29CD" w:rsidRPr="006D2720">
        <w:rPr>
          <w:rFonts w:ascii="Times New Roman" w:hAnsi="Times New Roman" w:cs="Times New Roman"/>
        </w:rPr>
        <w:t>]</w:t>
      </w:r>
      <w:r w:rsidR="00D73ABB" w:rsidRPr="006D2720">
        <w:rPr>
          <w:rFonts w:ascii="Times New Roman" w:hAnsi="Times New Roman" w:cs="Times New Roman"/>
        </w:rPr>
        <w:t>.</w:t>
      </w:r>
      <w:r w:rsidRPr="006D2720">
        <w:rPr>
          <w:rFonts w:ascii="Times New Roman" w:hAnsi="Times New Roman" w:cs="Times New Roman"/>
        </w:rPr>
        <w:t xml:space="preserve"> </w:t>
      </w:r>
    </w:p>
    <w:p w14:paraId="27F2CE7C" w14:textId="12A65207" w:rsidR="004619C3" w:rsidRPr="006D2720" w:rsidRDefault="00F57E1D" w:rsidP="007A4310">
      <w:pPr>
        <w:rPr>
          <w:rFonts w:ascii="Times New Roman" w:hAnsi="Times New Roman" w:cs="Times New Roman"/>
          <w:b/>
          <w:bCs/>
          <w:i/>
          <w:iCs/>
        </w:rPr>
      </w:pPr>
      <w:r w:rsidRPr="006D2720">
        <w:rPr>
          <w:rFonts w:ascii="Times New Roman" w:hAnsi="Times New Roman" w:cs="Times New Roman"/>
          <w:b/>
          <w:bCs/>
          <w:i/>
          <w:iCs/>
        </w:rPr>
        <w:t>Deceased persons</w:t>
      </w:r>
    </w:p>
    <w:p w14:paraId="7017FC1C" w14:textId="450FEEFB" w:rsidR="008B18B4" w:rsidRPr="006D2720" w:rsidRDefault="00F51411" w:rsidP="0066337D">
      <w:pPr>
        <w:pStyle w:val="Heading3"/>
        <w:rPr>
          <w:rFonts w:ascii="Times New Roman" w:hAnsi="Times New Roman" w:cs="Times New Roman"/>
        </w:rPr>
      </w:pPr>
      <w:r w:rsidRPr="006D2720">
        <w:rPr>
          <w:rFonts w:ascii="Times New Roman" w:hAnsi="Times New Roman" w:cs="Times New Roman"/>
        </w:rPr>
        <w:t xml:space="preserve">The </w:t>
      </w:r>
      <w:r w:rsidR="00521540" w:rsidRPr="006D2720">
        <w:rPr>
          <w:rFonts w:ascii="Times New Roman" w:hAnsi="Times New Roman" w:cs="Times New Roman"/>
        </w:rPr>
        <w:t xml:space="preserve">PIPA protects the personal information of persons </w:t>
      </w:r>
      <w:r w:rsidR="004309D0" w:rsidRPr="006D2720">
        <w:rPr>
          <w:rFonts w:ascii="Times New Roman" w:hAnsi="Times New Roman" w:cs="Times New Roman"/>
        </w:rPr>
        <w:t>for up to 25 years after their death.</w:t>
      </w:r>
      <w:r w:rsidR="00D16B7A" w:rsidRPr="006D2720">
        <w:rPr>
          <w:rStyle w:val="FootnoteReference"/>
          <w:rFonts w:ascii="Times New Roman" w:hAnsi="Times New Roman" w:cs="Times New Roman"/>
        </w:rPr>
        <w:footnoteReference w:id="80"/>
      </w:r>
      <w:r w:rsidR="00EC6EB6" w:rsidRPr="006D2720">
        <w:rPr>
          <w:rFonts w:ascii="Times New Roman" w:hAnsi="Times New Roman" w:cs="Times New Roman"/>
        </w:rPr>
        <w:t xml:space="preserve"> Under </w:t>
      </w:r>
      <w:r w:rsidR="00E004BC" w:rsidRPr="006D2720">
        <w:rPr>
          <w:rFonts w:ascii="Times New Roman" w:hAnsi="Times New Roman" w:cs="Times New Roman"/>
        </w:rPr>
        <w:t>s</w:t>
      </w:r>
      <w:r w:rsidR="00F456B6" w:rsidRPr="006D2720">
        <w:rPr>
          <w:rFonts w:ascii="Times New Roman" w:hAnsi="Times New Roman" w:cs="Times New Roman"/>
        </w:rPr>
        <w:t>ection</w:t>
      </w:r>
      <w:r w:rsidR="00E004BC" w:rsidRPr="006D2720">
        <w:rPr>
          <w:rFonts w:ascii="Times New Roman" w:hAnsi="Times New Roman" w:cs="Times New Roman"/>
        </w:rPr>
        <w:t xml:space="preserve"> 3A, </w:t>
      </w:r>
      <w:r w:rsidR="00BC2D68" w:rsidRPr="006D2720">
        <w:rPr>
          <w:rFonts w:ascii="Times New Roman" w:hAnsi="Times New Roman" w:cs="Times New Roman"/>
        </w:rPr>
        <w:t xml:space="preserve">the </w:t>
      </w:r>
      <w:r w:rsidR="00BE250F" w:rsidRPr="006D2720">
        <w:rPr>
          <w:rFonts w:ascii="Times New Roman" w:hAnsi="Times New Roman" w:cs="Times New Roman"/>
        </w:rPr>
        <w:t xml:space="preserve">next of kin is able to exercise the personal information rights of </w:t>
      </w:r>
      <w:r w:rsidR="00BC2D68" w:rsidRPr="006D2720">
        <w:rPr>
          <w:rFonts w:ascii="Times New Roman" w:hAnsi="Times New Roman" w:cs="Times New Roman"/>
        </w:rPr>
        <w:t>a deceased person, including amending and correcting the personal information in question.</w:t>
      </w:r>
      <w:r w:rsidR="006414BF" w:rsidRPr="006D2720">
        <w:rPr>
          <w:rFonts w:ascii="Times New Roman" w:hAnsi="Times New Roman" w:cs="Times New Roman"/>
        </w:rPr>
        <w:t xml:space="preserve"> This aligns with rights provided by the </w:t>
      </w:r>
      <w:r w:rsidR="006414BF" w:rsidRPr="006D2720">
        <w:rPr>
          <w:rFonts w:ascii="Times New Roman" w:hAnsi="Times New Roman" w:cs="Times New Roman"/>
          <w:i/>
          <w:iCs/>
        </w:rPr>
        <w:t>Right to Information Act 2009</w:t>
      </w:r>
      <w:r w:rsidR="005C314A" w:rsidRPr="006D2720">
        <w:rPr>
          <w:rFonts w:ascii="Times New Roman" w:hAnsi="Times New Roman" w:cs="Times New Roman"/>
        </w:rPr>
        <w:t xml:space="preserve"> (Tas)</w:t>
      </w:r>
      <w:r w:rsidR="004309D0" w:rsidRPr="006D2720">
        <w:rPr>
          <w:rFonts w:ascii="Times New Roman" w:hAnsi="Times New Roman" w:cs="Times New Roman"/>
        </w:rPr>
        <w:t>.</w:t>
      </w:r>
      <w:r w:rsidR="004309D0" w:rsidRPr="006D2720">
        <w:rPr>
          <w:rStyle w:val="FootnoteReference"/>
          <w:rFonts w:ascii="Times New Roman" w:hAnsi="Times New Roman" w:cs="Times New Roman"/>
        </w:rPr>
        <w:footnoteReference w:id="81"/>
      </w:r>
    </w:p>
    <w:p w14:paraId="0F4FE605" w14:textId="77777777" w:rsidR="008B18B4" w:rsidRPr="006D2720" w:rsidRDefault="008B18B4">
      <w:pPr>
        <w:rPr>
          <w:rFonts w:ascii="Times New Roman" w:eastAsiaTheme="majorEastAsia" w:hAnsi="Times New Roman" w:cs="Times New Roman"/>
          <w:bCs/>
          <w:color w:val="0D0D0D" w:themeColor="text1" w:themeTint="F2"/>
          <w:szCs w:val="21"/>
        </w:rPr>
      </w:pPr>
      <w:r w:rsidRPr="006D2720">
        <w:rPr>
          <w:rFonts w:ascii="Times New Roman" w:hAnsi="Times New Roman" w:cs="Times New Roman"/>
        </w:rPr>
        <w:br w:type="page"/>
      </w:r>
    </w:p>
    <w:p w14:paraId="0F84974D" w14:textId="120094C1" w:rsidR="000E2B2A" w:rsidRPr="006D2720" w:rsidRDefault="000E2B2A" w:rsidP="0066337D">
      <w:pPr>
        <w:pStyle w:val="Heading3"/>
        <w:rPr>
          <w:rFonts w:ascii="Times New Roman" w:hAnsi="Times New Roman" w:cs="Times New Roman"/>
        </w:rPr>
      </w:pPr>
      <w:r w:rsidRPr="006D2720">
        <w:rPr>
          <w:rFonts w:ascii="Times New Roman" w:hAnsi="Times New Roman" w:cs="Times New Roman"/>
        </w:rPr>
        <w:t xml:space="preserve">Privacy legislation in </w:t>
      </w:r>
      <w:r w:rsidR="00614884" w:rsidRPr="006D2720">
        <w:rPr>
          <w:rFonts w:ascii="Times New Roman" w:hAnsi="Times New Roman" w:cs="Times New Roman"/>
        </w:rPr>
        <w:t>NSW</w:t>
      </w:r>
      <w:r w:rsidR="0088775A" w:rsidRPr="006D2720">
        <w:rPr>
          <w:rFonts w:ascii="Times New Roman" w:hAnsi="Times New Roman" w:cs="Times New Roman"/>
        </w:rPr>
        <w:t xml:space="preserve"> </w:t>
      </w:r>
      <w:r w:rsidRPr="006D2720">
        <w:rPr>
          <w:rFonts w:ascii="Times New Roman" w:hAnsi="Times New Roman" w:cs="Times New Roman"/>
        </w:rPr>
        <w:t xml:space="preserve">and Victoria similarly </w:t>
      </w:r>
      <w:r w:rsidR="004309D0" w:rsidRPr="006D2720">
        <w:rPr>
          <w:rFonts w:ascii="Times New Roman" w:hAnsi="Times New Roman" w:cs="Times New Roman"/>
        </w:rPr>
        <w:t>protect</w:t>
      </w:r>
      <w:r w:rsidR="00C16B7D" w:rsidRPr="006D2720">
        <w:rPr>
          <w:rFonts w:ascii="Times New Roman" w:hAnsi="Times New Roman" w:cs="Times New Roman"/>
        </w:rPr>
        <w:t>s</w:t>
      </w:r>
      <w:r w:rsidR="004309D0" w:rsidRPr="006D2720">
        <w:rPr>
          <w:rFonts w:ascii="Times New Roman" w:hAnsi="Times New Roman" w:cs="Times New Roman"/>
        </w:rPr>
        <w:t xml:space="preserve"> the personal information of </w:t>
      </w:r>
      <w:r w:rsidR="00BF1437" w:rsidRPr="006D2720">
        <w:rPr>
          <w:rFonts w:ascii="Times New Roman" w:hAnsi="Times New Roman" w:cs="Times New Roman"/>
        </w:rPr>
        <w:t xml:space="preserve">deceased </w:t>
      </w:r>
      <w:r w:rsidR="00693938" w:rsidRPr="006D2720">
        <w:rPr>
          <w:rFonts w:ascii="Times New Roman" w:hAnsi="Times New Roman" w:cs="Times New Roman"/>
        </w:rPr>
        <w:t>individuals</w:t>
      </w:r>
      <w:r w:rsidR="00BF1437" w:rsidRPr="006D2720">
        <w:rPr>
          <w:rFonts w:ascii="Times New Roman" w:hAnsi="Times New Roman" w:cs="Times New Roman"/>
        </w:rPr>
        <w:t xml:space="preserve">, but for a longer period of not more than </w:t>
      </w:r>
      <w:r w:rsidR="00693938" w:rsidRPr="006D2720">
        <w:rPr>
          <w:rFonts w:ascii="Times New Roman" w:hAnsi="Times New Roman" w:cs="Times New Roman"/>
        </w:rPr>
        <w:t>30 years</w:t>
      </w:r>
      <w:r w:rsidR="00BF1437" w:rsidRPr="006D2720">
        <w:rPr>
          <w:rFonts w:ascii="Times New Roman" w:hAnsi="Times New Roman" w:cs="Times New Roman"/>
        </w:rPr>
        <w:t xml:space="preserve"> after their death</w:t>
      </w:r>
      <w:r w:rsidR="00693938" w:rsidRPr="006D2720">
        <w:rPr>
          <w:rFonts w:ascii="Times New Roman" w:hAnsi="Times New Roman" w:cs="Times New Roman"/>
        </w:rPr>
        <w:t>.</w:t>
      </w:r>
      <w:r w:rsidR="00693938" w:rsidRPr="006D2720">
        <w:rPr>
          <w:rStyle w:val="FootnoteReference"/>
          <w:rFonts w:ascii="Times New Roman" w:hAnsi="Times New Roman" w:cs="Times New Roman"/>
        </w:rPr>
        <w:footnoteReference w:id="82"/>
      </w:r>
      <w:r w:rsidR="00087AD7" w:rsidRPr="006D2720">
        <w:rPr>
          <w:rFonts w:ascii="Times New Roman" w:hAnsi="Times New Roman" w:cs="Times New Roman"/>
        </w:rPr>
        <w:t xml:space="preserve"> </w:t>
      </w:r>
      <w:r w:rsidR="003F270F" w:rsidRPr="006D2720">
        <w:rPr>
          <w:rFonts w:ascii="Times New Roman" w:hAnsi="Times New Roman" w:cs="Times New Roman"/>
        </w:rPr>
        <w:t>Recommendations</w:t>
      </w:r>
      <w:r w:rsidR="003F270F" w:rsidRPr="006D2720">
        <w:rPr>
          <w:rStyle w:val="FootnoteReference"/>
          <w:rFonts w:ascii="Times New Roman" w:hAnsi="Times New Roman" w:cs="Times New Roman"/>
          <w:iCs/>
        </w:rPr>
        <w:footnoteReference w:id="83"/>
      </w:r>
      <w:r w:rsidR="003F270F" w:rsidRPr="006D2720">
        <w:rPr>
          <w:rFonts w:ascii="Times New Roman" w:hAnsi="Times New Roman" w:cs="Times New Roman"/>
        </w:rPr>
        <w:t xml:space="preserve"> and efforts have been made towards developing a nationally consistent approach towards a</w:t>
      </w:r>
      <w:r w:rsidR="003F270F" w:rsidRPr="006D2720">
        <w:rPr>
          <w:rFonts w:ascii="Times New Roman" w:hAnsi="Times New Roman" w:cs="Times New Roman"/>
          <w:iCs/>
        </w:rPr>
        <w:t>ccessing digital records upon death or incapacity</w:t>
      </w:r>
      <w:r w:rsidR="00FA40DD" w:rsidRPr="006D2720">
        <w:rPr>
          <w:rFonts w:ascii="Times New Roman" w:hAnsi="Times New Roman" w:cs="Times New Roman"/>
          <w:iCs/>
        </w:rPr>
        <w:t>.</w:t>
      </w:r>
      <w:r w:rsidR="003F270F" w:rsidRPr="006D2720">
        <w:rPr>
          <w:rStyle w:val="FootnoteReference"/>
          <w:rFonts w:ascii="Times New Roman" w:hAnsi="Times New Roman" w:cs="Times New Roman"/>
        </w:rPr>
        <w:footnoteReference w:id="84"/>
      </w:r>
      <w:r w:rsidR="00FA40DD" w:rsidRPr="006D2720">
        <w:rPr>
          <w:rFonts w:ascii="Times New Roman" w:hAnsi="Times New Roman" w:cs="Times New Roman"/>
          <w:iCs/>
        </w:rPr>
        <w:t xml:space="preserve"> </w:t>
      </w:r>
      <w:r w:rsidR="00D46E12" w:rsidRPr="006D2720">
        <w:rPr>
          <w:rFonts w:ascii="Times New Roman" w:hAnsi="Times New Roman" w:cs="Times New Roman"/>
          <w:iCs/>
        </w:rPr>
        <w:t>At</w:t>
      </w:r>
      <w:r w:rsidR="00FA40DD" w:rsidRPr="006D2720">
        <w:rPr>
          <w:rFonts w:ascii="Times New Roman" w:hAnsi="Times New Roman" w:cs="Times New Roman"/>
          <w:iCs/>
        </w:rPr>
        <w:t xml:space="preserve"> a Meeting of Attorneys-General</w:t>
      </w:r>
      <w:r w:rsidR="0003481D" w:rsidRPr="006D2720">
        <w:rPr>
          <w:rFonts w:ascii="Times New Roman" w:hAnsi="Times New Roman" w:cs="Times New Roman"/>
          <w:iCs/>
        </w:rPr>
        <w:t xml:space="preserve"> in August 2022</w:t>
      </w:r>
      <w:r w:rsidR="00FA40DD" w:rsidRPr="006D2720">
        <w:rPr>
          <w:rFonts w:ascii="Times New Roman" w:hAnsi="Times New Roman" w:cs="Times New Roman"/>
          <w:iCs/>
        </w:rPr>
        <w:t xml:space="preserve"> participants agreed on a </w:t>
      </w:r>
      <w:r w:rsidR="0003481D" w:rsidRPr="006D2720">
        <w:rPr>
          <w:rFonts w:ascii="Times New Roman" w:hAnsi="Times New Roman" w:cs="Times New Roman"/>
          <w:iCs/>
        </w:rPr>
        <w:t>‘</w:t>
      </w:r>
      <w:r w:rsidR="00FA40DD" w:rsidRPr="006D2720">
        <w:rPr>
          <w:rFonts w:ascii="Times New Roman" w:hAnsi="Times New Roman" w:cs="Times New Roman"/>
          <w:iCs/>
        </w:rPr>
        <w:t>national workplan for consideration of a nationally consistent scheme for access to digital records upon death or loss of decision-making capacity</w:t>
      </w:r>
      <w:r w:rsidR="00F30EF0" w:rsidRPr="006D2720">
        <w:rPr>
          <w:rFonts w:ascii="Times New Roman" w:hAnsi="Times New Roman" w:cs="Times New Roman"/>
          <w:iCs/>
        </w:rPr>
        <w:t>’</w:t>
      </w:r>
      <w:r w:rsidR="003F270F" w:rsidRPr="006D2720">
        <w:rPr>
          <w:rFonts w:ascii="Times New Roman" w:hAnsi="Times New Roman" w:cs="Times New Roman"/>
          <w:iCs/>
        </w:rPr>
        <w:t>.</w:t>
      </w:r>
      <w:r w:rsidR="0003481D" w:rsidRPr="006D2720">
        <w:rPr>
          <w:rStyle w:val="FootnoteReference"/>
          <w:rFonts w:ascii="Times New Roman" w:hAnsi="Times New Roman" w:cs="Times New Roman"/>
          <w:iCs/>
        </w:rPr>
        <w:footnoteReference w:id="85"/>
      </w:r>
      <w:r w:rsidR="0003481D" w:rsidRPr="006D2720">
        <w:rPr>
          <w:rFonts w:ascii="Times New Roman" w:hAnsi="Times New Roman" w:cs="Times New Roman"/>
          <w:iCs/>
        </w:rPr>
        <w:t xml:space="preserve"> </w:t>
      </w:r>
      <w:r w:rsidR="00D46E12" w:rsidRPr="006D2720">
        <w:rPr>
          <w:rFonts w:ascii="Times New Roman" w:hAnsi="Times New Roman" w:cs="Times New Roman"/>
          <w:iCs/>
        </w:rPr>
        <w:t>Furthermore</w:t>
      </w:r>
      <w:r w:rsidR="00F30EF0" w:rsidRPr="006D2720">
        <w:rPr>
          <w:rFonts w:ascii="Times New Roman" w:hAnsi="Times New Roman" w:cs="Times New Roman"/>
          <w:iCs/>
        </w:rPr>
        <w:t>,</w:t>
      </w:r>
      <w:r w:rsidR="00D46E12" w:rsidRPr="006D2720">
        <w:rPr>
          <w:rFonts w:ascii="Times New Roman" w:hAnsi="Times New Roman" w:cs="Times New Roman"/>
          <w:iCs/>
        </w:rPr>
        <w:t xml:space="preserve"> the </w:t>
      </w:r>
      <w:r w:rsidR="0003481D" w:rsidRPr="006D2720">
        <w:rPr>
          <w:rFonts w:ascii="Times New Roman" w:hAnsi="Times New Roman" w:cs="Times New Roman"/>
          <w:iCs/>
        </w:rPr>
        <w:t xml:space="preserve">participants </w:t>
      </w:r>
      <w:r w:rsidR="00D46E12" w:rsidRPr="006D2720">
        <w:rPr>
          <w:rFonts w:ascii="Times New Roman" w:hAnsi="Times New Roman" w:cs="Times New Roman"/>
          <w:iCs/>
        </w:rPr>
        <w:t xml:space="preserve">agreed </w:t>
      </w:r>
      <w:r w:rsidR="0003481D" w:rsidRPr="006D2720">
        <w:rPr>
          <w:rFonts w:ascii="Times New Roman" w:hAnsi="Times New Roman" w:cs="Times New Roman"/>
          <w:iCs/>
        </w:rPr>
        <w:t>to ‘provide drafting instructions to the Parliamentary Counsel’s Committee (PCC) for the development of uniform model legislation for a national access scheme for digital records after death or incapacity</w:t>
      </w:r>
      <w:r w:rsidR="00D46E12" w:rsidRPr="006D2720">
        <w:rPr>
          <w:rFonts w:ascii="Times New Roman" w:hAnsi="Times New Roman" w:cs="Times New Roman"/>
          <w:iCs/>
        </w:rPr>
        <w:t>’ and noted that ‘</w:t>
      </w:r>
      <w:r w:rsidR="0003481D" w:rsidRPr="006D2720">
        <w:rPr>
          <w:rFonts w:ascii="Times New Roman" w:hAnsi="Times New Roman" w:cs="Times New Roman"/>
          <w:iCs/>
        </w:rPr>
        <w:t>officials will work with PCC to prepare draft model laws for public consultation in 2023</w:t>
      </w:r>
      <w:r w:rsidR="00F30EF0" w:rsidRPr="006D2720">
        <w:rPr>
          <w:rFonts w:ascii="Times New Roman" w:hAnsi="Times New Roman" w:cs="Times New Roman"/>
          <w:iCs/>
        </w:rPr>
        <w:t>’</w:t>
      </w:r>
      <w:r w:rsidR="0003481D" w:rsidRPr="006D2720">
        <w:rPr>
          <w:rFonts w:ascii="Times New Roman" w:hAnsi="Times New Roman" w:cs="Times New Roman"/>
          <w:iCs/>
        </w:rPr>
        <w:t>.</w:t>
      </w:r>
      <w:r w:rsidR="003F270F" w:rsidRPr="006D2720">
        <w:rPr>
          <w:rStyle w:val="FootnoteReference"/>
          <w:rFonts w:ascii="Times New Roman" w:hAnsi="Times New Roman" w:cs="Times New Roman"/>
        </w:rPr>
        <w:footnoteReference w:id="86"/>
      </w:r>
      <w:r w:rsidR="009019AC" w:rsidRPr="006D2720">
        <w:rPr>
          <w:rFonts w:ascii="Times New Roman" w:hAnsi="Times New Roman" w:cs="Times New Roman"/>
        </w:rPr>
        <w:t xml:space="preserve"> </w:t>
      </w:r>
    </w:p>
    <w:p w14:paraId="15406672" w14:textId="73A04F8A" w:rsidR="009019AC" w:rsidRPr="006D2720" w:rsidRDefault="00E45C07" w:rsidP="003B737B">
      <w:pPr>
        <w:pStyle w:val="Heading2"/>
        <w:numPr>
          <w:ilvl w:val="0"/>
          <w:numId w:val="0"/>
        </w:numPr>
        <w:ind w:left="578" w:hanging="578"/>
        <w:rPr>
          <w:rFonts w:ascii="Times New Roman" w:hAnsi="Times New Roman" w:cs="Times New Roman"/>
          <w:i/>
          <w:iCs/>
        </w:rPr>
      </w:pPr>
      <w:bookmarkStart w:id="195" w:name="_Types_of_information"/>
      <w:bookmarkStart w:id="196" w:name="_Ref90071142"/>
      <w:bookmarkStart w:id="197" w:name="_Toc91831998"/>
      <w:bookmarkStart w:id="198" w:name="_Toc130540432"/>
      <w:bookmarkEnd w:id="195"/>
      <w:r w:rsidRPr="006D2720">
        <w:rPr>
          <w:rFonts w:ascii="Times New Roman" w:hAnsi="Times New Roman" w:cs="Times New Roman"/>
          <w:i/>
          <w:iCs/>
        </w:rPr>
        <w:t>Types of i</w:t>
      </w:r>
      <w:r w:rsidR="00240DA3" w:rsidRPr="006D2720">
        <w:rPr>
          <w:rFonts w:ascii="Times New Roman" w:hAnsi="Times New Roman" w:cs="Times New Roman"/>
          <w:i/>
          <w:iCs/>
        </w:rPr>
        <w:t>nformation given additional protection</w:t>
      </w:r>
      <w:bookmarkEnd w:id="196"/>
      <w:bookmarkEnd w:id="197"/>
      <w:bookmarkEnd w:id="198"/>
    </w:p>
    <w:p w14:paraId="71991D9C" w14:textId="6482F89C" w:rsidR="00D10881" w:rsidRPr="006D2720" w:rsidRDefault="00D10881" w:rsidP="00CA1A69">
      <w:pPr>
        <w:pStyle w:val="Heading3"/>
        <w:rPr>
          <w:rFonts w:ascii="Times New Roman" w:hAnsi="Times New Roman" w:cs="Times New Roman"/>
        </w:rPr>
      </w:pPr>
      <w:bookmarkStart w:id="199" w:name="_Ref129292460"/>
      <w:r w:rsidRPr="006D2720">
        <w:rPr>
          <w:rFonts w:ascii="Times New Roman" w:hAnsi="Times New Roman" w:cs="Times New Roman"/>
        </w:rPr>
        <w:t xml:space="preserve">Within what amounts to ‘personal information’, </w:t>
      </w:r>
      <w:r w:rsidR="0053660D" w:rsidRPr="006D2720">
        <w:rPr>
          <w:rFonts w:ascii="Times New Roman" w:hAnsi="Times New Roman" w:cs="Times New Roman"/>
        </w:rPr>
        <w:t xml:space="preserve">the </w:t>
      </w:r>
      <w:r w:rsidRPr="006D2720">
        <w:rPr>
          <w:rFonts w:ascii="Times New Roman" w:hAnsi="Times New Roman" w:cs="Times New Roman"/>
        </w:rPr>
        <w:t>PIPA further distinguishes several categories of information which are subject to greater or lesser protection, including basic, health, sensitive, employee, and law enforcement information. This section discusses information that is granted additional protection.</w:t>
      </w:r>
      <w:bookmarkEnd w:id="199"/>
    </w:p>
    <w:p w14:paraId="3854EB11" w14:textId="042C7BF4" w:rsidR="00841CCB" w:rsidRPr="006D2720" w:rsidRDefault="00841CCB" w:rsidP="00841CCB">
      <w:pPr>
        <w:keepNext/>
        <w:rPr>
          <w:rFonts w:ascii="Times New Roman" w:hAnsi="Times New Roman" w:cs="Times New Roman"/>
          <w:b/>
          <w:bCs/>
          <w:i/>
          <w:iCs/>
        </w:rPr>
      </w:pPr>
      <w:r w:rsidRPr="006D2720">
        <w:rPr>
          <w:rFonts w:ascii="Times New Roman" w:hAnsi="Times New Roman" w:cs="Times New Roman"/>
          <w:b/>
          <w:bCs/>
          <w:i/>
          <w:iCs/>
        </w:rPr>
        <w:t>Sensitive information</w:t>
      </w:r>
    </w:p>
    <w:p w14:paraId="41BA3B40" w14:textId="7D24E102" w:rsidR="00EE5903" w:rsidRPr="006D2720" w:rsidRDefault="00C67869" w:rsidP="00C67869">
      <w:pPr>
        <w:pStyle w:val="Heading3"/>
        <w:rPr>
          <w:rFonts w:ascii="Times New Roman" w:hAnsi="Times New Roman" w:cs="Times New Roman"/>
        </w:rPr>
      </w:pPr>
      <w:r w:rsidRPr="006D2720">
        <w:rPr>
          <w:rFonts w:ascii="Times New Roman" w:hAnsi="Times New Roman" w:cs="Times New Roman"/>
        </w:rPr>
        <w:t>Under the PIPA framework, certain categories of personal information are classed as ‘sensitive information’</w:t>
      </w:r>
      <w:r w:rsidR="00A12456" w:rsidRPr="006D2720">
        <w:rPr>
          <w:rFonts w:ascii="Times New Roman" w:hAnsi="Times New Roman" w:cs="Times New Roman"/>
        </w:rPr>
        <w:t xml:space="preserve">, </w:t>
      </w:r>
      <w:r w:rsidRPr="006D2720">
        <w:rPr>
          <w:rFonts w:ascii="Times New Roman" w:hAnsi="Times New Roman" w:cs="Times New Roman"/>
        </w:rPr>
        <w:t>defined as:</w:t>
      </w:r>
      <w:r w:rsidRPr="006D2720">
        <w:rPr>
          <w:rStyle w:val="FootnoteReference"/>
          <w:rFonts w:ascii="Times New Roman" w:hAnsi="Times New Roman" w:cs="Times New Roman"/>
        </w:rPr>
        <w:footnoteReference w:id="87"/>
      </w:r>
    </w:p>
    <w:p w14:paraId="207FDBAC" w14:textId="4E2C4ACE" w:rsidR="00EE5903" w:rsidRPr="006D2720" w:rsidRDefault="00095F18" w:rsidP="00EE5903">
      <w:pPr>
        <w:pStyle w:val="Blockquote"/>
        <w:rPr>
          <w:rFonts w:ascii="Times New Roman" w:hAnsi="Times New Roman" w:cs="Times New Roman"/>
        </w:rPr>
      </w:pPr>
      <w:r w:rsidRPr="006D2720">
        <w:rPr>
          <w:rFonts w:ascii="Times New Roman" w:hAnsi="Times New Roman" w:cs="Times New Roman"/>
        </w:rPr>
        <w:t>‘</w:t>
      </w:r>
      <w:r w:rsidR="00EE5903" w:rsidRPr="006D2720">
        <w:rPr>
          <w:rFonts w:ascii="Times New Roman" w:hAnsi="Times New Roman" w:cs="Times New Roman"/>
        </w:rPr>
        <w:t xml:space="preserve">(a) personal information </w:t>
      </w:r>
      <w:r w:rsidR="004B5CAA" w:rsidRPr="006D2720">
        <w:rPr>
          <w:rFonts w:ascii="Times New Roman" w:hAnsi="Times New Roman" w:cs="Times New Roman"/>
        </w:rPr>
        <w:t>o</w:t>
      </w:r>
      <w:r w:rsidR="00EE5903" w:rsidRPr="006D2720">
        <w:rPr>
          <w:rFonts w:ascii="Times New Roman" w:hAnsi="Times New Roman" w:cs="Times New Roman"/>
        </w:rPr>
        <w:t>r an opinion relating to personal information about an individual</w:t>
      </w:r>
      <w:r w:rsidR="004F12E3" w:rsidRPr="006D2720">
        <w:rPr>
          <w:rFonts w:ascii="Times New Roman" w:hAnsi="Times New Roman" w:cs="Times New Roman"/>
        </w:rPr>
        <w:t>’</w:t>
      </w:r>
      <w:r w:rsidR="00EE5903" w:rsidRPr="006D2720">
        <w:rPr>
          <w:rFonts w:ascii="Times New Roman" w:hAnsi="Times New Roman" w:cs="Times New Roman"/>
        </w:rPr>
        <w:t>s –</w:t>
      </w:r>
    </w:p>
    <w:p w14:paraId="641B0BA8"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(i) racial or ethnic origin; or</w:t>
      </w:r>
    </w:p>
    <w:p w14:paraId="7C9B1261"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(ii) political opinions; or</w:t>
      </w:r>
    </w:p>
    <w:p w14:paraId="641D1816"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(iii) membership of a political association; or</w:t>
      </w:r>
    </w:p>
    <w:p w14:paraId="4B31DFC7"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(iv) religious beliefs or affiliations; or</w:t>
      </w:r>
    </w:p>
    <w:p w14:paraId="5362C2B0"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(v) philosophical beliefs; or</w:t>
      </w:r>
    </w:p>
    <w:p w14:paraId="0ED3BB46"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(vi) membership of a professional or trade association; or</w:t>
      </w:r>
    </w:p>
    <w:p w14:paraId="6BC41E08"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(vii) membership of a trade union; or</w:t>
      </w:r>
    </w:p>
    <w:p w14:paraId="5DC0FC2F"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(viii) sexual preferences or practices; or</w:t>
      </w:r>
    </w:p>
    <w:p w14:paraId="4F978AD6" w14:textId="77777777" w:rsidR="00EE5903" w:rsidRPr="006D2720" w:rsidRDefault="00EE5903" w:rsidP="00EE5903">
      <w:pPr>
        <w:pStyle w:val="Blockquote"/>
        <w:ind w:left="1440"/>
        <w:rPr>
          <w:rFonts w:ascii="Times New Roman" w:hAnsi="Times New Roman" w:cs="Times New Roman"/>
        </w:rPr>
      </w:pPr>
      <w:r w:rsidRPr="006D2720">
        <w:rPr>
          <w:rFonts w:ascii="Times New Roman" w:hAnsi="Times New Roman" w:cs="Times New Roman"/>
        </w:rPr>
        <w:t>(ix) criminal record; and</w:t>
      </w:r>
    </w:p>
    <w:p w14:paraId="556D1599" w14:textId="7BACB025" w:rsidR="00841CCB" w:rsidRPr="006D2720" w:rsidRDefault="00EE5903" w:rsidP="00CA1A69">
      <w:pPr>
        <w:pStyle w:val="Blockquote"/>
        <w:rPr>
          <w:rFonts w:ascii="Times New Roman" w:hAnsi="Times New Roman" w:cs="Times New Roman"/>
        </w:rPr>
      </w:pPr>
      <w:r w:rsidRPr="006D2720">
        <w:rPr>
          <w:rFonts w:ascii="Times New Roman" w:hAnsi="Times New Roman" w:cs="Times New Roman"/>
        </w:rPr>
        <w:t>(b) health information about an individual</w:t>
      </w:r>
      <w:r w:rsidR="00875735" w:rsidRPr="006D2720">
        <w:rPr>
          <w:rFonts w:ascii="Times New Roman" w:hAnsi="Times New Roman" w:cs="Times New Roman"/>
        </w:rPr>
        <w:t>;</w:t>
      </w:r>
      <w:r w:rsidR="00095F18" w:rsidRPr="006D2720">
        <w:rPr>
          <w:rFonts w:ascii="Times New Roman" w:hAnsi="Times New Roman" w:cs="Times New Roman"/>
        </w:rPr>
        <w:t>’.</w:t>
      </w:r>
    </w:p>
    <w:p w14:paraId="492A069D" w14:textId="74EF5FBB" w:rsidR="00841CCB" w:rsidRPr="006D2720" w:rsidRDefault="00B30884" w:rsidP="00CA1A69">
      <w:pPr>
        <w:pStyle w:val="Heading3"/>
        <w:rPr>
          <w:rFonts w:ascii="Times New Roman" w:hAnsi="Times New Roman" w:cs="Times New Roman"/>
        </w:rPr>
      </w:pPr>
      <w:r w:rsidRPr="006D2720">
        <w:rPr>
          <w:rFonts w:ascii="Times New Roman" w:hAnsi="Times New Roman" w:cs="Times New Roman"/>
        </w:rPr>
        <w:t>The categorisation of personal information as ‘s</w:t>
      </w:r>
      <w:r w:rsidR="00841CCB" w:rsidRPr="006D2720">
        <w:rPr>
          <w:rFonts w:ascii="Times New Roman" w:hAnsi="Times New Roman" w:cs="Times New Roman"/>
        </w:rPr>
        <w:t>ensitive information</w:t>
      </w:r>
      <w:r w:rsidRPr="006D2720">
        <w:rPr>
          <w:rFonts w:ascii="Times New Roman" w:hAnsi="Times New Roman" w:cs="Times New Roman"/>
        </w:rPr>
        <w:t xml:space="preserve">’ </w:t>
      </w:r>
      <w:r w:rsidR="00841CCB" w:rsidRPr="006D2720">
        <w:rPr>
          <w:rFonts w:ascii="Times New Roman" w:hAnsi="Times New Roman" w:cs="Times New Roman"/>
        </w:rPr>
        <w:t xml:space="preserve">generally gives rise to additional requirements under the PIPPs. </w:t>
      </w:r>
      <w:r w:rsidR="007519E7" w:rsidRPr="006D2720">
        <w:rPr>
          <w:rFonts w:ascii="Times New Roman" w:hAnsi="Times New Roman" w:cs="Times New Roman"/>
        </w:rPr>
        <w:t>First, u</w:t>
      </w:r>
      <w:r w:rsidR="00841CCB" w:rsidRPr="006D2720">
        <w:rPr>
          <w:rFonts w:ascii="Times New Roman" w:hAnsi="Times New Roman" w:cs="Times New Roman"/>
        </w:rPr>
        <w:t>se or disclosure of sensitive information must</w:t>
      </w:r>
      <w:r w:rsidR="00504620" w:rsidRPr="006D2720">
        <w:rPr>
          <w:rFonts w:ascii="Times New Roman" w:hAnsi="Times New Roman" w:cs="Times New Roman"/>
        </w:rPr>
        <w:t xml:space="preserve"> </w:t>
      </w:r>
      <w:r w:rsidR="00841CCB" w:rsidRPr="006D2720">
        <w:rPr>
          <w:rFonts w:ascii="Times New Roman" w:hAnsi="Times New Roman" w:cs="Times New Roman"/>
        </w:rPr>
        <w:t xml:space="preserve">be </w:t>
      </w:r>
      <w:r w:rsidR="00841CCB" w:rsidRPr="006D2720">
        <w:rPr>
          <w:rFonts w:ascii="Times New Roman" w:hAnsi="Times New Roman" w:cs="Times New Roman"/>
          <w:i/>
          <w:iCs/>
        </w:rPr>
        <w:t>directly</w:t>
      </w:r>
      <w:r w:rsidR="00841CCB" w:rsidRPr="006D2720">
        <w:rPr>
          <w:rFonts w:ascii="Times New Roman" w:hAnsi="Times New Roman" w:cs="Times New Roman"/>
        </w:rPr>
        <w:t xml:space="preserve"> related</w:t>
      </w:r>
      <w:r w:rsidR="003F11A4" w:rsidRPr="006D2720">
        <w:rPr>
          <w:rFonts w:ascii="Times New Roman" w:hAnsi="Times New Roman" w:cs="Times New Roman"/>
        </w:rPr>
        <w:t>—rather than related, simpliciter—</w:t>
      </w:r>
      <w:r w:rsidR="00841CCB" w:rsidRPr="006D2720">
        <w:rPr>
          <w:rFonts w:ascii="Times New Roman" w:hAnsi="Times New Roman" w:cs="Times New Roman"/>
        </w:rPr>
        <w:t>to the primary purpose for which the information was collected.</w:t>
      </w:r>
      <w:r w:rsidR="00841CCB" w:rsidRPr="006D2720">
        <w:rPr>
          <w:rStyle w:val="FootnoteReference"/>
          <w:rFonts w:ascii="Times New Roman" w:hAnsi="Times New Roman" w:cs="Times New Roman"/>
        </w:rPr>
        <w:footnoteReference w:id="88"/>
      </w:r>
      <w:r w:rsidR="00841CCB" w:rsidRPr="006D2720">
        <w:rPr>
          <w:rFonts w:ascii="Times New Roman" w:hAnsi="Times New Roman" w:cs="Times New Roman"/>
        </w:rPr>
        <w:t xml:space="preserve"> </w:t>
      </w:r>
      <w:r w:rsidR="00BE652E" w:rsidRPr="006D2720">
        <w:rPr>
          <w:rFonts w:ascii="Times New Roman" w:hAnsi="Times New Roman" w:cs="Times New Roman"/>
        </w:rPr>
        <w:t>Second, c</w:t>
      </w:r>
      <w:r w:rsidR="00841CCB" w:rsidRPr="006D2720">
        <w:rPr>
          <w:rFonts w:ascii="Times New Roman" w:hAnsi="Times New Roman" w:cs="Times New Roman"/>
        </w:rPr>
        <w:t>ollecting sensitive information requires the consent of the individual concerned</w:t>
      </w:r>
      <w:r w:rsidR="004E238E" w:rsidRPr="006D2720">
        <w:rPr>
          <w:rFonts w:ascii="Times New Roman" w:hAnsi="Times New Roman" w:cs="Times New Roman"/>
        </w:rPr>
        <w:t xml:space="preserve"> unless the </w:t>
      </w:r>
      <w:r w:rsidR="0053660D" w:rsidRPr="006D2720">
        <w:rPr>
          <w:rFonts w:ascii="Times New Roman" w:hAnsi="Times New Roman" w:cs="Times New Roman"/>
        </w:rPr>
        <w:t xml:space="preserve">PIPA </w:t>
      </w:r>
      <w:r w:rsidR="004E238E" w:rsidRPr="006D2720">
        <w:rPr>
          <w:rFonts w:ascii="Times New Roman" w:hAnsi="Times New Roman" w:cs="Times New Roman"/>
        </w:rPr>
        <w:t xml:space="preserve">specifies otherwise. </w:t>
      </w:r>
      <w:r w:rsidR="001B69AB" w:rsidRPr="006D2720">
        <w:rPr>
          <w:rFonts w:ascii="Times New Roman" w:hAnsi="Times New Roman" w:cs="Times New Roman"/>
        </w:rPr>
        <w:t xml:space="preserve">For example, </w:t>
      </w:r>
      <w:r w:rsidR="00481E38" w:rsidRPr="006D2720">
        <w:rPr>
          <w:rFonts w:ascii="Times New Roman" w:hAnsi="Times New Roman" w:cs="Times New Roman"/>
        </w:rPr>
        <w:t xml:space="preserve">the Act provides exceptions where collection </w:t>
      </w:r>
      <w:r w:rsidR="001B69AB" w:rsidRPr="006D2720">
        <w:rPr>
          <w:rFonts w:ascii="Times New Roman" w:hAnsi="Times New Roman" w:cs="Times New Roman"/>
        </w:rPr>
        <w:t>is required or permitted by law</w:t>
      </w:r>
      <w:r w:rsidR="00095F18" w:rsidRPr="006D2720">
        <w:rPr>
          <w:rFonts w:ascii="Times New Roman" w:hAnsi="Times New Roman" w:cs="Times New Roman"/>
        </w:rPr>
        <w:t>,</w:t>
      </w:r>
      <w:r w:rsidR="001B69AB" w:rsidRPr="006D2720">
        <w:rPr>
          <w:rFonts w:ascii="Times New Roman" w:hAnsi="Times New Roman" w:cs="Times New Roman"/>
        </w:rPr>
        <w:t xml:space="preserve"> or is necessary to prevent or lessen serious and imminent threat to life or health.</w:t>
      </w:r>
      <w:r w:rsidR="00271FDB" w:rsidRPr="006D2720">
        <w:rPr>
          <w:rStyle w:val="FootnoteReference"/>
          <w:rFonts w:ascii="Times New Roman" w:hAnsi="Times New Roman" w:cs="Times New Roman"/>
        </w:rPr>
        <w:footnoteReference w:id="89"/>
      </w:r>
      <w:r w:rsidR="00841CCB" w:rsidRPr="006D2720">
        <w:rPr>
          <w:rFonts w:ascii="Times New Roman" w:hAnsi="Times New Roman" w:cs="Times New Roman"/>
        </w:rPr>
        <w:t xml:space="preserve"> </w:t>
      </w:r>
    </w:p>
    <w:p w14:paraId="01A21E23" w14:textId="4AF3BC86" w:rsidR="00841CCB" w:rsidRPr="006D2720" w:rsidRDefault="00841CCB" w:rsidP="00CA1A69">
      <w:pPr>
        <w:pStyle w:val="Heading3"/>
        <w:rPr>
          <w:rFonts w:ascii="Times New Roman" w:hAnsi="Times New Roman" w:cs="Times New Roman"/>
        </w:rPr>
      </w:pPr>
      <w:r w:rsidRPr="006D2720">
        <w:rPr>
          <w:rFonts w:ascii="Times New Roman" w:hAnsi="Times New Roman" w:cs="Times New Roman"/>
        </w:rPr>
        <w:t>The extent of these obligations and comparisons with other jurisdictions is discussed further</w:t>
      </w:r>
      <w:r w:rsidR="00095F18" w:rsidRPr="006D2720">
        <w:rPr>
          <w:rStyle w:val="Hyperlink"/>
          <w:rFonts w:ascii="Times New Roman" w:hAnsi="Times New Roman" w:cs="Times New Roman"/>
        </w:rPr>
        <w:t xml:space="preserve"> below at [</w:t>
      </w:r>
      <w:r w:rsidR="00095F18" w:rsidRPr="006D2720">
        <w:rPr>
          <w:rStyle w:val="Hyperlink"/>
          <w:rFonts w:ascii="Times New Roman" w:hAnsi="Times New Roman" w:cs="Times New Roman"/>
        </w:rPr>
        <w:fldChar w:fldCharType="begin"/>
      </w:r>
      <w:r w:rsidR="00095F18" w:rsidRPr="006D2720">
        <w:rPr>
          <w:rStyle w:val="Hyperlink"/>
          <w:rFonts w:ascii="Times New Roman" w:hAnsi="Times New Roman" w:cs="Times New Roman"/>
        </w:rPr>
        <w:instrText xml:space="preserve"> REF _Ref129287400 \r \h </w:instrText>
      </w:r>
      <w:r w:rsidR="006D2720">
        <w:rPr>
          <w:rStyle w:val="Hyperlink"/>
          <w:rFonts w:ascii="Times New Roman" w:hAnsi="Times New Roman" w:cs="Times New Roman"/>
        </w:rPr>
        <w:instrText xml:space="preserve"> \* MERGEFORMAT </w:instrText>
      </w:r>
      <w:r w:rsidR="00095F18" w:rsidRPr="006D2720">
        <w:rPr>
          <w:rStyle w:val="Hyperlink"/>
          <w:rFonts w:ascii="Times New Roman" w:hAnsi="Times New Roman" w:cs="Times New Roman"/>
        </w:rPr>
      </w:r>
      <w:r w:rsidR="00095F18" w:rsidRPr="006D2720">
        <w:rPr>
          <w:rStyle w:val="Hyperlink"/>
          <w:rFonts w:ascii="Times New Roman" w:hAnsi="Times New Roman" w:cs="Times New Roman"/>
        </w:rPr>
        <w:fldChar w:fldCharType="separate"/>
      </w:r>
      <w:r w:rsidR="00E66B60">
        <w:rPr>
          <w:rStyle w:val="Hyperlink"/>
          <w:rFonts w:ascii="Times New Roman" w:hAnsi="Times New Roman" w:cs="Times New Roman"/>
        </w:rPr>
        <w:t>2.3</w:t>
      </w:r>
      <w:r w:rsidR="00095F18" w:rsidRPr="006D2720">
        <w:rPr>
          <w:rStyle w:val="Hyperlink"/>
          <w:rFonts w:ascii="Times New Roman" w:hAnsi="Times New Roman" w:cs="Times New Roman"/>
        </w:rPr>
        <w:fldChar w:fldCharType="end"/>
      </w:r>
      <w:r w:rsidR="00095F18" w:rsidRPr="006D2720">
        <w:rPr>
          <w:rStyle w:val="Hyperlink"/>
          <w:rFonts w:ascii="Times New Roman" w:hAnsi="Times New Roman" w:cs="Times New Roman"/>
        </w:rPr>
        <w:t>]</w:t>
      </w:r>
      <w:r w:rsidRPr="006D2720">
        <w:rPr>
          <w:rFonts w:ascii="Times New Roman" w:hAnsi="Times New Roman" w:cs="Times New Roman"/>
        </w:rPr>
        <w:t>.</w:t>
      </w:r>
    </w:p>
    <w:p w14:paraId="07A49B05" w14:textId="0FBA858D" w:rsidR="00592E12" w:rsidRPr="006D2720" w:rsidRDefault="00592E12" w:rsidP="0066337D">
      <w:pPr>
        <w:keepNext/>
        <w:rPr>
          <w:rFonts w:ascii="Times New Roman" w:hAnsi="Times New Roman" w:cs="Times New Roman"/>
          <w:b/>
          <w:bCs/>
          <w:i/>
          <w:iCs/>
        </w:rPr>
      </w:pPr>
      <w:r w:rsidRPr="006D2720">
        <w:rPr>
          <w:rFonts w:ascii="Times New Roman" w:hAnsi="Times New Roman" w:cs="Times New Roman"/>
          <w:b/>
          <w:bCs/>
          <w:i/>
          <w:iCs/>
        </w:rPr>
        <w:t>Health Information</w:t>
      </w:r>
    </w:p>
    <w:p w14:paraId="35DA93A5" w14:textId="2FDCADC9" w:rsidR="00B25C94" w:rsidRPr="006D2720" w:rsidRDefault="002A6DE3" w:rsidP="00E012E7">
      <w:pPr>
        <w:pStyle w:val="Heading3"/>
        <w:rPr>
          <w:rFonts w:ascii="Times New Roman" w:hAnsi="Times New Roman" w:cs="Times New Roman"/>
        </w:rPr>
      </w:pPr>
      <w:bookmarkStart w:id="200" w:name="_Health_information_is"/>
      <w:bookmarkEnd w:id="200"/>
      <w:r w:rsidRPr="006D2720">
        <w:rPr>
          <w:rStyle w:val="Heading3Char"/>
          <w:rFonts w:ascii="Times New Roman" w:hAnsi="Times New Roman" w:cs="Times New Roman"/>
          <w:bCs/>
        </w:rPr>
        <w:t>Health information is a type of ‘sensitive information’.</w:t>
      </w:r>
      <w:r w:rsidR="000D17BE" w:rsidRPr="006D2720">
        <w:rPr>
          <w:rStyle w:val="FootnoteReference"/>
          <w:rFonts w:ascii="Times New Roman" w:hAnsi="Times New Roman" w:cs="Times New Roman"/>
        </w:rPr>
        <w:footnoteReference w:id="90"/>
      </w:r>
      <w:r w:rsidR="00E012E7" w:rsidRPr="006D2720">
        <w:rPr>
          <w:rStyle w:val="Heading3Char"/>
          <w:rFonts w:ascii="Times New Roman" w:hAnsi="Times New Roman" w:cs="Times New Roman"/>
          <w:bCs/>
        </w:rPr>
        <w:t xml:space="preserve"> It is </w:t>
      </w:r>
      <w:r w:rsidR="009216AB" w:rsidRPr="006D2720">
        <w:rPr>
          <w:rStyle w:val="Heading3Char"/>
          <w:rFonts w:ascii="Times New Roman" w:hAnsi="Times New Roman" w:cs="Times New Roman"/>
        </w:rPr>
        <w:t xml:space="preserve">defined </w:t>
      </w:r>
      <w:r w:rsidR="00947E18" w:rsidRPr="006D2720">
        <w:rPr>
          <w:rStyle w:val="Heading3Char"/>
          <w:rFonts w:ascii="Times New Roman" w:hAnsi="Times New Roman" w:cs="Times New Roman"/>
        </w:rPr>
        <w:t xml:space="preserve">in </w:t>
      </w:r>
      <w:r w:rsidR="007E06A7" w:rsidRPr="006D2720">
        <w:rPr>
          <w:rStyle w:val="Heading3Char"/>
          <w:rFonts w:ascii="Times New Roman" w:hAnsi="Times New Roman" w:cs="Times New Roman"/>
        </w:rPr>
        <w:t xml:space="preserve">the </w:t>
      </w:r>
      <w:r w:rsidR="00947E18" w:rsidRPr="006D2720">
        <w:rPr>
          <w:rStyle w:val="Heading3Char"/>
          <w:rFonts w:ascii="Times New Roman" w:hAnsi="Times New Roman" w:cs="Times New Roman"/>
        </w:rPr>
        <w:t>P</w:t>
      </w:r>
      <w:r w:rsidR="00240DA3" w:rsidRPr="006D2720">
        <w:rPr>
          <w:rStyle w:val="Heading3Char"/>
          <w:rFonts w:ascii="Times New Roman" w:hAnsi="Times New Roman" w:cs="Times New Roman"/>
        </w:rPr>
        <w:t>I</w:t>
      </w:r>
      <w:r w:rsidR="00947E18" w:rsidRPr="006D2720">
        <w:rPr>
          <w:rStyle w:val="Heading3Char"/>
          <w:rFonts w:ascii="Times New Roman" w:hAnsi="Times New Roman" w:cs="Times New Roman"/>
        </w:rPr>
        <w:t xml:space="preserve">PA </w:t>
      </w:r>
      <w:r w:rsidR="00FE232F" w:rsidRPr="006D2720">
        <w:rPr>
          <w:rStyle w:val="Heading3Char"/>
          <w:rFonts w:ascii="Times New Roman" w:hAnsi="Times New Roman" w:cs="Times New Roman"/>
        </w:rPr>
        <w:t>by reference to</w:t>
      </w:r>
      <w:r w:rsidR="00B25C94" w:rsidRPr="006D2720">
        <w:rPr>
          <w:rStyle w:val="Heading3Char"/>
          <w:rFonts w:ascii="Times New Roman" w:hAnsi="Times New Roman" w:cs="Times New Roman"/>
        </w:rPr>
        <w:t xml:space="preserve"> </w:t>
      </w:r>
      <w:r w:rsidR="00804D4F" w:rsidRPr="006D2720">
        <w:rPr>
          <w:rStyle w:val="Heading3Char"/>
          <w:rFonts w:ascii="Times New Roman" w:hAnsi="Times New Roman" w:cs="Times New Roman"/>
        </w:rPr>
        <w:t xml:space="preserve">both the </w:t>
      </w:r>
      <w:r w:rsidR="00502E44" w:rsidRPr="006D2720">
        <w:rPr>
          <w:rStyle w:val="Heading3Char"/>
          <w:rFonts w:ascii="Times New Roman" w:hAnsi="Times New Roman" w:cs="Times New Roman"/>
        </w:rPr>
        <w:t>nature</w:t>
      </w:r>
      <w:r w:rsidR="00804D4F" w:rsidRPr="006D2720">
        <w:rPr>
          <w:rStyle w:val="Heading3Char"/>
          <w:rFonts w:ascii="Times New Roman" w:hAnsi="Times New Roman" w:cs="Times New Roman"/>
        </w:rPr>
        <w:t xml:space="preserve"> of </w:t>
      </w:r>
      <w:r w:rsidR="00502E44" w:rsidRPr="006D2720">
        <w:rPr>
          <w:rStyle w:val="Heading3Char"/>
          <w:rFonts w:ascii="Times New Roman" w:hAnsi="Times New Roman" w:cs="Times New Roman"/>
        </w:rPr>
        <w:t xml:space="preserve">the </w:t>
      </w:r>
      <w:r w:rsidR="00804D4F" w:rsidRPr="006D2720">
        <w:rPr>
          <w:rStyle w:val="Heading3Char"/>
          <w:rFonts w:ascii="Times New Roman" w:hAnsi="Times New Roman" w:cs="Times New Roman"/>
        </w:rPr>
        <w:t>information and where it has</w:t>
      </w:r>
      <w:r w:rsidR="00804D4F" w:rsidRPr="006D2720">
        <w:rPr>
          <w:rFonts w:ascii="Times New Roman" w:hAnsi="Times New Roman" w:cs="Times New Roman"/>
        </w:rPr>
        <w:t xml:space="preserve"> been collected</w:t>
      </w:r>
      <w:r w:rsidR="009A3A5F" w:rsidRPr="006D2720">
        <w:rPr>
          <w:rFonts w:ascii="Times New Roman" w:hAnsi="Times New Roman" w:cs="Times New Roman"/>
        </w:rPr>
        <w:t xml:space="preserve">. </w:t>
      </w:r>
      <w:r w:rsidR="00DB2EA4" w:rsidRPr="006D2720">
        <w:rPr>
          <w:rFonts w:ascii="Times New Roman" w:hAnsi="Times New Roman" w:cs="Times New Roman"/>
        </w:rPr>
        <w:t>It includes personal information or opinion relating to</w:t>
      </w:r>
      <w:r w:rsidR="00B25C94" w:rsidRPr="006D2720">
        <w:rPr>
          <w:rFonts w:ascii="Times New Roman" w:hAnsi="Times New Roman" w:cs="Times New Roman"/>
        </w:rPr>
        <w:t>:</w:t>
      </w:r>
      <w:r w:rsidR="00840EE3" w:rsidRPr="006D2720">
        <w:rPr>
          <w:rStyle w:val="FootnoteReference"/>
          <w:rFonts w:ascii="Times New Roman" w:hAnsi="Times New Roman" w:cs="Times New Roman"/>
        </w:rPr>
        <w:footnoteReference w:id="91"/>
      </w:r>
    </w:p>
    <w:p w14:paraId="0BAC0D32" w14:textId="53C09227" w:rsidR="00DB2EA4" w:rsidRPr="006D2720" w:rsidRDefault="00DB2EA4" w:rsidP="00DB2EA4">
      <w:pPr>
        <w:pStyle w:val="Dotpointlist"/>
        <w:rPr>
          <w:rFonts w:ascii="Times New Roman" w:hAnsi="Times New Roman" w:cs="Times New Roman"/>
        </w:rPr>
      </w:pPr>
      <w:bookmarkStart w:id="201" w:name="GS3@Nd37335358865741@Hpa@Hqi@EN"/>
      <w:bookmarkStart w:id="202" w:name="GS3@Nd37335358865741@Hpa@Hqii@EN"/>
      <w:bookmarkStart w:id="203" w:name="GS3@Nd37335358865741@Hpa@Hqiii@EN"/>
      <w:bookmarkStart w:id="204" w:name="GS3@Nd37335358865741@Hpa@Hqiv@EN"/>
      <w:bookmarkEnd w:id="201"/>
      <w:bookmarkEnd w:id="202"/>
      <w:bookmarkEnd w:id="203"/>
      <w:bookmarkEnd w:id="204"/>
      <w:r w:rsidRPr="006D2720">
        <w:rPr>
          <w:rFonts w:ascii="Times New Roman" w:hAnsi="Times New Roman" w:cs="Times New Roman"/>
        </w:rPr>
        <w:t>the health of an individual such as their physical, mental</w:t>
      </w:r>
      <w:r w:rsidR="00B306CF" w:rsidRPr="006D2720">
        <w:rPr>
          <w:rFonts w:ascii="Times New Roman" w:hAnsi="Times New Roman" w:cs="Times New Roman"/>
        </w:rPr>
        <w:t>,</w:t>
      </w:r>
      <w:r w:rsidRPr="006D2720">
        <w:rPr>
          <w:rFonts w:ascii="Times New Roman" w:hAnsi="Times New Roman" w:cs="Times New Roman"/>
        </w:rPr>
        <w:t xml:space="preserve"> or psychological health;</w:t>
      </w:r>
    </w:p>
    <w:p w14:paraId="6282FE7E" w14:textId="615BF75B" w:rsidR="00DB2EA4" w:rsidRPr="006D2720" w:rsidRDefault="00DB2EA4" w:rsidP="00DB2EA4">
      <w:pPr>
        <w:pStyle w:val="Dotpointlist"/>
        <w:rPr>
          <w:rFonts w:ascii="Times New Roman" w:hAnsi="Times New Roman" w:cs="Times New Roman"/>
        </w:rPr>
      </w:pPr>
      <w:r w:rsidRPr="006D2720">
        <w:rPr>
          <w:rFonts w:ascii="Times New Roman" w:hAnsi="Times New Roman" w:cs="Times New Roman"/>
        </w:rPr>
        <w:t>any disability the</w:t>
      </w:r>
      <w:r w:rsidR="008A30FE" w:rsidRPr="006D2720">
        <w:rPr>
          <w:rFonts w:ascii="Times New Roman" w:hAnsi="Times New Roman" w:cs="Times New Roman"/>
        </w:rPr>
        <w:t xml:space="preserve"> individual</w:t>
      </w:r>
      <w:r w:rsidRPr="006D2720">
        <w:rPr>
          <w:rFonts w:ascii="Times New Roman" w:hAnsi="Times New Roman" w:cs="Times New Roman"/>
        </w:rPr>
        <w:t xml:space="preserve"> might have had at any time</w:t>
      </w:r>
      <w:r w:rsidR="00B306CF" w:rsidRPr="006D2720">
        <w:rPr>
          <w:rFonts w:ascii="Times New Roman" w:hAnsi="Times New Roman" w:cs="Times New Roman"/>
        </w:rPr>
        <w:t>;</w:t>
      </w:r>
    </w:p>
    <w:p w14:paraId="566A24FA" w14:textId="39B0E02F" w:rsidR="00DB2EA4" w:rsidRPr="006D2720" w:rsidRDefault="00DB2EA4" w:rsidP="00DB2EA4">
      <w:pPr>
        <w:pStyle w:val="Dotpointlist"/>
        <w:rPr>
          <w:rFonts w:ascii="Times New Roman" w:hAnsi="Times New Roman" w:cs="Times New Roman"/>
        </w:rPr>
      </w:pPr>
      <w:r w:rsidRPr="006D2720">
        <w:rPr>
          <w:rFonts w:ascii="Times New Roman" w:hAnsi="Times New Roman" w:cs="Times New Roman"/>
        </w:rPr>
        <w:t>the</w:t>
      </w:r>
      <w:r w:rsidR="008A30FE" w:rsidRPr="006D2720">
        <w:rPr>
          <w:rFonts w:ascii="Times New Roman" w:hAnsi="Times New Roman" w:cs="Times New Roman"/>
        </w:rPr>
        <w:t xml:space="preserve"> individual’s</w:t>
      </w:r>
      <w:r w:rsidRPr="006D2720">
        <w:rPr>
          <w:rFonts w:ascii="Times New Roman" w:hAnsi="Times New Roman" w:cs="Times New Roman"/>
        </w:rPr>
        <w:t xml:space="preserve"> express wishes for future health provision; and </w:t>
      </w:r>
    </w:p>
    <w:p w14:paraId="5F0719CC" w14:textId="100D6012" w:rsidR="009A3A5F" w:rsidRPr="006D2720" w:rsidRDefault="00DB2EA4" w:rsidP="00CA1A69">
      <w:pPr>
        <w:pStyle w:val="Dotpointlist"/>
        <w:rPr>
          <w:rFonts w:ascii="Times New Roman" w:hAnsi="Times New Roman" w:cs="Times New Roman"/>
        </w:rPr>
      </w:pPr>
      <w:r w:rsidRPr="006D2720">
        <w:rPr>
          <w:rFonts w:ascii="Times New Roman" w:hAnsi="Times New Roman" w:cs="Times New Roman"/>
        </w:rPr>
        <w:t xml:space="preserve">any health services that have been provided, or will be provided, to them. </w:t>
      </w:r>
    </w:p>
    <w:p w14:paraId="555D8979" w14:textId="2C8BF866" w:rsidR="00285B82" w:rsidRPr="006D2720" w:rsidRDefault="00285B82" w:rsidP="00CA1A69">
      <w:pPr>
        <w:pStyle w:val="Heading3"/>
        <w:rPr>
          <w:rFonts w:ascii="Times New Roman" w:hAnsi="Times New Roman" w:cs="Times New Roman"/>
        </w:rPr>
      </w:pPr>
      <w:r w:rsidRPr="006D2720">
        <w:rPr>
          <w:rFonts w:ascii="Times New Roman" w:hAnsi="Times New Roman" w:cs="Times New Roman"/>
        </w:rPr>
        <w:t xml:space="preserve">It is unclear why </w:t>
      </w:r>
      <w:r w:rsidR="00B306CF" w:rsidRPr="006D2720">
        <w:rPr>
          <w:rFonts w:ascii="Times New Roman" w:hAnsi="Times New Roman" w:cs="Times New Roman"/>
        </w:rPr>
        <w:t xml:space="preserve">the provision </w:t>
      </w:r>
      <w:r w:rsidRPr="006D2720">
        <w:rPr>
          <w:rFonts w:ascii="Times New Roman" w:hAnsi="Times New Roman" w:cs="Times New Roman"/>
        </w:rPr>
        <w:t xml:space="preserve">expressly </w:t>
      </w:r>
      <w:r w:rsidR="00B306CF" w:rsidRPr="006D2720">
        <w:rPr>
          <w:rFonts w:ascii="Times New Roman" w:hAnsi="Times New Roman" w:cs="Times New Roman"/>
        </w:rPr>
        <w:t xml:space="preserve">includes </w:t>
      </w:r>
      <w:r w:rsidRPr="006D2720">
        <w:rPr>
          <w:rFonts w:ascii="Times New Roman" w:hAnsi="Times New Roman" w:cs="Times New Roman"/>
        </w:rPr>
        <w:t xml:space="preserve">both personal information and an </w:t>
      </w:r>
      <w:r w:rsidRPr="006D2720">
        <w:rPr>
          <w:rFonts w:ascii="Times New Roman" w:hAnsi="Times New Roman" w:cs="Times New Roman"/>
          <w:i/>
          <w:iCs/>
        </w:rPr>
        <w:t>opinion</w:t>
      </w:r>
      <w:r w:rsidRPr="006D2720">
        <w:rPr>
          <w:rFonts w:ascii="Times New Roman" w:hAnsi="Times New Roman" w:cs="Times New Roman"/>
        </w:rPr>
        <w:t xml:space="preserve"> about a person’s health, given that ‘personal information’ is already defined to include an opinion about an individual.</w:t>
      </w:r>
      <w:r w:rsidRPr="006D2720">
        <w:rPr>
          <w:rStyle w:val="FootnoteReference"/>
          <w:rFonts w:ascii="Times New Roman" w:hAnsi="Times New Roman" w:cs="Times New Roman"/>
        </w:rPr>
        <w:footnoteReference w:id="92"/>
      </w:r>
      <w:r w:rsidRPr="006D2720">
        <w:rPr>
          <w:rFonts w:ascii="Times New Roman" w:hAnsi="Times New Roman" w:cs="Times New Roman"/>
        </w:rPr>
        <w:t xml:space="preserve"> </w:t>
      </w:r>
    </w:p>
    <w:p w14:paraId="2702D24B" w14:textId="3FF19E8C" w:rsidR="00804D4F" w:rsidRPr="006D2720" w:rsidRDefault="00FE138F" w:rsidP="00292643">
      <w:pPr>
        <w:pStyle w:val="Heading3"/>
        <w:rPr>
          <w:rFonts w:ascii="Times New Roman" w:hAnsi="Times New Roman" w:cs="Times New Roman"/>
        </w:rPr>
      </w:pPr>
      <w:bookmarkStart w:id="205" w:name="_Toc91536465"/>
      <w:bookmarkStart w:id="206" w:name="_Toc91536466"/>
      <w:bookmarkStart w:id="207" w:name="_Toc91536467"/>
      <w:bookmarkStart w:id="208" w:name="_Ref91765428"/>
      <w:bookmarkEnd w:id="205"/>
      <w:bookmarkEnd w:id="206"/>
      <w:bookmarkEnd w:id="207"/>
      <w:r w:rsidRPr="006D2720">
        <w:rPr>
          <w:rFonts w:ascii="Times New Roman" w:hAnsi="Times New Roman" w:cs="Times New Roman"/>
        </w:rPr>
        <w:t>H</w:t>
      </w:r>
      <w:r w:rsidR="00804D4F" w:rsidRPr="006D2720">
        <w:rPr>
          <w:rFonts w:ascii="Times New Roman" w:hAnsi="Times New Roman" w:cs="Times New Roman"/>
        </w:rPr>
        <w:t xml:space="preserve">ealth information </w:t>
      </w:r>
      <w:r w:rsidR="00EF7163" w:rsidRPr="006D2720">
        <w:rPr>
          <w:rFonts w:ascii="Times New Roman" w:hAnsi="Times New Roman" w:cs="Times New Roman"/>
        </w:rPr>
        <w:t xml:space="preserve">also </w:t>
      </w:r>
      <w:r w:rsidR="00804D4F" w:rsidRPr="006D2720">
        <w:rPr>
          <w:rFonts w:ascii="Times New Roman" w:hAnsi="Times New Roman" w:cs="Times New Roman"/>
        </w:rPr>
        <w:t>includes</w:t>
      </w:r>
      <w:r w:rsidR="000970B3" w:rsidRPr="006D2720">
        <w:rPr>
          <w:rFonts w:ascii="Times New Roman" w:hAnsi="Times New Roman" w:cs="Times New Roman"/>
        </w:rPr>
        <w:t>:</w:t>
      </w:r>
      <w:r w:rsidR="00CD5B51" w:rsidRPr="006D2720">
        <w:rPr>
          <w:rStyle w:val="FootnoteReference"/>
          <w:rFonts w:ascii="Times New Roman" w:hAnsi="Times New Roman" w:cs="Times New Roman"/>
        </w:rPr>
        <w:footnoteReference w:id="93"/>
      </w:r>
      <w:bookmarkEnd w:id="208"/>
      <w:r w:rsidR="00804D4F" w:rsidRPr="006D2720">
        <w:rPr>
          <w:rFonts w:ascii="Times New Roman" w:hAnsi="Times New Roman" w:cs="Times New Roman"/>
        </w:rPr>
        <w:t xml:space="preserve"> </w:t>
      </w:r>
    </w:p>
    <w:p w14:paraId="3748A234" w14:textId="7EB91EA0" w:rsidR="009A3A5F" w:rsidRPr="006D2720" w:rsidRDefault="0053660D" w:rsidP="00CA1A69">
      <w:pPr>
        <w:pStyle w:val="Dotpointlist"/>
        <w:rPr>
          <w:rFonts w:ascii="Times New Roman" w:hAnsi="Times New Roman" w:cs="Times New Roman"/>
        </w:rPr>
      </w:pPr>
      <w:bookmarkStart w:id="209" w:name="GS3@Nd37335358865741@Hpc@EN"/>
      <w:bookmarkStart w:id="210" w:name="GS3@Nd37335358865741@Hpd@EN"/>
      <w:bookmarkEnd w:id="209"/>
      <w:bookmarkEnd w:id="210"/>
      <w:r w:rsidRPr="006D2720">
        <w:rPr>
          <w:rFonts w:ascii="Times New Roman" w:hAnsi="Times New Roman" w:cs="Times New Roman"/>
        </w:rPr>
        <w:t>o</w:t>
      </w:r>
      <w:r w:rsidR="009A3A5F" w:rsidRPr="006D2720">
        <w:rPr>
          <w:rFonts w:ascii="Times New Roman" w:hAnsi="Times New Roman" w:cs="Times New Roman"/>
        </w:rPr>
        <w:t xml:space="preserve">ther personal information collected </w:t>
      </w:r>
      <w:r w:rsidR="004E3A57" w:rsidRPr="006D2720">
        <w:rPr>
          <w:rFonts w:ascii="Times New Roman" w:hAnsi="Times New Roman" w:cs="Times New Roman"/>
        </w:rPr>
        <w:t xml:space="preserve">in providing </w:t>
      </w:r>
      <w:r w:rsidR="009A3A5F" w:rsidRPr="006D2720">
        <w:rPr>
          <w:rFonts w:ascii="Times New Roman" w:hAnsi="Times New Roman" w:cs="Times New Roman"/>
        </w:rPr>
        <w:t>a health service</w:t>
      </w:r>
      <w:r w:rsidRPr="006D2720">
        <w:rPr>
          <w:rFonts w:ascii="Times New Roman" w:hAnsi="Times New Roman" w:cs="Times New Roman"/>
        </w:rPr>
        <w:t xml:space="preserve"> (</w:t>
      </w:r>
      <w:r w:rsidR="00650695" w:rsidRPr="006D2720">
        <w:rPr>
          <w:rFonts w:ascii="Times New Roman" w:hAnsi="Times New Roman" w:cs="Times New Roman"/>
        </w:rPr>
        <w:t>defined as an activity where the person performing the activity claims it to affect a person’s health; diagnose or treat illness, injury or disability; dispense prescription medication; or provide disability, palliative care</w:t>
      </w:r>
      <w:r w:rsidR="00744D84" w:rsidRPr="006D2720">
        <w:rPr>
          <w:rFonts w:ascii="Times New Roman" w:hAnsi="Times New Roman" w:cs="Times New Roman"/>
        </w:rPr>
        <w:t>,</w:t>
      </w:r>
      <w:r w:rsidR="00650695" w:rsidRPr="006D2720">
        <w:rPr>
          <w:rFonts w:ascii="Times New Roman" w:hAnsi="Times New Roman" w:cs="Times New Roman"/>
        </w:rPr>
        <w:t xml:space="preserve"> or aged care service</w:t>
      </w:r>
      <w:r w:rsidRPr="006D2720">
        <w:rPr>
          <w:rFonts w:ascii="Times New Roman" w:hAnsi="Times New Roman" w:cs="Times New Roman"/>
        </w:rPr>
        <w:t>);</w:t>
      </w:r>
      <w:r w:rsidR="00650695" w:rsidRPr="006D2720">
        <w:rPr>
          <w:rStyle w:val="FootnoteReference"/>
          <w:rFonts w:ascii="Times New Roman" w:hAnsi="Times New Roman" w:cs="Times New Roman"/>
        </w:rPr>
        <w:footnoteReference w:id="94"/>
      </w:r>
      <w:r w:rsidR="009A3A5F" w:rsidRPr="006D2720">
        <w:rPr>
          <w:rFonts w:ascii="Times New Roman" w:hAnsi="Times New Roman" w:cs="Times New Roman"/>
        </w:rPr>
        <w:t xml:space="preserve"> </w:t>
      </w:r>
    </w:p>
    <w:p w14:paraId="78837A61" w14:textId="367DC6A1" w:rsidR="009A3A5F" w:rsidRPr="006D2720" w:rsidRDefault="0053660D" w:rsidP="00CA1A69">
      <w:pPr>
        <w:pStyle w:val="Dotpointlist"/>
        <w:rPr>
          <w:rFonts w:ascii="Times New Roman" w:hAnsi="Times New Roman" w:cs="Times New Roman"/>
        </w:rPr>
      </w:pPr>
      <w:r w:rsidRPr="006D2720">
        <w:rPr>
          <w:rFonts w:ascii="Times New Roman" w:hAnsi="Times New Roman" w:cs="Times New Roman"/>
        </w:rPr>
        <w:t>o</w:t>
      </w:r>
      <w:r w:rsidR="009A3A5F" w:rsidRPr="006D2720">
        <w:rPr>
          <w:rFonts w:ascii="Times New Roman" w:hAnsi="Times New Roman" w:cs="Times New Roman"/>
        </w:rPr>
        <w:t>ther personal information collected in connection with</w:t>
      </w:r>
      <w:r w:rsidR="00BE299F" w:rsidRPr="006D2720">
        <w:rPr>
          <w:rFonts w:ascii="Times New Roman" w:hAnsi="Times New Roman" w:cs="Times New Roman"/>
        </w:rPr>
        <w:t xml:space="preserve"> body part, organ, or body substance donation</w:t>
      </w:r>
      <w:r w:rsidRPr="006D2720">
        <w:rPr>
          <w:rFonts w:ascii="Times New Roman" w:hAnsi="Times New Roman" w:cs="Times New Roman"/>
        </w:rPr>
        <w:t>; and</w:t>
      </w:r>
    </w:p>
    <w:p w14:paraId="66FAE51B" w14:textId="652F4D31" w:rsidR="009A3A5F" w:rsidRPr="006D2720" w:rsidRDefault="0053660D" w:rsidP="00CA1A69">
      <w:pPr>
        <w:pStyle w:val="Dotpointlist"/>
        <w:rPr>
          <w:rFonts w:ascii="Times New Roman" w:hAnsi="Times New Roman" w:cs="Times New Roman"/>
        </w:rPr>
      </w:pPr>
      <w:r w:rsidRPr="006D2720">
        <w:rPr>
          <w:rFonts w:ascii="Times New Roman" w:hAnsi="Times New Roman" w:cs="Times New Roman"/>
        </w:rPr>
        <w:t>g</w:t>
      </w:r>
      <w:r w:rsidR="009A3A5F" w:rsidRPr="006D2720">
        <w:rPr>
          <w:rFonts w:ascii="Times New Roman" w:hAnsi="Times New Roman" w:cs="Times New Roman"/>
        </w:rPr>
        <w:t xml:space="preserve">enetic information about an individual that is or may be predictive of </w:t>
      </w:r>
      <w:r w:rsidR="00436526" w:rsidRPr="006D2720">
        <w:rPr>
          <w:rFonts w:ascii="Times New Roman" w:hAnsi="Times New Roman" w:cs="Times New Roman"/>
        </w:rPr>
        <w:t>the</w:t>
      </w:r>
      <w:r w:rsidR="000A07A2" w:rsidRPr="006D2720">
        <w:rPr>
          <w:rFonts w:ascii="Times New Roman" w:hAnsi="Times New Roman" w:cs="Times New Roman"/>
        </w:rPr>
        <w:t xml:space="preserve"> individual’s</w:t>
      </w:r>
      <w:r w:rsidR="00786B8B" w:rsidRPr="006D2720">
        <w:rPr>
          <w:rFonts w:ascii="Times New Roman" w:hAnsi="Times New Roman" w:cs="Times New Roman"/>
        </w:rPr>
        <w:t xml:space="preserve"> or their descendants’ </w:t>
      </w:r>
      <w:r w:rsidR="009A3A5F" w:rsidRPr="006D2720">
        <w:rPr>
          <w:rFonts w:ascii="Times New Roman" w:hAnsi="Times New Roman" w:cs="Times New Roman"/>
        </w:rPr>
        <w:t>health</w:t>
      </w:r>
      <w:r w:rsidR="00D70A55" w:rsidRPr="006D2720">
        <w:rPr>
          <w:rFonts w:ascii="Times New Roman" w:hAnsi="Times New Roman" w:cs="Times New Roman"/>
        </w:rPr>
        <w:t>.</w:t>
      </w:r>
    </w:p>
    <w:p w14:paraId="048B9EBA" w14:textId="4E965D7C" w:rsidR="00592E12" w:rsidRPr="006D2720" w:rsidRDefault="008013F1" w:rsidP="0066337D">
      <w:pPr>
        <w:pStyle w:val="Heading3"/>
        <w:rPr>
          <w:rFonts w:ascii="Times New Roman" w:hAnsi="Times New Roman" w:cs="Times New Roman"/>
        </w:rPr>
      </w:pPr>
      <w:r w:rsidRPr="006D2720">
        <w:rPr>
          <w:rFonts w:ascii="Times New Roman" w:hAnsi="Times New Roman" w:cs="Times New Roman"/>
        </w:rPr>
        <w:t xml:space="preserve">Unlike the </w:t>
      </w:r>
      <w:r w:rsidR="00627F08" w:rsidRPr="006D2720">
        <w:rPr>
          <w:rFonts w:ascii="Times New Roman" w:hAnsi="Times New Roman" w:cs="Times New Roman"/>
        </w:rPr>
        <w:t xml:space="preserve">first two </w:t>
      </w:r>
      <w:r w:rsidR="0053660D" w:rsidRPr="006D2720">
        <w:rPr>
          <w:rFonts w:ascii="Times New Roman" w:hAnsi="Times New Roman" w:cs="Times New Roman"/>
        </w:rPr>
        <w:t xml:space="preserve">descriptions of </w:t>
      </w:r>
      <w:r w:rsidRPr="006D2720">
        <w:rPr>
          <w:rFonts w:ascii="Times New Roman" w:hAnsi="Times New Roman" w:cs="Times New Roman"/>
        </w:rPr>
        <w:t xml:space="preserve">health information, the </w:t>
      </w:r>
      <w:r w:rsidR="0053660D" w:rsidRPr="006D2720">
        <w:rPr>
          <w:rFonts w:ascii="Times New Roman" w:hAnsi="Times New Roman" w:cs="Times New Roman"/>
        </w:rPr>
        <w:t>description of</w:t>
      </w:r>
      <w:r w:rsidRPr="006D2720">
        <w:rPr>
          <w:rFonts w:ascii="Times New Roman" w:hAnsi="Times New Roman" w:cs="Times New Roman"/>
        </w:rPr>
        <w:t xml:space="preserve"> </w:t>
      </w:r>
      <w:r w:rsidR="005177D3" w:rsidRPr="006D2720">
        <w:rPr>
          <w:rFonts w:ascii="Times New Roman" w:hAnsi="Times New Roman" w:cs="Times New Roman"/>
        </w:rPr>
        <w:t>genetic information</w:t>
      </w:r>
      <w:r w:rsidRPr="006D2720">
        <w:rPr>
          <w:rFonts w:ascii="Times New Roman" w:hAnsi="Times New Roman" w:cs="Times New Roman"/>
        </w:rPr>
        <w:t xml:space="preserve"> does not </w:t>
      </w:r>
      <w:r w:rsidR="0053660D" w:rsidRPr="006D2720">
        <w:rPr>
          <w:rFonts w:ascii="Times New Roman" w:hAnsi="Times New Roman" w:cs="Times New Roman"/>
        </w:rPr>
        <w:t>include</w:t>
      </w:r>
      <w:r w:rsidRPr="006D2720">
        <w:rPr>
          <w:rFonts w:ascii="Times New Roman" w:hAnsi="Times New Roman" w:cs="Times New Roman"/>
        </w:rPr>
        <w:t xml:space="preserve"> </w:t>
      </w:r>
      <w:r w:rsidR="00744D84" w:rsidRPr="006D2720">
        <w:rPr>
          <w:rFonts w:ascii="Times New Roman" w:hAnsi="Times New Roman" w:cs="Times New Roman"/>
        </w:rPr>
        <w:t xml:space="preserve">the term </w:t>
      </w:r>
      <w:r w:rsidRPr="006D2720">
        <w:rPr>
          <w:rFonts w:ascii="Times New Roman" w:hAnsi="Times New Roman" w:cs="Times New Roman"/>
        </w:rPr>
        <w:t xml:space="preserve">‘personal information’. Therefore, it </w:t>
      </w:r>
      <w:bookmarkStart w:id="211" w:name="_Toc91536470"/>
      <w:bookmarkStart w:id="212" w:name="_Toc91536471"/>
      <w:bookmarkStart w:id="213" w:name="_Toc91536472"/>
      <w:bookmarkStart w:id="214" w:name="_Toc91536473"/>
      <w:bookmarkStart w:id="215" w:name="_Ref91749316"/>
      <w:bookmarkEnd w:id="211"/>
      <w:bookmarkEnd w:id="212"/>
      <w:bookmarkEnd w:id="213"/>
      <w:bookmarkEnd w:id="214"/>
      <w:r w:rsidR="00F57360" w:rsidRPr="006D2720">
        <w:rPr>
          <w:rFonts w:ascii="Times New Roman" w:hAnsi="Times New Roman" w:cs="Times New Roman"/>
        </w:rPr>
        <w:t>is un</w:t>
      </w:r>
      <w:r w:rsidR="00804D4F" w:rsidRPr="006D2720">
        <w:rPr>
          <w:rFonts w:ascii="Times New Roman" w:hAnsi="Times New Roman" w:cs="Times New Roman"/>
        </w:rPr>
        <w:t xml:space="preserve">clear whether </w:t>
      </w:r>
      <w:r w:rsidR="003F270F" w:rsidRPr="006D2720">
        <w:rPr>
          <w:rFonts w:ascii="Times New Roman" w:hAnsi="Times New Roman" w:cs="Times New Roman"/>
        </w:rPr>
        <w:t>that aspect of the</w:t>
      </w:r>
      <w:r w:rsidR="003C589E" w:rsidRPr="006D2720">
        <w:rPr>
          <w:rFonts w:ascii="Times New Roman" w:hAnsi="Times New Roman" w:cs="Times New Roman"/>
        </w:rPr>
        <w:t xml:space="preserve"> </w:t>
      </w:r>
      <w:r w:rsidR="005177D3" w:rsidRPr="006D2720">
        <w:rPr>
          <w:rFonts w:ascii="Times New Roman" w:hAnsi="Times New Roman" w:cs="Times New Roman"/>
        </w:rPr>
        <w:t>definition</w:t>
      </w:r>
      <w:r w:rsidR="00A12519" w:rsidRPr="006D2720">
        <w:rPr>
          <w:rFonts w:ascii="Times New Roman" w:hAnsi="Times New Roman" w:cs="Times New Roman"/>
        </w:rPr>
        <w:t xml:space="preserve"> </w:t>
      </w:r>
      <w:r w:rsidR="00BF6791" w:rsidRPr="006D2720">
        <w:rPr>
          <w:rFonts w:ascii="Times New Roman" w:hAnsi="Times New Roman" w:cs="Times New Roman"/>
        </w:rPr>
        <w:t>is broad</w:t>
      </w:r>
      <w:r w:rsidR="00DB7F02" w:rsidRPr="006D2720">
        <w:rPr>
          <w:rFonts w:ascii="Times New Roman" w:hAnsi="Times New Roman" w:cs="Times New Roman"/>
        </w:rPr>
        <w:t>er, in the sense that it includes</w:t>
      </w:r>
      <w:r w:rsidR="00BF6791" w:rsidRPr="006D2720">
        <w:rPr>
          <w:rFonts w:ascii="Times New Roman" w:hAnsi="Times New Roman" w:cs="Times New Roman"/>
        </w:rPr>
        <w:t xml:space="preserve"> </w:t>
      </w:r>
      <w:r w:rsidR="00804D4F" w:rsidRPr="006D2720">
        <w:rPr>
          <w:rFonts w:ascii="Times New Roman" w:hAnsi="Times New Roman" w:cs="Times New Roman"/>
        </w:rPr>
        <w:t>information which is not personal information</w:t>
      </w:r>
      <w:r w:rsidR="003E7314" w:rsidRPr="006D2720">
        <w:rPr>
          <w:rFonts w:ascii="Times New Roman" w:hAnsi="Times New Roman" w:cs="Times New Roman"/>
        </w:rPr>
        <w:t xml:space="preserve"> as defined in the </w:t>
      </w:r>
      <w:r w:rsidR="00FF19C5" w:rsidRPr="006D2720">
        <w:rPr>
          <w:rFonts w:ascii="Times New Roman" w:hAnsi="Times New Roman" w:cs="Times New Roman"/>
        </w:rPr>
        <w:t>PIPA</w:t>
      </w:r>
      <w:r w:rsidR="00AB398C" w:rsidRPr="006D2720">
        <w:rPr>
          <w:rFonts w:ascii="Times New Roman" w:hAnsi="Times New Roman" w:cs="Times New Roman"/>
        </w:rPr>
        <w:t xml:space="preserve">. </w:t>
      </w:r>
      <w:r w:rsidR="00DF3DC9" w:rsidRPr="006D2720">
        <w:rPr>
          <w:rFonts w:ascii="Times New Roman" w:hAnsi="Times New Roman" w:cs="Times New Roman"/>
        </w:rPr>
        <w:t>It is also</w:t>
      </w:r>
      <w:r w:rsidR="00AB398C" w:rsidRPr="006D2720">
        <w:rPr>
          <w:rFonts w:ascii="Times New Roman" w:hAnsi="Times New Roman" w:cs="Times New Roman"/>
        </w:rPr>
        <w:t xml:space="preserve"> unclear whether it </w:t>
      </w:r>
      <w:r w:rsidR="00627F08" w:rsidRPr="006D2720">
        <w:rPr>
          <w:rFonts w:ascii="Times New Roman" w:hAnsi="Times New Roman" w:cs="Times New Roman"/>
        </w:rPr>
        <w:t>is confined to information that only relate</w:t>
      </w:r>
      <w:r w:rsidR="00875735" w:rsidRPr="006D2720">
        <w:rPr>
          <w:rFonts w:ascii="Times New Roman" w:hAnsi="Times New Roman" w:cs="Times New Roman"/>
        </w:rPr>
        <w:t>s</w:t>
      </w:r>
      <w:r w:rsidR="00627F08" w:rsidRPr="006D2720">
        <w:rPr>
          <w:rFonts w:ascii="Times New Roman" w:hAnsi="Times New Roman" w:cs="Times New Roman"/>
        </w:rPr>
        <w:t xml:space="preserve"> to an individual that is predictive of the individual’s or their descendants’ health or whether it also </w:t>
      </w:r>
      <w:r w:rsidR="00AB398C" w:rsidRPr="006D2720">
        <w:rPr>
          <w:rFonts w:ascii="Times New Roman" w:hAnsi="Times New Roman" w:cs="Times New Roman"/>
        </w:rPr>
        <w:t xml:space="preserve">includes </w:t>
      </w:r>
      <w:r w:rsidR="00804D4F" w:rsidRPr="006D2720">
        <w:rPr>
          <w:rFonts w:ascii="Times New Roman" w:hAnsi="Times New Roman" w:cs="Times New Roman"/>
        </w:rPr>
        <w:t xml:space="preserve">information about </w:t>
      </w:r>
      <w:r w:rsidR="00627F08" w:rsidRPr="006D2720">
        <w:rPr>
          <w:rFonts w:ascii="Times New Roman" w:hAnsi="Times New Roman" w:cs="Times New Roman"/>
        </w:rPr>
        <w:t>that</w:t>
      </w:r>
      <w:r w:rsidR="00804D4F" w:rsidRPr="006D2720">
        <w:rPr>
          <w:rFonts w:ascii="Times New Roman" w:hAnsi="Times New Roman" w:cs="Times New Roman"/>
        </w:rPr>
        <w:t xml:space="preserve"> individual’s genetic relatives</w:t>
      </w:r>
      <w:r w:rsidR="00EE1F95" w:rsidRPr="006D2720">
        <w:rPr>
          <w:rFonts w:ascii="Times New Roman" w:hAnsi="Times New Roman" w:cs="Times New Roman"/>
        </w:rPr>
        <w:t xml:space="preserve">, which may be predictive of </w:t>
      </w:r>
      <w:r w:rsidR="00551841" w:rsidRPr="006D2720">
        <w:rPr>
          <w:rFonts w:ascii="Times New Roman" w:hAnsi="Times New Roman" w:cs="Times New Roman"/>
        </w:rPr>
        <w:t>that individual’s own health</w:t>
      </w:r>
      <w:r w:rsidR="00E97701" w:rsidRPr="006D2720">
        <w:rPr>
          <w:rFonts w:ascii="Times New Roman" w:hAnsi="Times New Roman" w:cs="Times New Roman"/>
        </w:rPr>
        <w:t>.</w:t>
      </w:r>
      <w:bookmarkEnd w:id="215"/>
      <w:r w:rsidR="00E97701" w:rsidRPr="006D2720">
        <w:rPr>
          <w:rFonts w:ascii="Times New Roman" w:hAnsi="Times New Roman" w:cs="Times New Roman"/>
        </w:rPr>
        <w:t xml:space="preserve"> </w:t>
      </w:r>
      <w:r w:rsidR="00804D4F" w:rsidRPr="006D2720">
        <w:rPr>
          <w:rFonts w:ascii="Times New Roman" w:hAnsi="Times New Roman" w:cs="Times New Roman"/>
        </w:rPr>
        <w:t xml:space="preserve"> </w:t>
      </w:r>
    </w:p>
    <w:p w14:paraId="36FDF022" w14:textId="7F11C36C" w:rsidR="000A549D" w:rsidRPr="006D2720" w:rsidRDefault="00BC66C0" w:rsidP="00292643">
      <w:pPr>
        <w:pStyle w:val="Heading3"/>
        <w:rPr>
          <w:rFonts w:ascii="Times New Roman" w:hAnsi="Times New Roman" w:cs="Times New Roman"/>
        </w:rPr>
      </w:pPr>
      <w:r w:rsidRPr="006D2720">
        <w:rPr>
          <w:rFonts w:ascii="Times New Roman" w:hAnsi="Times New Roman" w:cs="Times New Roman"/>
        </w:rPr>
        <w:t>Given h</w:t>
      </w:r>
      <w:r w:rsidR="004D1081" w:rsidRPr="006D2720">
        <w:rPr>
          <w:rFonts w:ascii="Times New Roman" w:hAnsi="Times New Roman" w:cs="Times New Roman"/>
        </w:rPr>
        <w:t xml:space="preserve">ealth information </w:t>
      </w:r>
      <w:r w:rsidRPr="006D2720">
        <w:rPr>
          <w:rFonts w:ascii="Times New Roman" w:hAnsi="Times New Roman" w:cs="Times New Roman"/>
        </w:rPr>
        <w:t>is a type of sensitive information, it is</w:t>
      </w:r>
      <w:r w:rsidR="00A52981" w:rsidRPr="006D2720">
        <w:rPr>
          <w:rFonts w:ascii="Times New Roman" w:hAnsi="Times New Roman" w:cs="Times New Roman"/>
        </w:rPr>
        <w:t xml:space="preserve"> subject to various additional protections under the PIPPs</w:t>
      </w:r>
      <w:r w:rsidR="004D1081" w:rsidRPr="006D2720">
        <w:rPr>
          <w:rFonts w:ascii="Times New Roman" w:hAnsi="Times New Roman" w:cs="Times New Roman"/>
        </w:rPr>
        <w:t xml:space="preserve">. </w:t>
      </w:r>
      <w:r w:rsidR="000A549D" w:rsidRPr="006D2720">
        <w:rPr>
          <w:rFonts w:ascii="Times New Roman" w:hAnsi="Times New Roman" w:cs="Times New Roman"/>
        </w:rPr>
        <w:t xml:space="preserve">However, there are certain exceptions that apply to health information, </w:t>
      </w:r>
      <w:r w:rsidR="00681C77" w:rsidRPr="006D2720">
        <w:rPr>
          <w:rFonts w:ascii="Times New Roman" w:hAnsi="Times New Roman" w:cs="Times New Roman"/>
        </w:rPr>
        <w:t>but w</w:t>
      </w:r>
      <w:r w:rsidR="000A549D" w:rsidRPr="006D2720">
        <w:rPr>
          <w:rFonts w:ascii="Times New Roman" w:hAnsi="Times New Roman" w:cs="Times New Roman"/>
        </w:rPr>
        <w:t>hich do not apply to other categories of sensitive information.</w:t>
      </w:r>
    </w:p>
    <w:p w14:paraId="3BB01690" w14:textId="32698920" w:rsidR="000B1D91" w:rsidRPr="006D2720" w:rsidRDefault="000A549D" w:rsidP="0066337D">
      <w:pPr>
        <w:pStyle w:val="Heading3"/>
        <w:rPr>
          <w:rFonts w:ascii="Times New Roman" w:hAnsi="Times New Roman" w:cs="Times New Roman"/>
        </w:rPr>
      </w:pPr>
      <w:r w:rsidRPr="006D2720">
        <w:rPr>
          <w:rFonts w:ascii="Times New Roman" w:hAnsi="Times New Roman" w:cs="Times New Roman"/>
        </w:rPr>
        <w:t xml:space="preserve">For example, health </w:t>
      </w:r>
      <w:r w:rsidR="00234150" w:rsidRPr="006D2720">
        <w:rPr>
          <w:rFonts w:ascii="Times New Roman" w:hAnsi="Times New Roman" w:cs="Times New Roman"/>
        </w:rPr>
        <w:t>information can</w:t>
      </w:r>
      <w:r w:rsidR="00200189" w:rsidRPr="006D2720">
        <w:rPr>
          <w:rFonts w:ascii="Times New Roman" w:hAnsi="Times New Roman" w:cs="Times New Roman"/>
        </w:rPr>
        <w:t xml:space="preserve"> </w:t>
      </w:r>
      <w:r w:rsidR="00234150" w:rsidRPr="006D2720">
        <w:rPr>
          <w:rFonts w:ascii="Times New Roman" w:hAnsi="Times New Roman" w:cs="Times New Roman"/>
        </w:rPr>
        <w:t xml:space="preserve">be disclosed </w:t>
      </w:r>
      <w:r w:rsidR="005666DE" w:rsidRPr="006D2720">
        <w:rPr>
          <w:rFonts w:ascii="Times New Roman" w:hAnsi="Times New Roman" w:cs="Times New Roman"/>
        </w:rPr>
        <w:t xml:space="preserve">by a health service </w:t>
      </w:r>
      <w:r w:rsidR="00234150" w:rsidRPr="006D2720">
        <w:rPr>
          <w:rFonts w:ascii="Times New Roman" w:hAnsi="Times New Roman" w:cs="Times New Roman"/>
        </w:rPr>
        <w:t xml:space="preserve">to </w:t>
      </w:r>
      <w:r w:rsidR="00A52981" w:rsidRPr="006D2720">
        <w:rPr>
          <w:rFonts w:ascii="Times New Roman" w:hAnsi="Times New Roman" w:cs="Times New Roman"/>
        </w:rPr>
        <w:t xml:space="preserve">a relative or responsible person </w:t>
      </w:r>
      <w:r w:rsidR="005666DE" w:rsidRPr="006D2720">
        <w:rPr>
          <w:rFonts w:ascii="Times New Roman" w:hAnsi="Times New Roman" w:cs="Times New Roman"/>
        </w:rPr>
        <w:t xml:space="preserve">where the individual </w:t>
      </w:r>
      <w:r w:rsidR="00A52981" w:rsidRPr="006D2720">
        <w:rPr>
          <w:rFonts w:ascii="Times New Roman" w:hAnsi="Times New Roman" w:cs="Times New Roman"/>
        </w:rPr>
        <w:t xml:space="preserve">concerned </w:t>
      </w:r>
      <w:r w:rsidR="005666DE" w:rsidRPr="006D2720">
        <w:rPr>
          <w:rFonts w:ascii="Times New Roman" w:hAnsi="Times New Roman" w:cs="Times New Roman"/>
        </w:rPr>
        <w:t xml:space="preserve">is unable to </w:t>
      </w:r>
      <w:r w:rsidR="00B45F29" w:rsidRPr="006D2720">
        <w:rPr>
          <w:rFonts w:ascii="Times New Roman" w:hAnsi="Times New Roman" w:cs="Times New Roman"/>
        </w:rPr>
        <w:t>give or communicate consent</w:t>
      </w:r>
      <w:r w:rsidR="00A52981" w:rsidRPr="006D2720">
        <w:rPr>
          <w:rFonts w:ascii="Times New Roman" w:hAnsi="Times New Roman" w:cs="Times New Roman"/>
        </w:rPr>
        <w:t>.</w:t>
      </w:r>
      <w:r w:rsidR="00A52981" w:rsidRPr="006D2720">
        <w:rPr>
          <w:rStyle w:val="FootnoteReference"/>
          <w:rFonts w:ascii="Times New Roman" w:hAnsi="Times New Roman" w:cs="Times New Roman"/>
        </w:rPr>
        <w:footnoteReference w:id="95"/>
      </w:r>
      <w:r w:rsidR="00F16386" w:rsidRPr="006D2720">
        <w:rPr>
          <w:rFonts w:ascii="Times New Roman" w:hAnsi="Times New Roman" w:cs="Times New Roman"/>
        </w:rPr>
        <w:t xml:space="preserve"> </w:t>
      </w:r>
      <w:r w:rsidR="0007103B" w:rsidRPr="006D2720">
        <w:rPr>
          <w:rFonts w:ascii="Times New Roman" w:hAnsi="Times New Roman" w:cs="Times New Roman"/>
        </w:rPr>
        <w:t xml:space="preserve"> </w:t>
      </w:r>
      <w:r w:rsidR="008720CC" w:rsidRPr="006D2720">
        <w:rPr>
          <w:rFonts w:ascii="Times New Roman" w:hAnsi="Times New Roman" w:cs="Times New Roman"/>
        </w:rPr>
        <w:t xml:space="preserve">PIPP 10 also </w:t>
      </w:r>
      <w:r w:rsidR="00A52981" w:rsidRPr="006D2720">
        <w:rPr>
          <w:rFonts w:ascii="Times New Roman" w:hAnsi="Times New Roman" w:cs="Times New Roman"/>
        </w:rPr>
        <w:t xml:space="preserve">allows </w:t>
      </w:r>
      <w:r w:rsidR="007F5A93" w:rsidRPr="006D2720">
        <w:rPr>
          <w:rFonts w:ascii="Times New Roman" w:hAnsi="Times New Roman" w:cs="Times New Roman"/>
        </w:rPr>
        <w:t>health information</w:t>
      </w:r>
      <w:r w:rsidR="00C3035A" w:rsidRPr="006D2720">
        <w:rPr>
          <w:rFonts w:ascii="Times New Roman" w:hAnsi="Times New Roman" w:cs="Times New Roman"/>
        </w:rPr>
        <w:t xml:space="preserve"> </w:t>
      </w:r>
      <w:r w:rsidR="00A52981" w:rsidRPr="006D2720">
        <w:rPr>
          <w:rFonts w:ascii="Times New Roman" w:hAnsi="Times New Roman" w:cs="Times New Roman"/>
        </w:rPr>
        <w:t xml:space="preserve">to be collected without the </w:t>
      </w:r>
      <w:r w:rsidR="00C3035A" w:rsidRPr="006D2720">
        <w:rPr>
          <w:rFonts w:ascii="Times New Roman" w:hAnsi="Times New Roman" w:cs="Times New Roman"/>
        </w:rPr>
        <w:t>individual’s consent</w:t>
      </w:r>
      <w:r w:rsidR="00A52981" w:rsidRPr="006D2720">
        <w:rPr>
          <w:rFonts w:ascii="Times New Roman" w:hAnsi="Times New Roman" w:cs="Times New Roman"/>
        </w:rPr>
        <w:t xml:space="preserve"> for various reasons, including</w:t>
      </w:r>
      <w:r w:rsidR="008A44A0" w:rsidRPr="006D2720">
        <w:rPr>
          <w:rFonts w:ascii="Times New Roman" w:hAnsi="Times New Roman" w:cs="Times New Roman"/>
        </w:rPr>
        <w:t xml:space="preserve"> where it </w:t>
      </w:r>
      <w:r w:rsidR="00E01711" w:rsidRPr="006D2720">
        <w:rPr>
          <w:rFonts w:ascii="Times New Roman" w:hAnsi="Times New Roman" w:cs="Times New Roman"/>
        </w:rPr>
        <w:t xml:space="preserve">is </w:t>
      </w:r>
      <w:r w:rsidR="007F5A93" w:rsidRPr="006D2720">
        <w:rPr>
          <w:rFonts w:ascii="Times New Roman" w:hAnsi="Times New Roman" w:cs="Times New Roman"/>
        </w:rPr>
        <w:t xml:space="preserve">necessary </w:t>
      </w:r>
      <w:r w:rsidR="007D1046" w:rsidRPr="006D2720">
        <w:rPr>
          <w:rFonts w:ascii="Times New Roman" w:hAnsi="Times New Roman" w:cs="Times New Roman"/>
        </w:rPr>
        <w:t>to provide a health service</w:t>
      </w:r>
      <w:r w:rsidR="004B1027" w:rsidRPr="006D2720">
        <w:rPr>
          <w:rFonts w:ascii="Times New Roman" w:hAnsi="Times New Roman" w:cs="Times New Roman"/>
        </w:rPr>
        <w:t xml:space="preserve"> to the individual</w:t>
      </w:r>
      <w:r w:rsidR="0007103B" w:rsidRPr="006D2720">
        <w:rPr>
          <w:rFonts w:ascii="Times New Roman" w:hAnsi="Times New Roman" w:cs="Times New Roman"/>
        </w:rPr>
        <w:t>.</w:t>
      </w:r>
    </w:p>
    <w:p w14:paraId="1FF0519B" w14:textId="1199EE36" w:rsidR="001216F1" w:rsidRPr="006D2720" w:rsidRDefault="00267D95" w:rsidP="00AD6249">
      <w:pPr>
        <w:pStyle w:val="Heading3"/>
        <w:rPr>
          <w:rFonts w:ascii="Times New Roman" w:hAnsi="Times New Roman" w:cs="Times New Roman"/>
        </w:rPr>
      </w:pPr>
      <w:r w:rsidRPr="006D2720">
        <w:rPr>
          <w:rFonts w:ascii="Times New Roman" w:hAnsi="Times New Roman" w:cs="Times New Roman"/>
        </w:rPr>
        <w:t xml:space="preserve">In limited circumstances, health </w:t>
      </w:r>
      <w:r w:rsidR="00EC339C" w:rsidRPr="006D2720">
        <w:rPr>
          <w:rFonts w:ascii="Times New Roman" w:hAnsi="Times New Roman" w:cs="Times New Roman"/>
        </w:rPr>
        <w:t xml:space="preserve">information may also be collected </w:t>
      </w:r>
      <w:r w:rsidR="00692119" w:rsidRPr="006D2720">
        <w:rPr>
          <w:rFonts w:ascii="Times New Roman" w:hAnsi="Times New Roman" w:cs="Times New Roman"/>
        </w:rPr>
        <w:t>without consent</w:t>
      </w:r>
      <w:r w:rsidR="00352328" w:rsidRPr="006D2720">
        <w:rPr>
          <w:rFonts w:ascii="Times New Roman" w:hAnsi="Times New Roman" w:cs="Times New Roman"/>
        </w:rPr>
        <w:t xml:space="preserve"> of the individual</w:t>
      </w:r>
      <w:r w:rsidR="00692119" w:rsidRPr="006D2720">
        <w:rPr>
          <w:rFonts w:ascii="Times New Roman" w:hAnsi="Times New Roman" w:cs="Times New Roman"/>
        </w:rPr>
        <w:t xml:space="preserve"> where it is impracticable to seek </w:t>
      </w:r>
      <w:r w:rsidR="00352328" w:rsidRPr="006D2720">
        <w:rPr>
          <w:rFonts w:ascii="Times New Roman" w:hAnsi="Times New Roman" w:cs="Times New Roman"/>
        </w:rPr>
        <w:t xml:space="preserve">such </w:t>
      </w:r>
      <w:r w:rsidR="00692119" w:rsidRPr="006D2720">
        <w:rPr>
          <w:rFonts w:ascii="Times New Roman" w:hAnsi="Times New Roman" w:cs="Times New Roman"/>
        </w:rPr>
        <w:t>consent.</w:t>
      </w:r>
      <w:r w:rsidR="00A3523C" w:rsidRPr="006D2720">
        <w:rPr>
          <w:rStyle w:val="FootnoteReference"/>
          <w:rFonts w:ascii="Times New Roman" w:hAnsi="Times New Roman" w:cs="Times New Roman"/>
        </w:rPr>
        <w:footnoteReference w:id="96"/>
      </w:r>
      <w:r w:rsidR="00692119" w:rsidRPr="006D2720">
        <w:rPr>
          <w:rFonts w:ascii="Times New Roman" w:hAnsi="Times New Roman" w:cs="Times New Roman"/>
        </w:rPr>
        <w:t xml:space="preserve"> </w:t>
      </w:r>
      <w:r w:rsidR="00A3523C" w:rsidRPr="006D2720">
        <w:rPr>
          <w:rFonts w:ascii="Times New Roman" w:hAnsi="Times New Roman" w:cs="Times New Roman"/>
        </w:rPr>
        <w:t xml:space="preserve">Various requirements must be met </w:t>
      </w:r>
      <w:r w:rsidR="00EC339C" w:rsidRPr="006D2720">
        <w:rPr>
          <w:rFonts w:ascii="Times New Roman" w:hAnsi="Times New Roman" w:cs="Times New Roman"/>
        </w:rPr>
        <w:t xml:space="preserve">for </w:t>
      </w:r>
      <w:r w:rsidR="00A3523C" w:rsidRPr="006D2720">
        <w:rPr>
          <w:rFonts w:ascii="Times New Roman" w:hAnsi="Times New Roman" w:cs="Times New Roman"/>
        </w:rPr>
        <w:t xml:space="preserve">this to be permissible, including </w:t>
      </w:r>
      <w:r w:rsidR="001216F1" w:rsidRPr="006D2720">
        <w:rPr>
          <w:rFonts w:ascii="Times New Roman" w:hAnsi="Times New Roman" w:cs="Times New Roman"/>
        </w:rPr>
        <w:t>that the collection is necessary for:</w:t>
      </w:r>
    </w:p>
    <w:p w14:paraId="3D9A24D6" w14:textId="12828E2D" w:rsidR="001216F1" w:rsidRPr="006D2720" w:rsidRDefault="001216F1" w:rsidP="001216F1">
      <w:pPr>
        <w:pStyle w:val="Dotpointlist"/>
        <w:rPr>
          <w:rFonts w:ascii="Times New Roman" w:hAnsi="Times New Roman" w:cs="Times New Roman"/>
        </w:rPr>
      </w:pPr>
      <w:r w:rsidRPr="006D2720">
        <w:rPr>
          <w:rFonts w:ascii="Times New Roman" w:hAnsi="Times New Roman" w:cs="Times New Roman"/>
        </w:rPr>
        <w:t xml:space="preserve">research </w:t>
      </w:r>
      <w:r w:rsidR="00EC339C" w:rsidRPr="006D2720">
        <w:rPr>
          <w:rFonts w:ascii="Times New Roman" w:hAnsi="Times New Roman" w:cs="Times New Roman"/>
        </w:rPr>
        <w:t>relevant to public health or public safety</w:t>
      </w:r>
      <w:r w:rsidR="00267D95" w:rsidRPr="006D2720">
        <w:rPr>
          <w:rFonts w:ascii="Times New Roman" w:hAnsi="Times New Roman" w:cs="Times New Roman"/>
        </w:rPr>
        <w:t>;</w:t>
      </w:r>
    </w:p>
    <w:p w14:paraId="308FC6A7" w14:textId="7DF26170" w:rsidR="001216F1" w:rsidRPr="006D2720" w:rsidRDefault="00267D95" w:rsidP="001216F1">
      <w:pPr>
        <w:pStyle w:val="Dotpointlist"/>
        <w:rPr>
          <w:rFonts w:ascii="Times New Roman" w:hAnsi="Times New Roman" w:cs="Times New Roman"/>
        </w:rPr>
      </w:pPr>
      <w:r w:rsidRPr="006D2720">
        <w:rPr>
          <w:rFonts w:ascii="Times New Roman" w:hAnsi="Times New Roman" w:cs="Times New Roman"/>
        </w:rPr>
        <w:t>compiling or analysing statistics relevant to public health or public safety</w:t>
      </w:r>
      <w:r w:rsidR="001216F1" w:rsidRPr="006D2720">
        <w:rPr>
          <w:rFonts w:ascii="Times New Roman" w:hAnsi="Times New Roman" w:cs="Times New Roman"/>
        </w:rPr>
        <w:t>; or</w:t>
      </w:r>
    </w:p>
    <w:p w14:paraId="62C0B6C2" w14:textId="6423C696" w:rsidR="001216F1" w:rsidRPr="006D2720" w:rsidRDefault="001216F1" w:rsidP="001216F1">
      <w:pPr>
        <w:pStyle w:val="Dotpointlist"/>
        <w:rPr>
          <w:rFonts w:ascii="Times New Roman" w:hAnsi="Times New Roman" w:cs="Times New Roman"/>
        </w:rPr>
      </w:pPr>
      <w:r w:rsidRPr="006D2720">
        <w:rPr>
          <w:rFonts w:ascii="Times New Roman" w:hAnsi="Times New Roman" w:cs="Times New Roman"/>
        </w:rPr>
        <w:t>managing</w:t>
      </w:r>
      <w:r w:rsidR="00687BE0" w:rsidRPr="006D2720">
        <w:rPr>
          <w:rFonts w:ascii="Times New Roman" w:hAnsi="Times New Roman" w:cs="Times New Roman"/>
        </w:rPr>
        <w:t>, funding or monitoring a health service</w:t>
      </w:r>
      <w:r w:rsidR="00E01711" w:rsidRPr="006D2720">
        <w:rPr>
          <w:rFonts w:ascii="Times New Roman" w:hAnsi="Times New Roman" w:cs="Times New Roman"/>
        </w:rPr>
        <w:t>.</w:t>
      </w:r>
      <w:r w:rsidR="00AD6249" w:rsidRPr="006D2720">
        <w:rPr>
          <w:rFonts w:ascii="Times New Roman" w:hAnsi="Times New Roman" w:cs="Times New Roman"/>
        </w:rPr>
        <w:t xml:space="preserve"> </w:t>
      </w:r>
    </w:p>
    <w:p w14:paraId="7A4D7F07" w14:textId="561241DB" w:rsidR="00814217" w:rsidRPr="006D2720" w:rsidRDefault="001216F1" w:rsidP="0066337D">
      <w:pPr>
        <w:pStyle w:val="Heading3"/>
        <w:rPr>
          <w:rFonts w:ascii="Times New Roman" w:hAnsi="Times New Roman" w:cs="Times New Roman"/>
        </w:rPr>
      </w:pPr>
      <w:r w:rsidRPr="006D2720">
        <w:rPr>
          <w:rFonts w:ascii="Times New Roman" w:hAnsi="Times New Roman" w:cs="Times New Roman"/>
        </w:rPr>
        <w:t>Any</w:t>
      </w:r>
      <w:r w:rsidR="00E01711" w:rsidRPr="006D2720">
        <w:rPr>
          <w:rFonts w:ascii="Times New Roman" w:hAnsi="Times New Roman" w:cs="Times New Roman"/>
        </w:rPr>
        <w:t xml:space="preserve"> health information collected </w:t>
      </w:r>
      <w:r w:rsidR="00AD6249" w:rsidRPr="006D2720">
        <w:rPr>
          <w:rFonts w:ascii="Times New Roman" w:hAnsi="Times New Roman" w:cs="Times New Roman"/>
        </w:rPr>
        <w:t xml:space="preserve">in these </w:t>
      </w:r>
      <w:r w:rsidR="00280989" w:rsidRPr="006D2720">
        <w:rPr>
          <w:rFonts w:ascii="Times New Roman" w:hAnsi="Times New Roman" w:cs="Times New Roman"/>
        </w:rPr>
        <w:t xml:space="preserve">limited </w:t>
      </w:r>
      <w:r w:rsidR="00AD6249" w:rsidRPr="006D2720">
        <w:rPr>
          <w:rFonts w:ascii="Times New Roman" w:hAnsi="Times New Roman" w:cs="Times New Roman"/>
        </w:rPr>
        <w:t xml:space="preserve">circumstances </w:t>
      </w:r>
      <w:r w:rsidR="00E01711" w:rsidRPr="006D2720">
        <w:rPr>
          <w:rFonts w:ascii="Times New Roman" w:hAnsi="Times New Roman" w:cs="Times New Roman"/>
        </w:rPr>
        <w:t xml:space="preserve">must be </w:t>
      </w:r>
      <w:r w:rsidR="00AD6249" w:rsidRPr="006D2720">
        <w:rPr>
          <w:rFonts w:ascii="Times New Roman" w:hAnsi="Times New Roman" w:cs="Times New Roman"/>
        </w:rPr>
        <w:t xml:space="preserve">permanently </w:t>
      </w:r>
      <w:r w:rsidR="002D24A8" w:rsidRPr="006D2720">
        <w:rPr>
          <w:rFonts w:ascii="Times New Roman" w:hAnsi="Times New Roman" w:cs="Times New Roman"/>
        </w:rPr>
        <w:t>de-identified before being disclosed</w:t>
      </w:r>
      <w:r w:rsidR="004131EA" w:rsidRPr="006D2720">
        <w:rPr>
          <w:rFonts w:ascii="Times New Roman" w:hAnsi="Times New Roman" w:cs="Times New Roman"/>
        </w:rPr>
        <w:t>.</w:t>
      </w:r>
      <w:r w:rsidR="00E01711" w:rsidRPr="006D2720">
        <w:rPr>
          <w:rStyle w:val="FootnoteReference"/>
          <w:rFonts w:ascii="Times New Roman" w:hAnsi="Times New Roman" w:cs="Times New Roman"/>
        </w:rPr>
        <w:footnoteReference w:id="97"/>
      </w:r>
      <w:r w:rsidR="002923EC" w:rsidRPr="006D2720">
        <w:rPr>
          <w:rFonts w:ascii="Times New Roman" w:hAnsi="Times New Roman" w:cs="Times New Roman"/>
        </w:rPr>
        <w:t xml:space="preserve"> </w:t>
      </w:r>
      <w:r w:rsidR="00150480" w:rsidRPr="006D2720">
        <w:rPr>
          <w:rFonts w:ascii="Times New Roman" w:hAnsi="Times New Roman" w:cs="Times New Roman"/>
        </w:rPr>
        <w:t>This Issues Paper observes that t</w:t>
      </w:r>
      <w:r w:rsidR="00551728" w:rsidRPr="006D2720">
        <w:rPr>
          <w:rFonts w:ascii="Times New Roman" w:hAnsi="Times New Roman" w:cs="Times New Roman"/>
        </w:rPr>
        <w:t xml:space="preserve">his </w:t>
      </w:r>
      <w:r w:rsidR="00E13728" w:rsidRPr="006D2720">
        <w:rPr>
          <w:rFonts w:ascii="Times New Roman" w:hAnsi="Times New Roman" w:cs="Times New Roman"/>
        </w:rPr>
        <w:t>requirement may impact the development and use of pseudonymous datasets (</w:t>
      </w:r>
      <w:r w:rsidR="00786A74" w:rsidRPr="006D2720">
        <w:rPr>
          <w:rFonts w:ascii="Times New Roman" w:hAnsi="Times New Roman" w:cs="Times New Roman"/>
        </w:rPr>
        <w:t>discussed</w:t>
      </w:r>
      <w:r w:rsidR="00E13728" w:rsidRPr="006D2720">
        <w:rPr>
          <w:rFonts w:ascii="Times New Roman" w:hAnsi="Times New Roman" w:cs="Times New Roman"/>
        </w:rPr>
        <w:t xml:space="preserve"> above</w:t>
      </w:r>
      <w:r w:rsidR="006D2FB6" w:rsidRPr="006D2720">
        <w:rPr>
          <w:rFonts w:ascii="Times New Roman" w:hAnsi="Times New Roman" w:cs="Times New Roman"/>
        </w:rPr>
        <w:t xml:space="preserve"> at</w:t>
      </w:r>
      <w:r w:rsidR="00B9210A" w:rsidRPr="006D2720">
        <w:rPr>
          <w:rFonts w:ascii="Times New Roman" w:hAnsi="Times New Roman" w:cs="Times New Roman"/>
        </w:rPr>
        <w:t xml:space="preserve"> </w:t>
      </w:r>
      <w:r w:rsidR="00D332F8" w:rsidRPr="006D2720">
        <w:rPr>
          <w:rFonts w:ascii="Times New Roman" w:hAnsi="Times New Roman" w:cs="Times New Roman"/>
        </w:rPr>
        <w:t>[</w:t>
      </w:r>
      <w:r w:rsidR="00A23B7C" w:rsidRPr="006D2720">
        <w:rPr>
          <w:rFonts w:ascii="Times New Roman" w:hAnsi="Times New Roman" w:cs="Times New Roman"/>
        </w:rPr>
        <w:fldChar w:fldCharType="begin"/>
      </w:r>
      <w:r w:rsidR="00A23B7C" w:rsidRPr="006D2720">
        <w:rPr>
          <w:rFonts w:ascii="Times New Roman" w:hAnsi="Times New Roman" w:cs="Times New Roman"/>
        </w:rPr>
        <w:instrText xml:space="preserve"> REF _Ref89684688 \r \h </w:instrText>
      </w:r>
      <w:r w:rsidR="00A660A0" w:rsidRPr="006D2720">
        <w:rPr>
          <w:rFonts w:ascii="Times New Roman" w:hAnsi="Times New Roman" w:cs="Times New Roman"/>
        </w:rPr>
        <w:instrText xml:space="preserve"> \* MERGEFORMAT </w:instrText>
      </w:r>
      <w:r w:rsidR="00A23B7C" w:rsidRPr="006D2720">
        <w:rPr>
          <w:rFonts w:ascii="Times New Roman" w:hAnsi="Times New Roman" w:cs="Times New Roman"/>
        </w:rPr>
      </w:r>
      <w:r w:rsidR="00A23B7C" w:rsidRPr="006D2720">
        <w:rPr>
          <w:rFonts w:ascii="Times New Roman" w:hAnsi="Times New Roman" w:cs="Times New Roman"/>
        </w:rPr>
        <w:fldChar w:fldCharType="separate"/>
      </w:r>
      <w:r w:rsidR="00E66B60">
        <w:rPr>
          <w:rFonts w:ascii="Times New Roman" w:hAnsi="Times New Roman" w:cs="Times New Roman"/>
        </w:rPr>
        <w:t>2.2.24</w:t>
      </w:r>
      <w:r w:rsidR="00A23B7C" w:rsidRPr="006D2720">
        <w:rPr>
          <w:rFonts w:ascii="Times New Roman" w:hAnsi="Times New Roman" w:cs="Times New Roman"/>
        </w:rPr>
        <w:fldChar w:fldCharType="end"/>
      </w:r>
      <w:r w:rsidR="00D332F8" w:rsidRPr="006D2720">
        <w:rPr>
          <w:rFonts w:ascii="Times New Roman" w:hAnsi="Times New Roman" w:cs="Times New Roman"/>
        </w:rPr>
        <w:t>]</w:t>
      </w:r>
      <w:r w:rsidR="00A23B7C" w:rsidRPr="006D2720">
        <w:rPr>
          <w:rFonts w:ascii="Times New Roman" w:hAnsi="Times New Roman" w:cs="Times New Roman"/>
        </w:rPr>
        <w:t>–</w:t>
      </w:r>
      <w:r w:rsidR="00D332F8" w:rsidRPr="006D2720">
        <w:rPr>
          <w:rFonts w:ascii="Times New Roman" w:hAnsi="Times New Roman" w:cs="Times New Roman"/>
        </w:rPr>
        <w:t>[</w:t>
      </w:r>
      <w:r w:rsidR="00A23B7C" w:rsidRPr="006D2720">
        <w:rPr>
          <w:rFonts w:ascii="Times New Roman" w:hAnsi="Times New Roman" w:cs="Times New Roman"/>
        </w:rPr>
        <w:fldChar w:fldCharType="begin"/>
      </w:r>
      <w:r w:rsidR="00A23B7C" w:rsidRPr="006D2720">
        <w:rPr>
          <w:rFonts w:ascii="Times New Roman" w:hAnsi="Times New Roman" w:cs="Times New Roman"/>
        </w:rPr>
        <w:instrText xml:space="preserve"> REF _Ref89684696 \r \h </w:instrText>
      </w:r>
      <w:r w:rsidR="00A660A0" w:rsidRPr="006D2720">
        <w:rPr>
          <w:rFonts w:ascii="Times New Roman" w:hAnsi="Times New Roman" w:cs="Times New Roman"/>
        </w:rPr>
        <w:instrText xml:space="preserve"> \* MERGEFORMAT </w:instrText>
      </w:r>
      <w:r w:rsidR="00A23B7C" w:rsidRPr="006D2720">
        <w:rPr>
          <w:rFonts w:ascii="Times New Roman" w:hAnsi="Times New Roman" w:cs="Times New Roman"/>
        </w:rPr>
      </w:r>
      <w:r w:rsidR="00A23B7C" w:rsidRPr="006D2720">
        <w:rPr>
          <w:rFonts w:ascii="Times New Roman" w:hAnsi="Times New Roman" w:cs="Times New Roman"/>
        </w:rPr>
        <w:fldChar w:fldCharType="separate"/>
      </w:r>
      <w:r w:rsidR="00E66B60">
        <w:rPr>
          <w:rFonts w:ascii="Times New Roman" w:hAnsi="Times New Roman" w:cs="Times New Roman"/>
        </w:rPr>
        <w:t>2.2.27</w:t>
      </w:r>
      <w:r w:rsidR="00A23B7C" w:rsidRPr="006D2720">
        <w:rPr>
          <w:rFonts w:ascii="Times New Roman" w:hAnsi="Times New Roman" w:cs="Times New Roman"/>
        </w:rPr>
        <w:fldChar w:fldCharType="end"/>
      </w:r>
      <w:r w:rsidR="00D332F8" w:rsidRPr="006D2720">
        <w:rPr>
          <w:rFonts w:ascii="Times New Roman" w:hAnsi="Times New Roman" w:cs="Times New Roman"/>
        </w:rPr>
        <w:t>]</w:t>
      </w:r>
      <w:r w:rsidR="00E13728" w:rsidRPr="006D2720">
        <w:rPr>
          <w:rFonts w:ascii="Times New Roman" w:hAnsi="Times New Roman" w:cs="Times New Roman"/>
        </w:rPr>
        <w:t>) for health research</w:t>
      </w:r>
      <w:r w:rsidR="00AE11A3" w:rsidRPr="006D2720">
        <w:rPr>
          <w:rFonts w:ascii="Times New Roman" w:hAnsi="Times New Roman" w:cs="Times New Roman"/>
        </w:rPr>
        <w:t xml:space="preserve"> that involves </w:t>
      </w:r>
      <w:r w:rsidR="004A0EB3" w:rsidRPr="006D2720">
        <w:rPr>
          <w:rFonts w:ascii="Times New Roman" w:hAnsi="Times New Roman" w:cs="Times New Roman"/>
        </w:rPr>
        <w:t>comparing</w:t>
      </w:r>
      <w:r w:rsidR="00ED0EA1" w:rsidRPr="006D2720">
        <w:rPr>
          <w:rFonts w:ascii="Times New Roman" w:hAnsi="Times New Roman" w:cs="Times New Roman"/>
        </w:rPr>
        <w:t xml:space="preserve"> the </w:t>
      </w:r>
      <w:r w:rsidR="00E0124D" w:rsidRPr="006D2720">
        <w:rPr>
          <w:rFonts w:ascii="Times New Roman" w:hAnsi="Times New Roman" w:cs="Times New Roman"/>
        </w:rPr>
        <w:t>characteristics</w:t>
      </w:r>
      <w:r w:rsidR="00ED0EA1" w:rsidRPr="006D2720">
        <w:rPr>
          <w:rFonts w:ascii="Times New Roman" w:hAnsi="Times New Roman" w:cs="Times New Roman"/>
        </w:rPr>
        <w:t xml:space="preserve"> </w:t>
      </w:r>
      <w:r w:rsidR="001F6AB3" w:rsidRPr="006D2720">
        <w:rPr>
          <w:rFonts w:ascii="Times New Roman" w:hAnsi="Times New Roman" w:cs="Times New Roman"/>
        </w:rPr>
        <w:t xml:space="preserve">within a </w:t>
      </w:r>
      <w:r w:rsidR="00FB1204" w:rsidRPr="006D2720">
        <w:rPr>
          <w:rFonts w:ascii="Times New Roman" w:hAnsi="Times New Roman" w:cs="Times New Roman"/>
        </w:rPr>
        <w:t>selected</w:t>
      </w:r>
      <w:r w:rsidR="001F6AB3" w:rsidRPr="006D2720">
        <w:rPr>
          <w:rFonts w:ascii="Times New Roman" w:hAnsi="Times New Roman" w:cs="Times New Roman"/>
        </w:rPr>
        <w:t xml:space="preserve"> sample </w:t>
      </w:r>
      <w:r w:rsidR="00ED0EA1" w:rsidRPr="006D2720">
        <w:rPr>
          <w:rFonts w:ascii="Times New Roman" w:hAnsi="Times New Roman" w:cs="Times New Roman"/>
        </w:rPr>
        <w:t>population</w:t>
      </w:r>
      <w:r w:rsidR="00E13728" w:rsidRPr="006D2720">
        <w:rPr>
          <w:rFonts w:ascii="Times New Roman" w:hAnsi="Times New Roman" w:cs="Times New Roman"/>
        </w:rPr>
        <w:t>.</w:t>
      </w:r>
      <w:r w:rsidR="00E13728" w:rsidRPr="006D2720">
        <w:rPr>
          <w:rStyle w:val="FootnoteReference"/>
          <w:rFonts w:ascii="Times New Roman" w:hAnsi="Times New Roman" w:cs="Times New Roman"/>
        </w:rPr>
        <w:footnoteReference w:id="98"/>
      </w:r>
      <w:r w:rsidR="00245E3D" w:rsidRPr="006D2720">
        <w:rPr>
          <w:rFonts w:ascii="Times New Roman" w:hAnsi="Times New Roman" w:cs="Times New Roman"/>
        </w:rPr>
        <w:t xml:space="preserve"> </w:t>
      </w:r>
    </w:p>
    <w:p w14:paraId="3B7B412B" w14:textId="77777777" w:rsidR="009B3F25" w:rsidRPr="006D2720" w:rsidRDefault="009B3F25" w:rsidP="009B3F25">
      <w:pPr>
        <w:rPr>
          <w:rFonts w:ascii="Times New Roman" w:hAnsi="Times New Roman" w:cs="Times New Roman"/>
          <w:b/>
          <w:bCs/>
          <w:i/>
          <w:iCs/>
        </w:rPr>
      </w:pPr>
      <w:r w:rsidRPr="006D2720">
        <w:rPr>
          <w:rFonts w:ascii="Times New Roman" w:hAnsi="Times New Roman" w:cs="Times New Roman"/>
          <w:b/>
          <w:bCs/>
          <w:i/>
          <w:iCs/>
        </w:rPr>
        <w:t>Biometrics and facial recognition</w:t>
      </w:r>
    </w:p>
    <w:p w14:paraId="0BE0DB1C" w14:textId="43E16DD2" w:rsidR="002C3F5E" w:rsidRPr="006D2720" w:rsidRDefault="00496721" w:rsidP="00292643">
      <w:pPr>
        <w:pStyle w:val="Heading3"/>
        <w:rPr>
          <w:rFonts w:ascii="Times New Roman" w:hAnsi="Times New Roman" w:cs="Times New Roman"/>
        </w:rPr>
      </w:pPr>
      <w:bookmarkStart w:id="216" w:name="_Ref91828812"/>
      <w:r w:rsidRPr="006D2720">
        <w:rPr>
          <w:rFonts w:ascii="Times New Roman" w:hAnsi="Times New Roman" w:cs="Times New Roman"/>
        </w:rPr>
        <w:t>Biometric information</w:t>
      </w:r>
      <w:r w:rsidR="00E56FE8" w:rsidRPr="006D2720">
        <w:rPr>
          <w:rFonts w:ascii="Times New Roman" w:hAnsi="Times New Roman" w:cs="Times New Roman"/>
        </w:rPr>
        <w:t xml:space="preserve"> is information </w:t>
      </w:r>
      <w:r w:rsidR="00E45C07" w:rsidRPr="006D2720">
        <w:rPr>
          <w:rFonts w:ascii="Times New Roman" w:hAnsi="Times New Roman" w:cs="Times New Roman"/>
        </w:rPr>
        <w:t xml:space="preserve">relating to </w:t>
      </w:r>
      <w:r w:rsidR="005A7313" w:rsidRPr="006D2720">
        <w:rPr>
          <w:rFonts w:ascii="Times New Roman" w:hAnsi="Times New Roman" w:cs="Times New Roman"/>
        </w:rPr>
        <w:t xml:space="preserve">the </w:t>
      </w:r>
      <w:r w:rsidR="00E45C07" w:rsidRPr="006D2720">
        <w:rPr>
          <w:rFonts w:ascii="Times New Roman" w:hAnsi="Times New Roman" w:cs="Times New Roman"/>
        </w:rPr>
        <w:t xml:space="preserve">physical </w:t>
      </w:r>
      <w:r w:rsidR="00E56FE8" w:rsidRPr="006D2720">
        <w:rPr>
          <w:rFonts w:ascii="Times New Roman" w:hAnsi="Times New Roman" w:cs="Times New Roman"/>
        </w:rPr>
        <w:t>characteristics</w:t>
      </w:r>
      <w:r w:rsidRPr="006D2720">
        <w:rPr>
          <w:rFonts w:ascii="Times New Roman" w:hAnsi="Times New Roman" w:cs="Times New Roman"/>
        </w:rPr>
        <w:t xml:space="preserve"> </w:t>
      </w:r>
      <w:r w:rsidR="00E56FE8" w:rsidRPr="006D2720">
        <w:rPr>
          <w:rFonts w:ascii="Times New Roman" w:hAnsi="Times New Roman" w:cs="Times New Roman"/>
        </w:rPr>
        <w:t xml:space="preserve">of an individual, </w:t>
      </w:r>
      <w:r w:rsidR="00E45C07" w:rsidRPr="006D2720">
        <w:rPr>
          <w:rFonts w:ascii="Times New Roman" w:hAnsi="Times New Roman" w:cs="Times New Roman"/>
        </w:rPr>
        <w:t xml:space="preserve">such as </w:t>
      </w:r>
      <w:r w:rsidR="00E56FE8" w:rsidRPr="006D2720">
        <w:rPr>
          <w:rFonts w:ascii="Times New Roman" w:hAnsi="Times New Roman" w:cs="Times New Roman"/>
        </w:rPr>
        <w:t xml:space="preserve">their </w:t>
      </w:r>
      <w:r w:rsidRPr="006D2720">
        <w:rPr>
          <w:rFonts w:ascii="Times New Roman" w:hAnsi="Times New Roman" w:cs="Times New Roman"/>
        </w:rPr>
        <w:t xml:space="preserve">face, </w:t>
      </w:r>
      <w:r w:rsidR="00E45C07" w:rsidRPr="006D2720">
        <w:rPr>
          <w:rFonts w:ascii="Times New Roman" w:hAnsi="Times New Roman" w:cs="Times New Roman"/>
        </w:rPr>
        <w:t xml:space="preserve">gait, </w:t>
      </w:r>
      <w:r w:rsidRPr="006D2720">
        <w:rPr>
          <w:rFonts w:ascii="Times New Roman" w:hAnsi="Times New Roman" w:cs="Times New Roman"/>
        </w:rPr>
        <w:t>fingerprints, signature</w:t>
      </w:r>
      <w:r w:rsidR="00E56FE8" w:rsidRPr="006D2720">
        <w:rPr>
          <w:rFonts w:ascii="Times New Roman" w:hAnsi="Times New Roman" w:cs="Times New Roman"/>
        </w:rPr>
        <w:t>,</w:t>
      </w:r>
      <w:r w:rsidRPr="006D2720">
        <w:rPr>
          <w:rFonts w:ascii="Times New Roman" w:hAnsi="Times New Roman" w:cs="Times New Roman"/>
        </w:rPr>
        <w:t xml:space="preserve"> </w:t>
      </w:r>
      <w:r w:rsidR="00E45C07" w:rsidRPr="006D2720">
        <w:rPr>
          <w:rFonts w:ascii="Times New Roman" w:hAnsi="Times New Roman" w:cs="Times New Roman"/>
        </w:rPr>
        <w:t xml:space="preserve">or </w:t>
      </w:r>
      <w:r w:rsidRPr="006D2720">
        <w:rPr>
          <w:rFonts w:ascii="Times New Roman" w:hAnsi="Times New Roman" w:cs="Times New Roman"/>
        </w:rPr>
        <w:t>voice</w:t>
      </w:r>
      <w:r w:rsidR="00E56FE8" w:rsidRPr="006D2720">
        <w:rPr>
          <w:rFonts w:ascii="Times New Roman" w:hAnsi="Times New Roman" w:cs="Times New Roman"/>
        </w:rPr>
        <w:t xml:space="preserve">. </w:t>
      </w:r>
      <w:r w:rsidR="00112AB1" w:rsidRPr="006D2720">
        <w:rPr>
          <w:rFonts w:ascii="Times New Roman" w:hAnsi="Times New Roman" w:cs="Times New Roman"/>
        </w:rPr>
        <w:t xml:space="preserve">Biometrics are commonly used in technology to verify identity, such as </w:t>
      </w:r>
      <w:r w:rsidR="001207C2" w:rsidRPr="006D2720">
        <w:rPr>
          <w:rFonts w:ascii="Times New Roman" w:hAnsi="Times New Roman" w:cs="Times New Roman"/>
        </w:rPr>
        <w:t xml:space="preserve">through </w:t>
      </w:r>
      <w:r w:rsidR="00112AB1" w:rsidRPr="006D2720">
        <w:rPr>
          <w:rFonts w:ascii="Times New Roman" w:hAnsi="Times New Roman" w:cs="Times New Roman"/>
        </w:rPr>
        <w:t xml:space="preserve">facial </w:t>
      </w:r>
      <w:r w:rsidR="004A4FE5" w:rsidRPr="006D2720">
        <w:rPr>
          <w:rFonts w:ascii="Times New Roman" w:hAnsi="Times New Roman" w:cs="Times New Roman"/>
        </w:rPr>
        <w:t xml:space="preserve">recognition </w:t>
      </w:r>
      <w:r w:rsidR="005D40A8" w:rsidRPr="006D2720">
        <w:rPr>
          <w:rFonts w:ascii="Times New Roman" w:hAnsi="Times New Roman" w:cs="Times New Roman"/>
        </w:rPr>
        <w:t xml:space="preserve">or fingerprint </w:t>
      </w:r>
      <w:r w:rsidR="005B0BDC" w:rsidRPr="006D2720">
        <w:rPr>
          <w:rFonts w:ascii="Times New Roman" w:hAnsi="Times New Roman" w:cs="Times New Roman"/>
        </w:rPr>
        <w:t>s</w:t>
      </w:r>
      <w:r w:rsidR="004A4FE5" w:rsidRPr="006D2720">
        <w:rPr>
          <w:rFonts w:ascii="Times New Roman" w:hAnsi="Times New Roman" w:cs="Times New Roman"/>
        </w:rPr>
        <w:t xml:space="preserve">ensors </w:t>
      </w:r>
      <w:r w:rsidR="00112AB1" w:rsidRPr="006D2720">
        <w:rPr>
          <w:rFonts w:ascii="Times New Roman" w:hAnsi="Times New Roman" w:cs="Times New Roman"/>
        </w:rPr>
        <w:t xml:space="preserve">on </w:t>
      </w:r>
      <w:r w:rsidR="00AE348C" w:rsidRPr="006D2720">
        <w:rPr>
          <w:rFonts w:ascii="Times New Roman" w:hAnsi="Times New Roman" w:cs="Times New Roman"/>
        </w:rPr>
        <w:t>smart</w:t>
      </w:r>
      <w:r w:rsidR="00112AB1" w:rsidRPr="006D2720">
        <w:rPr>
          <w:rFonts w:ascii="Times New Roman" w:hAnsi="Times New Roman" w:cs="Times New Roman"/>
        </w:rPr>
        <w:t xml:space="preserve">phones. </w:t>
      </w:r>
      <w:r w:rsidR="00171CB7" w:rsidRPr="006D2720">
        <w:rPr>
          <w:rFonts w:ascii="Times New Roman" w:hAnsi="Times New Roman" w:cs="Times New Roman"/>
        </w:rPr>
        <w:t xml:space="preserve">Under the PIPA, biometrics are </w:t>
      </w:r>
      <w:r w:rsidR="00240DA3" w:rsidRPr="006D2720">
        <w:rPr>
          <w:rFonts w:ascii="Times New Roman" w:hAnsi="Times New Roman" w:cs="Times New Roman"/>
        </w:rPr>
        <w:t xml:space="preserve">not included </w:t>
      </w:r>
      <w:r w:rsidRPr="006D2720">
        <w:rPr>
          <w:rFonts w:ascii="Times New Roman" w:hAnsi="Times New Roman" w:cs="Times New Roman"/>
        </w:rPr>
        <w:t>as a discrete form of personal information.</w:t>
      </w:r>
      <w:bookmarkEnd w:id="216"/>
      <w:r w:rsidRPr="006D2720">
        <w:rPr>
          <w:rFonts w:ascii="Times New Roman" w:hAnsi="Times New Roman" w:cs="Times New Roman"/>
        </w:rPr>
        <w:t xml:space="preserve"> </w:t>
      </w:r>
    </w:p>
    <w:p w14:paraId="4024D29B" w14:textId="0201A6F3" w:rsidR="006069A6" w:rsidRPr="006D2720" w:rsidRDefault="005B0BDC" w:rsidP="0066337D">
      <w:pPr>
        <w:pStyle w:val="Heading3"/>
        <w:rPr>
          <w:rFonts w:ascii="Times New Roman" w:hAnsi="Times New Roman" w:cs="Times New Roman"/>
        </w:rPr>
      </w:pPr>
      <w:r w:rsidRPr="006D2720">
        <w:rPr>
          <w:rFonts w:ascii="Times New Roman" w:hAnsi="Times New Roman" w:cs="Times New Roman"/>
        </w:rPr>
        <w:t>In contrast, biometrics are granted additional protection under the</w:t>
      </w:r>
      <w:r w:rsidR="002E1A3A" w:rsidRPr="006D2720">
        <w:rPr>
          <w:rFonts w:ascii="Times New Roman" w:hAnsi="Times New Roman" w:cs="Times New Roman"/>
        </w:rPr>
        <w:t xml:space="preserve"> Privacy Act</w:t>
      </w:r>
      <w:r w:rsidR="00A4678B" w:rsidRPr="006D2720">
        <w:rPr>
          <w:rFonts w:ascii="Times New Roman" w:hAnsi="Times New Roman" w:cs="Times New Roman"/>
        </w:rPr>
        <w:t xml:space="preserve">. This is achieved through its classification as </w:t>
      </w:r>
      <w:r w:rsidR="00176D82" w:rsidRPr="006D2720">
        <w:rPr>
          <w:rFonts w:ascii="Times New Roman" w:hAnsi="Times New Roman" w:cs="Times New Roman"/>
        </w:rPr>
        <w:t>‘sensitive information’</w:t>
      </w:r>
      <w:r w:rsidR="00755651" w:rsidRPr="006D2720">
        <w:rPr>
          <w:rFonts w:ascii="Times New Roman" w:hAnsi="Times New Roman" w:cs="Times New Roman"/>
        </w:rPr>
        <w:t>—the Commonw</w:t>
      </w:r>
      <w:r w:rsidR="00B477F6" w:rsidRPr="006D2720">
        <w:rPr>
          <w:rFonts w:ascii="Times New Roman" w:hAnsi="Times New Roman" w:cs="Times New Roman"/>
        </w:rPr>
        <w:t>e</w:t>
      </w:r>
      <w:r w:rsidR="00755651" w:rsidRPr="006D2720">
        <w:rPr>
          <w:rFonts w:ascii="Times New Roman" w:hAnsi="Times New Roman" w:cs="Times New Roman"/>
        </w:rPr>
        <w:t xml:space="preserve">alth definition </w:t>
      </w:r>
      <w:r w:rsidR="00851057" w:rsidRPr="006D2720">
        <w:rPr>
          <w:rFonts w:ascii="Times New Roman" w:hAnsi="Times New Roman" w:cs="Times New Roman"/>
        </w:rPr>
        <w:t xml:space="preserve">of the term </w:t>
      </w:r>
      <w:r w:rsidR="006069A6" w:rsidRPr="006D2720">
        <w:rPr>
          <w:rFonts w:ascii="Times New Roman" w:hAnsi="Times New Roman" w:cs="Times New Roman"/>
        </w:rPr>
        <w:t>expressly</w:t>
      </w:r>
      <w:r w:rsidR="00176D82" w:rsidRPr="006D2720">
        <w:rPr>
          <w:rFonts w:ascii="Times New Roman" w:hAnsi="Times New Roman" w:cs="Times New Roman"/>
        </w:rPr>
        <w:t xml:space="preserve"> </w:t>
      </w:r>
      <w:r w:rsidR="002E1A3A" w:rsidRPr="006D2720">
        <w:rPr>
          <w:rFonts w:ascii="Times New Roman" w:hAnsi="Times New Roman" w:cs="Times New Roman"/>
        </w:rPr>
        <w:t>includes</w:t>
      </w:r>
      <w:r w:rsidR="006069A6" w:rsidRPr="006D2720">
        <w:rPr>
          <w:rFonts w:ascii="Times New Roman" w:hAnsi="Times New Roman" w:cs="Times New Roman"/>
        </w:rPr>
        <w:t>:</w:t>
      </w:r>
      <w:r w:rsidR="00D82392" w:rsidRPr="006D2720">
        <w:rPr>
          <w:rStyle w:val="FootnoteReference"/>
          <w:rFonts w:ascii="Times New Roman" w:hAnsi="Times New Roman" w:cs="Times New Roman"/>
        </w:rPr>
        <w:footnoteReference w:id="99"/>
      </w:r>
    </w:p>
    <w:p w14:paraId="2FAF6896" w14:textId="5B059C56" w:rsidR="006069A6" w:rsidRPr="006D2720" w:rsidRDefault="006069A6" w:rsidP="00CA1A69">
      <w:pPr>
        <w:pStyle w:val="Dotpointlist"/>
        <w:rPr>
          <w:rFonts w:ascii="Times New Roman" w:hAnsi="Times New Roman" w:cs="Times New Roman"/>
        </w:rPr>
      </w:pPr>
      <w:r w:rsidRPr="006D2720">
        <w:rPr>
          <w:rFonts w:ascii="Times New Roman" w:hAnsi="Times New Roman" w:cs="Times New Roman"/>
        </w:rPr>
        <w:t>genetic information about an individual that is not otherwise health information;</w:t>
      </w:r>
    </w:p>
    <w:p w14:paraId="5EB6178E" w14:textId="08B9136F" w:rsidR="006069A6" w:rsidRPr="006D2720" w:rsidRDefault="006069A6" w:rsidP="00CA1A69">
      <w:pPr>
        <w:pStyle w:val="Dotpointlist"/>
        <w:rPr>
          <w:rFonts w:ascii="Times New Roman" w:hAnsi="Times New Roman" w:cs="Times New Roman"/>
        </w:rPr>
      </w:pPr>
      <w:r w:rsidRPr="006D2720">
        <w:rPr>
          <w:rFonts w:ascii="Times New Roman" w:hAnsi="Times New Roman" w:cs="Times New Roman"/>
        </w:rPr>
        <w:t xml:space="preserve">biometric information used for the purpose of automated biometric verification or biometric identification; and </w:t>
      </w:r>
    </w:p>
    <w:p w14:paraId="0958692A" w14:textId="67D4F01F" w:rsidR="008B18B4" w:rsidRPr="006D2720" w:rsidRDefault="006069A6" w:rsidP="00CA1A69">
      <w:pPr>
        <w:pStyle w:val="Dotpointlist"/>
        <w:rPr>
          <w:rFonts w:ascii="Times New Roman" w:hAnsi="Times New Roman" w:cs="Times New Roman"/>
        </w:rPr>
      </w:pPr>
      <w:r w:rsidRPr="006D2720">
        <w:rPr>
          <w:rFonts w:ascii="Times New Roman" w:hAnsi="Times New Roman" w:cs="Times New Roman"/>
        </w:rPr>
        <w:t>biometric templates.</w:t>
      </w:r>
      <w:r w:rsidR="006E2F57" w:rsidRPr="006D2720">
        <w:rPr>
          <w:rStyle w:val="FootnoteReference"/>
          <w:rFonts w:ascii="Times New Roman" w:hAnsi="Times New Roman" w:cs="Times New Roman"/>
        </w:rPr>
        <w:footnoteReference w:id="100"/>
      </w:r>
    </w:p>
    <w:p w14:paraId="6F0CBDEF" w14:textId="77777777" w:rsidR="008B18B4" w:rsidRPr="006D2720" w:rsidRDefault="008B18B4">
      <w:pPr>
        <w:rPr>
          <w:rFonts w:ascii="Times New Roman" w:eastAsia="Calibri" w:hAnsi="Times New Roman" w:cs="Times New Roman"/>
        </w:rPr>
      </w:pPr>
      <w:r w:rsidRPr="006D2720">
        <w:rPr>
          <w:rFonts w:ascii="Times New Roman" w:hAnsi="Times New Roman" w:cs="Times New Roman"/>
        </w:rPr>
        <w:br w:type="page"/>
      </w:r>
    </w:p>
    <w:p w14:paraId="27260C3E" w14:textId="037F1F23" w:rsidR="00740317" w:rsidRPr="006D2720" w:rsidRDefault="00A73866" w:rsidP="00292643">
      <w:pPr>
        <w:pStyle w:val="Heading3"/>
        <w:rPr>
          <w:rFonts w:ascii="Times New Roman" w:hAnsi="Times New Roman" w:cs="Times New Roman"/>
        </w:rPr>
      </w:pPr>
      <w:r w:rsidRPr="006D2720">
        <w:rPr>
          <w:rFonts w:ascii="Times New Roman" w:hAnsi="Times New Roman" w:cs="Times New Roman"/>
        </w:rPr>
        <w:t xml:space="preserve">At the Commonwealth level, </w:t>
      </w:r>
      <w:r w:rsidR="00693A10" w:rsidRPr="006D2720">
        <w:rPr>
          <w:rFonts w:ascii="Times New Roman" w:hAnsi="Times New Roman" w:cs="Times New Roman"/>
        </w:rPr>
        <w:t>The A</w:t>
      </w:r>
      <w:r w:rsidR="00496721" w:rsidRPr="006D2720">
        <w:rPr>
          <w:rFonts w:ascii="Times New Roman" w:hAnsi="Times New Roman" w:cs="Times New Roman"/>
        </w:rPr>
        <w:t>ustralian Human Rights Commission</w:t>
      </w:r>
      <w:r w:rsidR="00693A10" w:rsidRPr="006D2720">
        <w:rPr>
          <w:rFonts w:ascii="Times New Roman" w:hAnsi="Times New Roman" w:cs="Times New Roman"/>
        </w:rPr>
        <w:t xml:space="preserve"> </w:t>
      </w:r>
      <w:r w:rsidR="00EE293A" w:rsidRPr="006D2720">
        <w:rPr>
          <w:rFonts w:ascii="Times New Roman" w:hAnsi="Times New Roman" w:cs="Times New Roman"/>
        </w:rPr>
        <w:t xml:space="preserve">have </w:t>
      </w:r>
      <w:r w:rsidR="00AD38AA" w:rsidRPr="006D2720">
        <w:rPr>
          <w:rFonts w:ascii="Times New Roman" w:hAnsi="Times New Roman" w:cs="Times New Roman"/>
        </w:rPr>
        <w:t xml:space="preserve">also </w:t>
      </w:r>
      <w:r w:rsidR="00693A10" w:rsidRPr="006D2720">
        <w:rPr>
          <w:rFonts w:ascii="Times New Roman" w:hAnsi="Times New Roman" w:cs="Times New Roman"/>
        </w:rPr>
        <w:t>highlight</w:t>
      </w:r>
      <w:r w:rsidR="00AD38AA" w:rsidRPr="006D2720">
        <w:rPr>
          <w:rFonts w:ascii="Times New Roman" w:hAnsi="Times New Roman" w:cs="Times New Roman"/>
        </w:rPr>
        <w:t>ed</w:t>
      </w:r>
      <w:r w:rsidR="00693A10" w:rsidRPr="006D2720">
        <w:rPr>
          <w:rFonts w:ascii="Times New Roman" w:hAnsi="Times New Roman" w:cs="Times New Roman"/>
        </w:rPr>
        <w:t xml:space="preserve"> the significant privacy risks associated with some uses of biometric technology, including facial </w:t>
      </w:r>
      <w:r w:rsidR="00D51F55" w:rsidRPr="006D2720">
        <w:rPr>
          <w:rFonts w:ascii="Times New Roman" w:hAnsi="Times New Roman" w:cs="Times New Roman"/>
        </w:rPr>
        <w:t xml:space="preserve">recognition </w:t>
      </w:r>
      <w:r w:rsidR="00693A10" w:rsidRPr="006D2720">
        <w:rPr>
          <w:rFonts w:ascii="Times New Roman" w:hAnsi="Times New Roman" w:cs="Times New Roman"/>
        </w:rPr>
        <w:t>technology in surveillance.</w:t>
      </w:r>
      <w:r w:rsidR="00D84383" w:rsidRPr="006D2720">
        <w:rPr>
          <w:rStyle w:val="FootnoteReference"/>
          <w:rFonts w:ascii="Times New Roman" w:hAnsi="Times New Roman" w:cs="Times New Roman"/>
        </w:rPr>
        <w:footnoteReference w:id="101"/>
      </w:r>
      <w:r w:rsidR="00D84383" w:rsidRPr="006D2720">
        <w:rPr>
          <w:rFonts w:ascii="Times New Roman" w:hAnsi="Times New Roman" w:cs="Times New Roman"/>
        </w:rPr>
        <w:t xml:space="preserve"> </w:t>
      </w:r>
      <w:r w:rsidR="00AD38AA" w:rsidRPr="006D2720">
        <w:rPr>
          <w:rFonts w:ascii="Times New Roman" w:hAnsi="Times New Roman" w:cs="Times New Roman"/>
        </w:rPr>
        <w:t>Drawing from examples in other jurisdictions</w:t>
      </w:r>
      <w:r w:rsidR="00627F08" w:rsidRPr="006D2720">
        <w:rPr>
          <w:rFonts w:ascii="Times New Roman" w:hAnsi="Times New Roman" w:cs="Times New Roman"/>
        </w:rPr>
        <w:t>,</w:t>
      </w:r>
      <w:r w:rsidR="00AD38AA" w:rsidRPr="006D2720">
        <w:rPr>
          <w:rFonts w:ascii="Times New Roman" w:hAnsi="Times New Roman" w:cs="Times New Roman"/>
        </w:rPr>
        <w:t xml:space="preserve"> including the </w:t>
      </w:r>
      <w:r w:rsidR="003D6BB0" w:rsidRPr="006D2720">
        <w:rPr>
          <w:rFonts w:ascii="Times New Roman" w:hAnsi="Times New Roman" w:cs="Times New Roman"/>
        </w:rPr>
        <w:t>European Union</w:t>
      </w:r>
      <w:r w:rsidR="00AD38AA" w:rsidRPr="006D2720">
        <w:rPr>
          <w:rFonts w:ascii="Times New Roman" w:hAnsi="Times New Roman" w:cs="Times New Roman"/>
        </w:rPr>
        <w:t>, t</w:t>
      </w:r>
      <w:r w:rsidR="00693A10" w:rsidRPr="006D2720">
        <w:rPr>
          <w:rFonts w:ascii="Times New Roman" w:hAnsi="Times New Roman" w:cs="Times New Roman"/>
        </w:rPr>
        <w:t xml:space="preserve">he Commission </w:t>
      </w:r>
      <w:r w:rsidR="00740317" w:rsidRPr="006D2720">
        <w:rPr>
          <w:rFonts w:ascii="Times New Roman" w:hAnsi="Times New Roman" w:cs="Times New Roman"/>
        </w:rPr>
        <w:t>recommend</w:t>
      </w:r>
      <w:r w:rsidR="00D3076E" w:rsidRPr="006D2720">
        <w:rPr>
          <w:rFonts w:ascii="Times New Roman" w:hAnsi="Times New Roman" w:cs="Times New Roman"/>
        </w:rPr>
        <w:t>ed numerous reforms, including the following relevant recommendations</w:t>
      </w:r>
      <w:r w:rsidR="00627F08" w:rsidRPr="006D2720">
        <w:rPr>
          <w:rFonts w:ascii="Times New Roman" w:hAnsi="Times New Roman" w:cs="Times New Roman"/>
        </w:rPr>
        <w:t>:</w:t>
      </w:r>
      <w:r w:rsidR="003C4DEC" w:rsidRPr="006D2720">
        <w:rPr>
          <w:rStyle w:val="FootnoteReference"/>
          <w:rFonts w:ascii="Times New Roman" w:hAnsi="Times New Roman" w:cs="Times New Roman"/>
        </w:rPr>
        <w:footnoteReference w:id="102"/>
      </w:r>
    </w:p>
    <w:p w14:paraId="412572D0" w14:textId="305FF55D" w:rsidR="00740317" w:rsidRPr="006D2720" w:rsidRDefault="003B1139" w:rsidP="00740317">
      <w:pPr>
        <w:pStyle w:val="Dotpointlist"/>
        <w:rPr>
          <w:rFonts w:ascii="Times New Roman" w:hAnsi="Times New Roman" w:cs="Times New Roman"/>
        </w:rPr>
      </w:pPr>
      <w:r w:rsidRPr="006D2720">
        <w:rPr>
          <w:rFonts w:ascii="Times New Roman" w:hAnsi="Times New Roman" w:cs="Times New Roman"/>
        </w:rPr>
        <w:t xml:space="preserve">Recommendation 19: </w:t>
      </w:r>
      <w:r w:rsidR="00F458B4" w:rsidRPr="006D2720">
        <w:rPr>
          <w:rFonts w:ascii="Times New Roman" w:hAnsi="Times New Roman" w:cs="Times New Roman"/>
        </w:rPr>
        <w:t xml:space="preserve">to </w:t>
      </w:r>
      <w:r w:rsidR="006C0833" w:rsidRPr="006D2720">
        <w:rPr>
          <w:rFonts w:ascii="Times New Roman" w:hAnsi="Times New Roman" w:cs="Times New Roman"/>
        </w:rPr>
        <w:t xml:space="preserve">create </w:t>
      </w:r>
      <w:r w:rsidR="00D606C3" w:rsidRPr="006D2720">
        <w:rPr>
          <w:rFonts w:ascii="Times New Roman" w:hAnsi="Times New Roman" w:cs="Times New Roman"/>
        </w:rPr>
        <w:t xml:space="preserve">express </w:t>
      </w:r>
      <w:r w:rsidR="00693A10" w:rsidRPr="006D2720">
        <w:rPr>
          <w:rFonts w:ascii="Times New Roman" w:hAnsi="Times New Roman" w:cs="Times New Roman"/>
        </w:rPr>
        <w:t>protection</w:t>
      </w:r>
      <w:r w:rsidR="00740317" w:rsidRPr="006D2720">
        <w:rPr>
          <w:rFonts w:ascii="Times New Roman" w:hAnsi="Times New Roman" w:cs="Times New Roman"/>
        </w:rPr>
        <w:t>s</w:t>
      </w:r>
      <w:r w:rsidR="00693A10" w:rsidRPr="006D2720">
        <w:rPr>
          <w:rFonts w:ascii="Times New Roman" w:hAnsi="Times New Roman" w:cs="Times New Roman"/>
        </w:rPr>
        <w:t xml:space="preserve"> </w:t>
      </w:r>
      <w:r w:rsidR="00D606C3" w:rsidRPr="006D2720">
        <w:rPr>
          <w:rFonts w:ascii="Times New Roman" w:hAnsi="Times New Roman" w:cs="Times New Roman"/>
        </w:rPr>
        <w:t xml:space="preserve">for </w:t>
      </w:r>
      <w:r w:rsidR="00693A10" w:rsidRPr="006D2720">
        <w:rPr>
          <w:rFonts w:ascii="Times New Roman" w:hAnsi="Times New Roman" w:cs="Times New Roman"/>
        </w:rPr>
        <w:t xml:space="preserve">human rights </w:t>
      </w:r>
      <w:r w:rsidR="00D606C3" w:rsidRPr="006D2720">
        <w:rPr>
          <w:rFonts w:ascii="Times New Roman" w:hAnsi="Times New Roman" w:cs="Times New Roman"/>
        </w:rPr>
        <w:t>when</w:t>
      </w:r>
      <w:r w:rsidR="00693A10" w:rsidRPr="006D2720">
        <w:rPr>
          <w:rFonts w:ascii="Times New Roman" w:hAnsi="Times New Roman" w:cs="Times New Roman"/>
        </w:rPr>
        <w:t xml:space="preserve"> facial recognition technology </w:t>
      </w:r>
      <w:r w:rsidR="00D606C3" w:rsidRPr="006D2720">
        <w:rPr>
          <w:rFonts w:ascii="Times New Roman" w:hAnsi="Times New Roman" w:cs="Times New Roman"/>
        </w:rPr>
        <w:t xml:space="preserve">is used in certain </w:t>
      </w:r>
      <w:r w:rsidR="00BC485F" w:rsidRPr="006D2720">
        <w:rPr>
          <w:rFonts w:ascii="Times New Roman" w:hAnsi="Times New Roman" w:cs="Times New Roman"/>
        </w:rPr>
        <w:t>types of decision-making</w:t>
      </w:r>
      <w:r w:rsidR="00D606C3" w:rsidRPr="006D2720">
        <w:rPr>
          <w:rFonts w:ascii="Times New Roman" w:hAnsi="Times New Roman" w:cs="Times New Roman"/>
        </w:rPr>
        <w:t>. First, in decision-making that impacts a person’s legal or similarly significant rights. Second</w:t>
      </w:r>
      <w:r w:rsidR="001E528A" w:rsidRPr="006D2720">
        <w:rPr>
          <w:rFonts w:ascii="Times New Roman" w:hAnsi="Times New Roman" w:cs="Times New Roman"/>
        </w:rPr>
        <w:t xml:space="preserve">, </w:t>
      </w:r>
      <w:r w:rsidR="00C60A67" w:rsidRPr="006D2720">
        <w:rPr>
          <w:rFonts w:ascii="Times New Roman" w:hAnsi="Times New Roman" w:cs="Times New Roman"/>
        </w:rPr>
        <w:t xml:space="preserve">in </w:t>
      </w:r>
      <w:r w:rsidR="00BC485F" w:rsidRPr="006D2720">
        <w:rPr>
          <w:rFonts w:ascii="Times New Roman" w:hAnsi="Times New Roman" w:cs="Times New Roman"/>
        </w:rPr>
        <w:t>circumstances</w:t>
      </w:r>
      <w:r w:rsidR="00C60A67" w:rsidRPr="006D2720">
        <w:rPr>
          <w:rFonts w:ascii="Times New Roman" w:hAnsi="Times New Roman" w:cs="Times New Roman"/>
        </w:rPr>
        <w:t xml:space="preserve"> </w:t>
      </w:r>
      <w:r w:rsidR="00EE135F" w:rsidRPr="006D2720">
        <w:rPr>
          <w:rFonts w:ascii="Times New Roman" w:hAnsi="Times New Roman" w:cs="Times New Roman"/>
        </w:rPr>
        <w:t xml:space="preserve">where </w:t>
      </w:r>
      <w:r w:rsidR="00C60A67" w:rsidRPr="006D2720">
        <w:rPr>
          <w:rFonts w:ascii="Times New Roman" w:hAnsi="Times New Roman" w:cs="Times New Roman"/>
        </w:rPr>
        <w:t xml:space="preserve">use of the technology poses </w:t>
      </w:r>
      <w:r w:rsidR="00EE135F" w:rsidRPr="006D2720">
        <w:rPr>
          <w:rFonts w:ascii="Times New Roman" w:hAnsi="Times New Roman" w:cs="Times New Roman"/>
        </w:rPr>
        <w:t>a high risk to human rights</w:t>
      </w:r>
      <w:r w:rsidR="00C60A67" w:rsidRPr="006D2720">
        <w:rPr>
          <w:rFonts w:ascii="Times New Roman" w:hAnsi="Times New Roman" w:cs="Times New Roman"/>
        </w:rPr>
        <w:t xml:space="preserve">, </w:t>
      </w:r>
      <w:r w:rsidR="00693A10" w:rsidRPr="006D2720">
        <w:rPr>
          <w:rFonts w:ascii="Times New Roman" w:hAnsi="Times New Roman" w:cs="Times New Roman"/>
        </w:rPr>
        <w:t>such as in policing and law enforcement</w:t>
      </w:r>
      <w:r w:rsidR="001B0A7C" w:rsidRPr="006D2720">
        <w:rPr>
          <w:rFonts w:ascii="Times New Roman" w:hAnsi="Times New Roman" w:cs="Times New Roman"/>
        </w:rPr>
        <w:t xml:space="preserve">. In this context, there is particular concern that </w:t>
      </w:r>
      <w:r w:rsidR="00E7126B" w:rsidRPr="006D2720">
        <w:rPr>
          <w:rFonts w:ascii="Times New Roman" w:hAnsi="Times New Roman" w:cs="Times New Roman"/>
        </w:rPr>
        <w:t xml:space="preserve">errors in recognition can </w:t>
      </w:r>
      <w:r w:rsidR="001B0A7C" w:rsidRPr="006D2720">
        <w:rPr>
          <w:rFonts w:ascii="Times New Roman" w:hAnsi="Times New Roman" w:cs="Times New Roman"/>
        </w:rPr>
        <w:t xml:space="preserve">result in mis-identification </w:t>
      </w:r>
      <w:r w:rsidR="0040493A" w:rsidRPr="006D2720">
        <w:rPr>
          <w:rFonts w:ascii="Times New Roman" w:hAnsi="Times New Roman" w:cs="Times New Roman"/>
        </w:rPr>
        <w:t>of suspects</w:t>
      </w:r>
      <w:r w:rsidR="00BD07C0" w:rsidRPr="006D2720">
        <w:rPr>
          <w:rFonts w:ascii="Times New Roman" w:hAnsi="Times New Roman" w:cs="Times New Roman"/>
        </w:rPr>
        <w:t xml:space="preserve">, victims, </w:t>
      </w:r>
      <w:r w:rsidR="0040493A" w:rsidRPr="006D2720">
        <w:rPr>
          <w:rFonts w:ascii="Times New Roman" w:hAnsi="Times New Roman" w:cs="Times New Roman"/>
        </w:rPr>
        <w:t xml:space="preserve">or witnesses </w:t>
      </w:r>
      <w:r w:rsidR="001B0A7C" w:rsidRPr="006D2720">
        <w:rPr>
          <w:rFonts w:ascii="Times New Roman" w:hAnsi="Times New Roman" w:cs="Times New Roman"/>
        </w:rPr>
        <w:t xml:space="preserve">and </w:t>
      </w:r>
      <w:r w:rsidR="00D84383" w:rsidRPr="006D2720">
        <w:rPr>
          <w:rFonts w:ascii="Times New Roman" w:hAnsi="Times New Roman" w:cs="Times New Roman"/>
        </w:rPr>
        <w:t xml:space="preserve">therefore </w:t>
      </w:r>
      <w:r w:rsidR="00E7126B" w:rsidRPr="006D2720">
        <w:rPr>
          <w:rFonts w:ascii="Times New Roman" w:hAnsi="Times New Roman" w:cs="Times New Roman"/>
        </w:rPr>
        <w:t>infringe on the right to procedural fairness, among other</w:t>
      </w:r>
      <w:r w:rsidR="000A0976" w:rsidRPr="006D2720">
        <w:rPr>
          <w:rFonts w:ascii="Times New Roman" w:hAnsi="Times New Roman" w:cs="Times New Roman"/>
        </w:rPr>
        <w:t xml:space="preserve"> rights</w:t>
      </w:r>
      <w:r w:rsidR="00693A10" w:rsidRPr="006D2720">
        <w:rPr>
          <w:rFonts w:ascii="Times New Roman" w:hAnsi="Times New Roman" w:cs="Times New Roman"/>
        </w:rPr>
        <w:t>.</w:t>
      </w:r>
      <w:r w:rsidR="001E528A" w:rsidRPr="006D2720">
        <w:rPr>
          <w:rFonts w:ascii="Times New Roman" w:hAnsi="Times New Roman" w:cs="Times New Roman"/>
        </w:rPr>
        <w:t xml:space="preserve"> </w:t>
      </w:r>
      <w:r w:rsidR="00DE4582" w:rsidRPr="006D2720">
        <w:rPr>
          <w:rFonts w:ascii="Times New Roman" w:hAnsi="Times New Roman" w:cs="Times New Roman"/>
        </w:rPr>
        <w:t>This can be distinguished from low-risk contexts, such as where the technology is used in a payment system at a café.</w:t>
      </w:r>
      <w:r w:rsidR="00DE4582" w:rsidRPr="006D2720">
        <w:rPr>
          <w:rStyle w:val="FootnoteReference"/>
          <w:rFonts w:ascii="Times New Roman" w:hAnsi="Times New Roman" w:cs="Times New Roman"/>
        </w:rPr>
        <w:footnoteReference w:id="103"/>
      </w:r>
    </w:p>
    <w:p w14:paraId="5A0FB149" w14:textId="14EE590A" w:rsidR="00740317" w:rsidRPr="006D2720" w:rsidRDefault="00F40EC0" w:rsidP="00740317">
      <w:pPr>
        <w:pStyle w:val="Dotpointlist"/>
        <w:rPr>
          <w:rFonts w:ascii="Times New Roman" w:hAnsi="Times New Roman" w:cs="Times New Roman"/>
        </w:rPr>
      </w:pPr>
      <w:r w:rsidRPr="006D2720">
        <w:rPr>
          <w:rFonts w:ascii="Times New Roman" w:hAnsi="Times New Roman" w:cs="Times New Roman"/>
        </w:rPr>
        <w:t xml:space="preserve">Recommendation 20: </w:t>
      </w:r>
      <w:r w:rsidR="00F458B4" w:rsidRPr="006D2720">
        <w:rPr>
          <w:rFonts w:ascii="Times New Roman" w:hAnsi="Times New Roman" w:cs="Times New Roman"/>
        </w:rPr>
        <w:t xml:space="preserve">to </w:t>
      </w:r>
      <w:r w:rsidR="00B76952" w:rsidRPr="006D2720">
        <w:rPr>
          <w:rFonts w:ascii="Times New Roman" w:hAnsi="Times New Roman" w:cs="Times New Roman"/>
        </w:rPr>
        <w:t>introduce</w:t>
      </w:r>
      <w:r w:rsidR="002260BB" w:rsidRPr="006D2720">
        <w:rPr>
          <w:rFonts w:ascii="Times New Roman" w:hAnsi="Times New Roman" w:cs="Times New Roman"/>
        </w:rPr>
        <w:t xml:space="preserve"> </w:t>
      </w:r>
      <w:r w:rsidRPr="006D2720">
        <w:rPr>
          <w:rFonts w:ascii="Times New Roman" w:hAnsi="Times New Roman" w:cs="Times New Roman"/>
        </w:rPr>
        <w:t>a</w:t>
      </w:r>
      <w:r w:rsidR="00693A10" w:rsidRPr="006D2720">
        <w:rPr>
          <w:rFonts w:ascii="Times New Roman" w:hAnsi="Times New Roman" w:cs="Times New Roman"/>
        </w:rPr>
        <w:t xml:space="preserve"> moratorium on </w:t>
      </w:r>
      <w:r w:rsidR="00C6596C" w:rsidRPr="006D2720">
        <w:rPr>
          <w:rFonts w:ascii="Times New Roman" w:hAnsi="Times New Roman" w:cs="Times New Roman"/>
        </w:rPr>
        <w:t xml:space="preserve">the </w:t>
      </w:r>
      <w:r w:rsidR="00693A10" w:rsidRPr="006D2720">
        <w:rPr>
          <w:rFonts w:ascii="Times New Roman" w:hAnsi="Times New Roman" w:cs="Times New Roman"/>
        </w:rPr>
        <w:t xml:space="preserve">use of facial recognition technology until </w:t>
      </w:r>
      <w:r w:rsidR="00CF392F" w:rsidRPr="006D2720">
        <w:rPr>
          <w:rFonts w:ascii="Times New Roman" w:hAnsi="Times New Roman" w:cs="Times New Roman"/>
        </w:rPr>
        <w:t xml:space="preserve">the kind of </w:t>
      </w:r>
      <w:r w:rsidR="00693A10" w:rsidRPr="006D2720">
        <w:rPr>
          <w:rFonts w:ascii="Times New Roman" w:hAnsi="Times New Roman" w:cs="Times New Roman"/>
        </w:rPr>
        <w:t>protection</w:t>
      </w:r>
      <w:r w:rsidR="00CF392F" w:rsidRPr="006D2720">
        <w:rPr>
          <w:rFonts w:ascii="Times New Roman" w:hAnsi="Times New Roman" w:cs="Times New Roman"/>
        </w:rPr>
        <w:t>s</w:t>
      </w:r>
      <w:r w:rsidR="00693A10" w:rsidRPr="006D2720">
        <w:rPr>
          <w:rFonts w:ascii="Times New Roman" w:hAnsi="Times New Roman" w:cs="Times New Roman"/>
        </w:rPr>
        <w:t xml:space="preserve"> </w:t>
      </w:r>
      <w:r w:rsidRPr="006D2720">
        <w:rPr>
          <w:rFonts w:ascii="Times New Roman" w:hAnsi="Times New Roman" w:cs="Times New Roman"/>
        </w:rPr>
        <w:t xml:space="preserve">discussed in </w:t>
      </w:r>
      <w:r w:rsidR="003C1914" w:rsidRPr="006D2720">
        <w:rPr>
          <w:rFonts w:ascii="Times New Roman" w:hAnsi="Times New Roman" w:cs="Times New Roman"/>
        </w:rPr>
        <w:t>R</w:t>
      </w:r>
      <w:r w:rsidRPr="006D2720">
        <w:rPr>
          <w:rFonts w:ascii="Times New Roman" w:hAnsi="Times New Roman" w:cs="Times New Roman"/>
        </w:rPr>
        <w:t xml:space="preserve">ecommendation 19 </w:t>
      </w:r>
      <w:r w:rsidR="00CF392F" w:rsidRPr="006D2720">
        <w:rPr>
          <w:rFonts w:ascii="Times New Roman" w:hAnsi="Times New Roman" w:cs="Times New Roman"/>
        </w:rPr>
        <w:t xml:space="preserve">are </w:t>
      </w:r>
      <w:r w:rsidR="00693A10" w:rsidRPr="006D2720">
        <w:rPr>
          <w:rFonts w:ascii="Times New Roman" w:hAnsi="Times New Roman" w:cs="Times New Roman"/>
        </w:rPr>
        <w:t xml:space="preserve">in place. </w:t>
      </w:r>
    </w:p>
    <w:p w14:paraId="2721F871" w14:textId="4EDE5A76" w:rsidR="00740317" w:rsidRPr="006D2720" w:rsidRDefault="00F40EC0" w:rsidP="00740317">
      <w:pPr>
        <w:pStyle w:val="Dotpointlist"/>
        <w:rPr>
          <w:rFonts w:ascii="Times New Roman" w:hAnsi="Times New Roman" w:cs="Times New Roman"/>
        </w:rPr>
      </w:pPr>
      <w:r w:rsidRPr="006D2720">
        <w:rPr>
          <w:rFonts w:ascii="Times New Roman" w:hAnsi="Times New Roman" w:cs="Times New Roman"/>
        </w:rPr>
        <w:t xml:space="preserve">Recommendation 21: </w:t>
      </w:r>
      <w:r w:rsidR="00F458B4" w:rsidRPr="006D2720">
        <w:rPr>
          <w:rFonts w:ascii="Times New Roman" w:hAnsi="Times New Roman" w:cs="Times New Roman"/>
        </w:rPr>
        <w:t xml:space="preserve">to </w:t>
      </w:r>
      <w:r w:rsidR="002260BB" w:rsidRPr="006D2720">
        <w:rPr>
          <w:rFonts w:ascii="Times New Roman" w:hAnsi="Times New Roman" w:cs="Times New Roman"/>
        </w:rPr>
        <w:t xml:space="preserve">introduce </w:t>
      </w:r>
      <w:r w:rsidR="00693A10" w:rsidRPr="006D2720">
        <w:rPr>
          <w:rFonts w:ascii="Times New Roman" w:hAnsi="Times New Roman" w:cs="Times New Roman"/>
        </w:rPr>
        <w:t>a statutory cause of action for invasion of privacy</w:t>
      </w:r>
      <w:r w:rsidR="003C1914" w:rsidRPr="006D2720">
        <w:rPr>
          <w:rFonts w:ascii="Times New Roman" w:hAnsi="Times New Roman" w:cs="Times New Roman"/>
        </w:rPr>
        <w:t xml:space="preserve"> (</w:t>
      </w:r>
      <w:r w:rsidR="00693A10" w:rsidRPr="006D2720">
        <w:rPr>
          <w:rFonts w:ascii="Times New Roman" w:hAnsi="Times New Roman" w:cs="Times New Roman"/>
        </w:rPr>
        <w:t>discussed</w:t>
      </w:r>
      <w:r w:rsidR="004D21D8" w:rsidRPr="006D2720">
        <w:rPr>
          <w:rFonts w:ascii="Times New Roman" w:hAnsi="Times New Roman" w:cs="Times New Roman"/>
        </w:rPr>
        <w:t xml:space="preserve"> in detail</w:t>
      </w:r>
      <w:r w:rsidR="00693A10" w:rsidRPr="006D2720">
        <w:rPr>
          <w:rFonts w:ascii="Times New Roman" w:hAnsi="Times New Roman" w:cs="Times New Roman"/>
        </w:rPr>
        <w:t xml:space="preserve"> further below</w:t>
      </w:r>
      <w:r w:rsidR="003C1914" w:rsidRPr="006D2720">
        <w:rPr>
          <w:rFonts w:ascii="Times New Roman" w:hAnsi="Times New Roman" w:cs="Times New Roman"/>
        </w:rPr>
        <w:t xml:space="preserve"> at</w:t>
      </w:r>
      <w:r w:rsidR="00FD6416" w:rsidRPr="006D2720">
        <w:rPr>
          <w:rFonts w:ascii="Times New Roman" w:hAnsi="Times New Roman" w:cs="Times New Roman"/>
        </w:rPr>
        <w:t xml:space="preserve"> </w:t>
      </w:r>
      <w:hyperlink w:anchor="_Judicial_references_to" w:history="1">
        <w:r w:rsidR="00FD6416" w:rsidRPr="006D2720">
          <w:rPr>
            <w:rStyle w:val="Hyperlink"/>
            <w:rFonts w:ascii="Times New Roman" w:hAnsi="Times New Roman" w:cs="Times New Roman"/>
          </w:rPr>
          <w:t>[4.3]</w:t>
        </w:r>
      </w:hyperlink>
      <w:r w:rsidR="00BF551D" w:rsidRPr="006D2720">
        <w:rPr>
          <w:rFonts w:ascii="Times New Roman" w:hAnsi="Times New Roman" w:cs="Times New Roman"/>
        </w:rPr>
        <w:t>)</w:t>
      </w:r>
      <w:r w:rsidR="00693A10" w:rsidRPr="006D2720">
        <w:rPr>
          <w:rFonts w:ascii="Times New Roman" w:hAnsi="Times New Roman" w:cs="Times New Roman"/>
        </w:rPr>
        <w:t xml:space="preserve">. </w:t>
      </w:r>
      <w:r w:rsidR="00833246" w:rsidRPr="006D2720">
        <w:rPr>
          <w:rFonts w:ascii="Times New Roman" w:hAnsi="Times New Roman" w:cs="Times New Roman"/>
        </w:rPr>
        <w:t xml:space="preserve"> </w:t>
      </w:r>
    </w:p>
    <w:p w14:paraId="566C6981" w14:textId="38D94BE7" w:rsidR="00750094" w:rsidRPr="006D2720" w:rsidRDefault="00DB5140" w:rsidP="00AB52EA">
      <w:pPr>
        <w:pStyle w:val="Heading3"/>
        <w:rPr>
          <w:rFonts w:ascii="Times New Roman" w:hAnsi="Times New Roman" w:cs="Times New Roman"/>
        </w:rPr>
      </w:pPr>
      <w:r w:rsidRPr="006D2720">
        <w:rPr>
          <w:rFonts w:ascii="Times New Roman" w:hAnsi="Times New Roman" w:cs="Times New Roman"/>
        </w:rPr>
        <w:t xml:space="preserve">The higher privacy risk attached to certain uses of biometric technology was </w:t>
      </w:r>
      <w:r w:rsidR="00D53E7E" w:rsidRPr="006D2720">
        <w:rPr>
          <w:rFonts w:ascii="Times New Roman" w:hAnsi="Times New Roman" w:cs="Times New Roman"/>
        </w:rPr>
        <w:t>likewise</w:t>
      </w:r>
      <w:r w:rsidRPr="006D2720">
        <w:rPr>
          <w:rFonts w:ascii="Times New Roman" w:hAnsi="Times New Roman" w:cs="Times New Roman"/>
        </w:rPr>
        <w:t xml:space="preserve"> noted by the </w:t>
      </w:r>
      <w:r w:rsidR="00920465" w:rsidRPr="006D2720">
        <w:rPr>
          <w:rFonts w:ascii="Times New Roman" w:hAnsi="Times New Roman" w:cs="Times New Roman"/>
        </w:rPr>
        <w:t>OAIC</w:t>
      </w:r>
      <w:r w:rsidRPr="006D2720">
        <w:rPr>
          <w:rFonts w:ascii="Times New Roman" w:hAnsi="Times New Roman" w:cs="Times New Roman"/>
        </w:rPr>
        <w:t xml:space="preserve"> in</w:t>
      </w:r>
      <w:r w:rsidR="00267BCB" w:rsidRPr="006D2720">
        <w:rPr>
          <w:rFonts w:ascii="Times New Roman" w:hAnsi="Times New Roman" w:cs="Times New Roman"/>
        </w:rPr>
        <w:t xml:space="preserve"> its submission to the </w:t>
      </w:r>
      <w:r w:rsidR="003C1914" w:rsidRPr="006D2720">
        <w:rPr>
          <w:rFonts w:ascii="Times New Roman" w:hAnsi="Times New Roman" w:cs="Times New Roman"/>
        </w:rPr>
        <w:t>review of the Commonwealth</w:t>
      </w:r>
      <w:r w:rsidR="00267BCB" w:rsidRPr="006D2720">
        <w:rPr>
          <w:rFonts w:ascii="Times New Roman" w:hAnsi="Times New Roman" w:cs="Times New Roman"/>
        </w:rPr>
        <w:t xml:space="preserve"> </w:t>
      </w:r>
      <w:r w:rsidR="00BD1337" w:rsidRPr="006D2720">
        <w:rPr>
          <w:rFonts w:ascii="Times New Roman" w:hAnsi="Times New Roman" w:cs="Times New Roman"/>
        </w:rPr>
        <w:t>Privacy Act</w:t>
      </w:r>
      <w:r w:rsidRPr="006D2720">
        <w:rPr>
          <w:rFonts w:ascii="Times New Roman" w:hAnsi="Times New Roman" w:cs="Times New Roman"/>
        </w:rPr>
        <w:t xml:space="preserve">. In particular, the </w:t>
      </w:r>
      <w:r w:rsidR="007626A9" w:rsidRPr="006D2720">
        <w:rPr>
          <w:rFonts w:ascii="Times New Roman" w:hAnsi="Times New Roman" w:cs="Times New Roman"/>
        </w:rPr>
        <w:t xml:space="preserve">OAIC identified </w:t>
      </w:r>
      <w:r w:rsidR="00392895" w:rsidRPr="006D2720">
        <w:rPr>
          <w:rFonts w:ascii="Times New Roman" w:hAnsi="Times New Roman" w:cs="Times New Roman"/>
        </w:rPr>
        <w:t xml:space="preserve">activities involving </w:t>
      </w:r>
      <w:r w:rsidRPr="006D2720">
        <w:rPr>
          <w:rFonts w:ascii="Times New Roman" w:hAnsi="Times New Roman" w:cs="Times New Roman"/>
        </w:rPr>
        <w:t>facial recognition as an example of higher privacy risk necessitat</w:t>
      </w:r>
      <w:r w:rsidR="006369A6" w:rsidRPr="006D2720">
        <w:rPr>
          <w:rFonts w:ascii="Times New Roman" w:hAnsi="Times New Roman" w:cs="Times New Roman"/>
        </w:rPr>
        <w:t>ing</w:t>
      </w:r>
      <w:r w:rsidRPr="006D2720">
        <w:rPr>
          <w:rFonts w:ascii="Times New Roman" w:hAnsi="Times New Roman" w:cs="Times New Roman"/>
        </w:rPr>
        <w:t xml:space="preserve"> greater protections</w:t>
      </w:r>
      <w:r w:rsidR="00A4247C" w:rsidRPr="006D2720">
        <w:rPr>
          <w:rFonts w:ascii="Times New Roman" w:hAnsi="Times New Roman" w:cs="Times New Roman"/>
        </w:rPr>
        <w:t xml:space="preserve">. </w:t>
      </w:r>
      <w:r w:rsidR="00AE2F42" w:rsidRPr="006D2720">
        <w:rPr>
          <w:rFonts w:ascii="Times New Roman" w:hAnsi="Times New Roman" w:cs="Times New Roman"/>
        </w:rPr>
        <w:t xml:space="preserve">One way </w:t>
      </w:r>
      <w:r w:rsidR="00DA371D" w:rsidRPr="006D2720">
        <w:rPr>
          <w:rFonts w:ascii="Times New Roman" w:hAnsi="Times New Roman" w:cs="Times New Roman"/>
        </w:rPr>
        <w:t>to achieve this</w:t>
      </w:r>
      <w:r w:rsidR="004F1D88" w:rsidRPr="006D2720">
        <w:rPr>
          <w:rFonts w:ascii="Times New Roman" w:hAnsi="Times New Roman" w:cs="Times New Roman"/>
        </w:rPr>
        <w:t xml:space="preserve"> </w:t>
      </w:r>
      <w:r w:rsidR="00AE2F42" w:rsidRPr="006D2720">
        <w:rPr>
          <w:rFonts w:ascii="Times New Roman" w:hAnsi="Times New Roman" w:cs="Times New Roman"/>
        </w:rPr>
        <w:t xml:space="preserve">is </w:t>
      </w:r>
      <w:r w:rsidR="004F1D88" w:rsidRPr="006D2720">
        <w:rPr>
          <w:rFonts w:ascii="Times New Roman" w:hAnsi="Times New Roman" w:cs="Times New Roman"/>
        </w:rPr>
        <w:t xml:space="preserve">through requiring </w:t>
      </w:r>
      <w:r w:rsidR="00BC1FBA" w:rsidRPr="006D2720">
        <w:rPr>
          <w:rFonts w:ascii="Times New Roman" w:hAnsi="Times New Roman" w:cs="Times New Roman"/>
        </w:rPr>
        <w:t xml:space="preserve">the </w:t>
      </w:r>
      <w:r w:rsidR="004F1D88" w:rsidRPr="006D2720">
        <w:rPr>
          <w:rFonts w:ascii="Times New Roman" w:hAnsi="Times New Roman" w:cs="Times New Roman"/>
        </w:rPr>
        <w:t>entit</w:t>
      </w:r>
      <w:r w:rsidR="00BC1FBA" w:rsidRPr="006D2720">
        <w:rPr>
          <w:rFonts w:ascii="Times New Roman" w:hAnsi="Times New Roman" w:cs="Times New Roman"/>
        </w:rPr>
        <w:t xml:space="preserve">y </w:t>
      </w:r>
      <w:r w:rsidR="0000145F" w:rsidRPr="006D2720">
        <w:rPr>
          <w:rFonts w:ascii="Times New Roman" w:hAnsi="Times New Roman" w:cs="Times New Roman"/>
        </w:rPr>
        <w:t xml:space="preserve">using the technology </w:t>
      </w:r>
      <w:r w:rsidR="004F1D88" w:rsidRPr="006D2720">
        <w:rPr>
          <w:rFonts w:ascii="Times New Roman" w:hAnsi="Times New Roman" w:cs="Times New Roman"/>
        </w:rPr>
        <w:t xml:space="preserve">to, on request, </w:t>
      </w:r>
      <w:r w:rsidR="008349C8" w:rsidRPr="006D2720">
        <w:rPr>
          <w:rFonts w:ascii="Times New Roman" w:hAnsi="Times New Roman" w:cs="Times New Roman"/>
        </w:rPr>
        <w:t xml:space="preserve">provide evidence of steps taken to </w:t>
      </w:r>
      <w:r w:rsidR="005109E8" w:rsidRPr="006D2720">
        <w:rPr>
          <w:rFonts w:ascii="Times New Roman" w:hAnsi="Times New Roman" w:cs="Times New Roman"/>
        </w:rPr>
        <w:t xml:space="preserve">comply </w:t>
      </w:r>
      <w:r w:rsidR="008349C8" w:rsidRPr="006D2720">
        <w:rPr>
          <w:rFonts w:ascii="Times New Roman" w:hAnsi="Times New Roman" w:cs="Times New Roman"/>
        </w:rPr>
        <w:t>with privacy principles</w:t>
      </w:r>
      <w:r w:rsidR="00267BCB" w:rsidRPr="006D2720">
        <w:rPr>
          <w:rFonts w:ascii="Times New Roman" w:hAnsi="Times New Roman" w:cs="Times New Roman"/>
        </w:rPr>
        <w:t>.</w:t>
      </w:r>
      <w:r w:rsidR="00267BCB" w:rsidRPr="006D2720">
        <w:rPr>
          <w:rStyle w:val="FootnoteReference"/>
          <w:rFonts w:ascii="Times New Roman" w:hAnsi="Times New Roman" w:cs="Times New Roman"/>
        </w:rPr>
        <w:footnoteReference w:id="104"/>
      </w:r>
      <w:r w:rsidR="004732FD" w:rsidRPr="006D2720">
        <w:rPr>
          <w:rFonts w:ascii="Times New Roman" w:hAnsi="Times New Roman" w:cs="Times New Roman"/>
        </w:rPr>
        <w:t xml:space="preserve"> </w:t>
      </w:r>
      <w:r w:rsidR="00267BCB" w:rsidRPr="006D2720">
        <w:rPr>
          <w:rFonts w:ascii="Times New Roman" w:hAnsi="Times New Roman" w:cs="Times New Roman"/>
        </w:rPr>
        <w:t xml:space="preserve"> </w:t>
      </w:r>
    </w:p>
    <w:p w14:paraId="45C7302B" w14:textId="218E87C7" w:rsidR="00297849" w:rsidRPr="006D2720" w:rsidRDefault="003C1914" w:rsidP="00297849">
      <w:pPr>
        <w:pStyle w:val="Heading3"/>
        <w:rPr>
          <w:rFonts w:ascii="Times New Roman" w:hAnsi="Times New Roman" w:cs="Times New Roman"/>
        </w:rPr>
      </w:pPr>
      <w:r w:rsidRPr="006D2720">
        <w:rPr>
          <w:rFonts w:ascii="Times New Roman" w:hAnsi="Times New Roman" w:cs="Times New Roman"/>
        </w:rPr>
        <w:t>One example is</w:t>
      </w:r>
      <w:r w:rsidR="00244D7A" w:rsidRPr="006D2720">
        <w:rPr>
          <w:rFonts w:ascii="Times New Roman" w:hAnsi="Times New Roman" w:cs="Times New Roman"/>
        </w:rPr>
        <w:t xml:space="preserve"> </w:t>
      </w:r>
      <w:r w:rsidR="00384AD6" w:rsidRPr="006D2720">
        <w:rPr>
          <w:rFonts w:ascii="Times New Roman" w:hAnsi="Times New Roman" w:cs="Times New Roman"/>
        </w:rPr>
        <w:t>the</w:t>
      </w:r>
      <w:r w:rsidR="00244D7A" w:rsidRPr="006D2720">
        <w:rPr>
          <w:rFonts w:ascii="Times New Roman" w:hAnsi="Times New Roman" w:cs="Times New Roman"/>
        </w:rPr>
        <w:t xml:space="preserve"> </w:t>
      </w:r>
      <w:r w:rsidR="00384AD6" w:rsidRPr="006D2720">
        <w:rPr>
          <w:rFonts w:ascii="Times New Roman" w:hAnsi="Times New Roman" w:cs="Times New Roman"/>
        </w:rPr>
        <w:t xml:space="preserve">Identity-matching Services </w:t>
      </w:r>
      <w:r w:rsidR="00244D7A" w:rsidRPr="006D2720">
        <w:rPr>
          <w:rFonts w:ascii="Times New Roman" w:hAnsi="Times New Roman" w:cs="Times New Roman"/>
        </w:rPr>
        <w:t xml:space="preserve">Bill </w:t>
      </w:r>
      <w:r w:rsidR="00384AD6" w:rsidRPr="006D2720">
        <w:rPr>
          <w:rFonts w:ascii="Times New Roman" w:hAnsi="Times New Roman" w:cs="Times New Roman"/>
        </w:rPr>
        <w:t xml:space="preserve">2019 </w:t>
      </w:r>
      <w:r w:rsidR="0028376E" w:rsidRPr="006D2720">
        <w:rPr>
          <w:rFonts w:ascii="Times New Roman" w:hAnsi="Times New Roman" w:cs="Times New Roman"/>
        </w:rPr>
        <w:t>(Cth)</w:t>
      </w:r>
      <w:r w:rsidR="006369A6" w:rsidRPr="006D2720">
        <w:rPr>
          <w:rFonts w:ascii="Times New Roman" w:hAnsi="Times New Roman" w:cs="Times New Roman"/>
        </w:rPr>
        <w:t xml:space="preserve"> that </w:t>
      </w:r>
      <w:r w:rsidR="00244D7A" w:rsidRPr="006D2720">
        <w:rPr>
          <w:rFonts w:ascii="Times New Roman" w:hAnsi="Times New Roman" w:cs="Times New Roman"/>
        </w:rPr>
        <w:t xml:space="preserve">aims </w:t>
      </w:r>
      <w:r w:rsidR="00E64F30" w:rsidRPr="006D2720">
        <w:rPr>
          <w:rFonts w:ascii="Times New Roman" w:hAnsi="Times New Roman" w:cs="Times New Roman"/>
        </w:rPr>
        <w:t>to facilitate inter-governmental exchange of information across Australia</w:t>
      </w:r>
      <w:r w:rsidR="006369A6" w:rsidRPr="006D2720">
        <w:rPr>
          <w:rFonts w:ascii="Times New Roman" w:hAnsi="Times New Roman" w:cs="Times New Roman"/>
        </w:rPr>
        <w:t xml:space="preserve">, which </w:t>
      </w:r>
      <w:r w:rsidR="00E64F30" w:rsidRPr="006D2720">
        <w:rPr>
          <w:rFonts w:ascii="Times New Roman" w:hAnsi="Times New Roman" w:cs="Times New Roman"/>
        </w:rPr>
        <w:t>means</w:t>
      </w:r>
      <w:r w:rsidR="006369A6" w:rsidRPr="006D2720">
        <w:rPr>
          <w:rFonts w:ascii="Times New Roman" w:hAnsi="Times New Roman" w:cs="Times New Roman"/>
        </w:rPr>
        <w:t xml:space="preserve"> </w:t>
      </w:r>
      <w:r w:rsidR="00E64F30" w:rsidRPr="006D2720">
        <w:rPr>
          <w:rFonts w:ascii="Times New Roman" w:hAnsi="Times New Roman" w:cs="Times New Roman"/>
        </w:rPr>
        <w:t xml:space="preserve">it has a direct impact on Tasmania. </w:t>
      </w:r>
      <w:r w:rsidRPr="006D2720">
        <w:rPr>
          <w:rFonts w:ascii="Times New Roman" w:hAnsi="Times New Roman" w:cs="Times New Roman"/>
        </w:rPr>
        <w:t>T</w:t>
      </w:r>
      <w:r w:rsidR="00297849" w:rsidRPr="006D2720">
        <w:rPr>
          <w:rFonts w:ascii="Times New Roman" w:hAnsi="Times New Roman" w:cs="Times New Roman"/>
        </w:rPr>
        <w:t xml:space="preserve">he Tasmanian </w:t>
      </w:r>
      <w:r w:rsidRPr="006D2720">
        <w:rPr>
          <w:rFonts w:ascii="Times New Roman" w:hAnsi="Times New Roman" w:cs="Times New Roman"/>
        </w:rPr>
        <w:t>G</w:t>
      </w:r>
      <w:r w:rsidR="00297849" w:rsidRPr="006D2720">
        <w:rPr>
          <w:rFonts w:ascii="Times New Roman" w:hAnsi="Times New Roman" w:cs="Times New Roman"/>
        </w:rPr>
        <w:t xml:space="preserve">overnment has provided </w:t>
      </w:r>
      <w:r w:rsidR="0060285D" w:rsidRPr="006D2720">
        <w:rPr>
          <w:rFonts w:ascii="Times New Roman" w:hAnsi="Times New Roman" w:cs="Times New Roman"/>
        </w:rPr>
        <w:t xml:space="preserve">information on </w:t>
      </w:r>
      <w:r w:rsidR="00297849" w:rsidRPr="006D2720">
        <w:rPr>
          <w:rFonts w:ascii="Times New Roman" w:hAnsi="Times New Roman" w:cs="Times New Roman"/>
        </w:rPr>
        <w:t>driver licence</w:t>
      </w:r>
      <w:r w:rsidR="0060285D" w:rsidRPr="006D2720">
        <w:rPr>
          <w:rFonts w:ascii="Times New Roman" w:hAnsi="Times New Roman" w:cs="Times New Roman"/>
        </w:rPr>
        <w:t>s</w:t>
      </w:r>
      <w:r w:rsidR="00297849" w:rsidRPr="006D2720">
        <w:rPr>
          <w:rFonts w:ascii="Times New Roman" w:hAnsi="Times New Roman" w:cs="Times New Roman"/>
        </w:rPr>
        <w:t xml:space="preserve"> to the Commonwealth’s National Driver Licence Facial Recognition Solution. However, </w:t>
      </w:r>
      <w:r w:rsidR="005C143C" w:rsidRPr="006D2720">
        <w:rPr>
          <w:rFonts w:ascii="Times New Roman" w:hAnsi="Times New Roman" w:cs="Times New Roman"/>
        </w:rPr>
        <w:t>th</w:t>
      </w:r>
      <w:r w:rsidR="00995542" w:rsidRPr="006D2720">
        <w:rPr>
          <w:rFonts w:ascii="Times New Roman" w:hAnsi="Times New Roman" w:cs="Times New Roman"/>
        </w:rPr>
        <w:t>e</w:t>
      </w:r>
      <w:r w:rsidR="005C143C" w:rsidRPr="006D2720">
        <w:rPr>
          <w:rFonts w:ascii="Times New Roman" w:hAnsi="Times New Roman" w:cs="Times New Roman"/>
        </w:rPr>
        <w:t xml:space="preserve"> data is currently in a segregated partition of the federal system and </w:t>
      </w:r>
      <w:r w:rsidR="00297849" w:rsidRPr="006D2720">
        <w:rPr>
          <w:rFonts w:ascii="Times New Roman" w:hAnsi="Times New Roman" w:cs="Times New Roman"/>
        </w:rPr>
        <w:t xml:space="preserve">the </w:t>
      </w:r>
      <w:r w:rsidR="005C143C" w:rsidRPr="006D2720">
        <w:rPr>
          <w:rFonts w:ascii="Times New Roman" w:hAnsi="Times New Roman" w:cs="Times New Roman"/>
        </w:rPr>
        <w:t xml:space="preserve">Tasmanian </w:t>
      </w:r>
      <w:r w:rsidR="00297849" w:rsidRPr="006D2720">
        <w:rPr>
          <w:rFonts w:ascii="Times New Roman" w:hAnsi="Times New Roman" w:cs="Times New Roman"/>
        </w:rPr>
        <w:t>government has not permitted that information to be accessed</w:t>
      </w:r>
      <w:r w:rsidR="005C143C" w:rsidRPr="006D2720">
        <w:rPr>
          <w:rFonts w:ascii="Times New Roman" w:hAnsi="Times New Roman" w:cs="Times New Roman"/>
        </w:rPr>
        <w:t xml:space="preserve"> by any other agency or jurisdiction</w:t>
      </w:r>
      <w:r w:rsidR="00297849" w:rsidRPr="006D2720">
        <w:rPr>
          <w:rFonts w:ascii="Times New Roman" w:hAnsi="Times New Roman" w:cs="Times New Roman"/>
        </w:rPr>
        <w:t xml:space="preserve"> until the Bill has passed.</w:t>
      </w:r>
      <w:r w:rsidR="00297849" w:rsidRPr="006D2720">
        <w:rPr>
          <w:rStyle w:val="FootnoteReference"/>
          <w:rFonts w:ascii="Times New Roman" w:hAnsi="Times New Roman" w:cs="Times New Roman"/>
        </w:rPr>
        <w:footnoteReference w:id="105"/>
      </w:r>
    </w:p>
    <w:p w14:paraId="304A4F82" w14:textId="39FA11F8" w:rsidR="00693A10" w:rsidRPr="006D2720" w:rsidRDefault="00437749" w:rsidP="0066337D">
      <w:pPr>
        <w:pStyle w:val="Heading3"/>
        <w:rPr>
          <w:rFonts w:ascii="Times New Roman" w:hAnsi="Times New Roman" w:cs="Times New Roman"/>
        </w:rPr>
      </w:pPr>
      <w:bookmarkStart w:id="217" w:name="_Ref129292476"/>
      <w:r w:rsidRPr="006D2720">
        <w:rPr>
          <w:rFonts w:ascii="Times New Roman" w:hAnsi="Times New Roman" w:cs="Times New Roman"/>
        </w:rPr>
        <w:t>T</w:t>
      </w:r>
      <w:r w:rsidR="00833246" w:rsidRPr="006D2720">
        <w:rPr>
          <w:rFonts w:ascii="Times New Roman" w:hAnsi="Times New Roman" w:cs="Times New Roman"/>
        </w:rPr>
        <w:t xml:space="preserve">he sharing of information between government agencies is </w:t>
      </w:r>
      <w:r w:rsidR="00FE5945" w:rsidRPr="006D2720">
        <w:rPr>
          <w:rFonts w:ascii="Times New Roman" w:hAnsi="Times New Roman" w:cs="Times New Roman"/>
        </w:rPr>
        <w:t xml:space="preserve">also </w:t>
      </w:r>
      <w:r w:rsidR="00833246" w:rsidRPr="006D2720">
        <w:rPr>
          <w:rFonts w:ascii="Times New Roman" w:hAnsi="Times New Roman" w:cs="Times New Roman"/>
        </w:rPr>
        <w:t xml:space="preserve">discussed </w:t>
      </w:r>
      <w:r w:rsidR="00512133" w:rsidRPr="006D2720">
        <w:rPr>
          <w:rFonts w:ascii="Times New Roman" w:hAnsi="Times New Roman" w:cs="Times New Roman"/>
        </w:rPr>
        <w:t xml:space="preserve">next </w:t>
      </w:r>
      <w:r w:rsidR="00833246" w:rsidRPr="006D2720">
        <w:rPr>
          <w:rFonts w:ascii="Times New Roman" w:hAnsi="Times New Roman" w:cs="Times New Roman"/>
        </w:rPr>
        <w:t xml:space="preserve">in relation to public information, and generally in </w:t>
      </w:r>
      <w:hyperlink w:anchor="_Other_legislation_impacting" w:history="1">
        <w:r w:rsidR="00F44E3C" w:rsidRPr="006D2720">
          <w:rPr>
            <w:rStyle w:val="Hyperlink"/>
            <w:rFonts w:ascii="Times New Roman" w:hAnsi="Times New Roman" w:cs="Times New Roman"/>
          </w:rPr>
          <w:t>P</w:t>
        </w:r>
        <w:r w:rsidR="00833246" w:rsidRPr="006D2720">
          <w:rPr>
            <w:rStyle w:val="Hyperlink"/>
            <w:rFonts w:ascii="Times New Roman" w:hAnsi="Times New Roman" w:cs="Times New Roman"/>
          </w:rPr>
          <w:t>art 3</w:t>
        </w:r>
      </w:hyperlink>
      <w:r w:rsidR="00F44E3C" w:rsidRPr="006D2720">
        <w:rPr>
          <w:rFonts w:ascii="Times New Roman" w:hAnsi="Times New Roman" w:cs="Times New Roman"/>
        </w:rPr>
        <w:t xml:space="preserve"> </w:t>
      </w:r>
      <w:r w:rsidR="009B297C" w:rsidRPr="006D2720">
        <w:rPr>
          <w:rFonts w:ascii="Times New Roman" w:hAnsi="Times New Roman" w:cs="Times New Roman"/>
        </w:rPr>
        <w:t>below</w:t>
      </w:r>
      <w:r w:rsidR="00833246" w:rsidRPr="006D2720">
        <w:rPr>
          <w:rFonts w:ascii="Times New Roman" w:hAnsi="Times New Roman" w:cs="Times New Roman"/>
        </w:rPr>
        <w:t>.</w:t>
      </w:r>
      <w:bookmarkEnd w:id="217"/>
    </w:p>
    <w:p w14:paraId="3C9A96C0" w14:textId="5C456BF9" w:rsidR="00C6327C" w:rsidRPr="006D2720" w:rsidRDefault="00240DA3" w:rsidP="0066337D">
      <w:pPr>
        <w:pStyle w:val="Heading2"/>
        <w:numPr>
          <w:ilvl w:val="0"/>
          <w:numId w:val="0"/>
        </w:numPr>
        <w:ind w:left="578" w:hanging="578"/>
        <w:rPr>
          <w:rFonts w:ascii="Times New Roman" w:hAnsi="Times New Roman" w:cs="Times New Roman"/>
          <w:i/>
          <w:iCs/>
        </w:rPr>
      </w:pPr>
      <w:bookmarkStart w:id="218" w:name="_Toc85381229"/>
      <w:bookmarkStart w:id="219" w:name="_Toc85537748"/>
      <w:bookmarkStart w:id="220" w:name="_Toc85537882"/>
      <w:bookmarkStart w:id="221" w:name="_Toc77846284"/>
      <w:bookmarkStart w:id="222" w:name="_Toc77846336"/>
      <w:bookmarkStart w:id="223" w:name="_Toc77846388"/>
      <w:bookmarkStart w:id="224" w:name="_Toc77846548"/>
      <w:bookmarkStart w:id="225" w:name="_Toc77933339"/>
      <w:bookmarkStart w:id="226" w:name="_Toc77846285"/>
      <w:bookmarkStart w:id="227" w:name="_Toc77846337"/>
      <w:bookmarkStart w:id="228" w:name="_Toc77846389"/>
      <w:bookmarkStart w:id="229" w:name="_Toc77846549"/>
      <w:bookmarkStart w:id="230" w:name="_Toc77933340"/>
      <w:bookmarkStart w:id="231" w:name="_Toc91831999"/>
      <w:bookmarkStart w:id="232" w:name="_Toc130540433"/>
      <w:bookmarkEnd w:id="218"/>
      <w:bookmarkEnd w:id="219"/>
      <w:bookmarkEnd w:id="220"/>
      <w:bookmarkEnd w:id="221"/>
      <w:bookmarkEnd w:id="222"/>
      <w:bookmarkEnd w:id="223"/>
      <w:bookmarkEnd w:id="224"/>
      <w:bookmarkEnd w:id="225"/>
      <w:bookmarkEnd w:id="226"/>
      <w:bookmarkEnd w:id="227"/>
      <w:bookmarkEnd w:id="228"/>
      <w:bookmarkEnd w:id="229"/>
      <w:bookmarkEnd w:id="230"/>
      <w:r w:rsidRPr="006D2720">
        <w:rPr>
          <w:rFonts w:ascii="Times New Roman" w:hAnsi="Times New Roman" w:cs="Times New Roman"/>
          <w:i/>
          <w:iCs/>
        </w:rPr>
        <w:t xml:space="preserve">Information which </w:t>
      </w:r>
      <w:r w:rsidR="00833246" w:rsidRPr="006D2720">
        <w:rPr>
          <w:rFonts w:ascii="Times New Roman" w:hAnsi="Times New Roman" w:cs="Times New Roman"/>
          <w:i/>
          <w:iCs/>
        </w:rPr>
        <w:t xml:space="preserve">is less protected by </w:t>
      </w:r>
      <w:r w:rsidR="00103F0C" w:rsidRPr="006D2720">
        <w:rPr>
          <w:rFonts w:ascii="Times New Roman" w:hAnsi="Times New Roman" w:cs="Times New Roman"/>
          <w:i/>
          <w:iCs/>
        </w:rPr>
        <w:t xml:space="preserve">the </w:t>
      </w:r>
      <w:r w:rsidRPr="006D2720">
        <w:rPr>
          <w:rFonts w:ascii="Times New Roman" w:hAnsi="Times New Roman" w:cs="Times New Roman"/>
          <w:i/>
          <w:iCs/>
        </w:rPr>
        <w:t>PIPA</w:t>
      </w:r>
      <w:bookmarkEnd w:id="231"/>
      <w:bookmarkEnd w:id="232"/>
    </w:p>
    <w:p w14:paraId="258769AD" w14:textId="553FCCBE" w:rsidR="00103F0C" w:rsidRPr="006D2720" w:rsidRDefault="00A637B0" w:rsidP="00103F0C">
      <w:pPr>
        <w:pStyle w:val="Heading3"/>
        <w:rPr>
          <w:rFonts w:ascii="Times New Roman" w:hAnsi="Times New Roman" w:cs="Times New Roman"/>
        </w:rPr>
      </w:pPr>
      <w:r w:rsidRPr="006D2720">
        <w:rPr>
          <w:rFonts w:ascii="Times New Roman" w:hAnsi="Times New Roman" w:cs="Times New Roman"/>
        </w:rPr>
        <w:t>The</w:t>
      </w:r>
      <w:r w:rsidR="004713E2" w:rsidRPr="006D2720">
        <w:rPr>
          <w:rFonts w:ascii="Times New Roman" w:hAnsi="Times New Roman" w:cs="Times New Roman"/>
        </w:rPr>
        <w:t>r</w:t>
      </w:r>
      <w:r w:rsidRPr="006D2720">
        <w:rPr>
          <w:rFonts w:ascii="Times New Roman" w:hAnsi="Times New Roman" w:cs="Times New Roman"/>
        </w:rPr>
        <w:t xml:space="preserve">e </w:t>
      </w:r>
      <w:r w:rsidR="00103F0C" w:rsidRPr="006D2720">
        <w:rPr>
          <w:rFonts w:ascii="Times New Roman" w:hAnsi="Times New Roman" w:cs="Times New Roman"/>
        </w:rPr>
        <w:t>are various situations where information receives less than</w:t>
      </w:r>
      <w:r w:rsidRPr="006D2720">
        <w:rPr>
          <w:rFonts w:ascii="Times New Roman" w:hAnsi="Times New Roman" w:cs="Times New Roman"/>
        </w:rPr>
        <w:t xml:space="preserve"> the general level of protection</w:t>
      </w:r>
      <w:r w:rsidR="00716B37" w:rsidRPr="006D2720">
        <w:rPr>
          <w:rFonts w:ascii="Times New Roman" w:hAnsi="Times New Roman" w:cs="Times New Roman"/>
        </w:rPr>
        <w:t xml:space="preserve">. This may be </w:t>
      </w:r>
      <w:r w:rsidR="00F95036" w:rsidRPr="006D2720">
        <w:rPr>
          <w:rFonts w:ascii="Times New Roman" w:hAnsi="Times New Roman" w:cs="Times New Roman"/>
        </w:rPr>
        <w:t>based on the type of information</w:t>
      </w:r>
      <w:r w:rsidR="0086791E" w:rsidRPr="006D2720">
        <w:rPr>
          <w:rFonts w:ascii="Times New Roman" w:hAnsi="Times New Roman" w:cs="Times New Roman"/>
        </w:rPr>
        <w:t xml:space="preserve">, </w:t>
      </w:r>
      <w:r w:rsidR="00F95036" w:rsidRPr="006D2720">
        <w:rPr>
          <w:rFonts w:ascii="Times New Roman" w:hAnsi="Times New Roman" w:cs="Times New Roman"/>
        </w:rPr>
        <w:t>the context in which it is used</w:t>
      </w:r>
      <w:r w:rsidR="0086791E" w:rsidRPr="006D2720">
        <w:rPr>
          <w:rFonts w:ascii="Times New Roman" w:hAnsi="Times New Roman" w:cs="Times New Roman"/>
        </w:rPr>
        <w:t xml:space="preserve">, or </w:t>
      </w:r>
      <w:r w:rsidR="001C2C3C" w:rsidRPr="006D2720">
        <w:rPr>
          <w:rFonts w:ascii="Times New Roman" w:hAnsi="Times New Roman" w:cs="Times New Roman"/>
        </w:rPr>
        <w:t xml:space="preserve">because </w:t>
      </w:r>
      <w:r w:rsidR="0097526B" w:rsidRPr="006D2720">
        <w:rPr>
          <w:rFonts w:ascii="Times New Roman" w:hAnsi="Times New Roman" w:cs="Times New Roman"/>
        </w:rPr>
        <w:t>legislation otherwise</w:t>
      </w:r>
      <w:r w:rsidR="001C2C3C" w:rsidRPr="006D2720">
        <w:rPr>
          <w:rFonts w:ascii="Times New Roman" w:hAnsi="Times New Roman" w:cs="Times New Roman"/>
        </w:rPr>
        <w:t xml:space="preserve"> </w:t>
      </w:r>
      <w:r w:rsidR="00353242" w:rsidRPr="006D2720">
        <w:rPr>
          <w:rFonts w:ascii="Times New Roman" w:hAnsi="Times New Roman" w:cs="Times New Roman"/>
        </w:rPr>
        <w:t>varies</w:t>
      </w:r>
      <w:r w:rsidR="001C2C3C" w:rsidRPr="006D2720">
        <w:rPr>
          <w:rFonts w:ascii="Times New Roman" w:hAnsi="Times New Roman" w:cs="Times New Roman"/>
        </w:rPr>
        <w:t xml:space="preserve"> the </w:t>
      </w:r>
      <w:r w:rsidRPr="006D2720">
        <w:rPr>
          <w:rFonts w:ascii="Times New Roman" w:hAnsi="Times New Roman" w:cs="Times New Roman"/>
        </w:rPr>
        <w:t>degree</w:t>
      </w:r>
      <w:r w:rsidR="001C2C3C" w:rsidRPr="006D2720">
        <w:rPr>
          <w:rFonts w:ascii="Times New Roman" w:hAnsi="Times New Roman" w:cs="Times New Roman"/>
        </w:rPr>
        <w:t xml:space="preserve"> of protection</w:t>
      </w:r>
      <w:r w:rsidR="004F691A" w:rsidRPr="006D2720">
        <w:rPr>
          <w:rFonts w:ascii="Times New Roman" w:hAnsi="Times New Roman" w:cs="Times New Roman"/>
        </w:rPr>
        <w:t xml:space="preserve"> </w:t>
      </w:r>
      <w:r w:rsidRPr="006D2720">
        <w:rPr>
          <w:rFonts w:ascii="Times New Roman" w:hAnsi="Times New Roman" w:cs="Times New Roman"/>
        </w:rPr>
        <w:t>provided</w:t>
      </w:r>
      <w:r w:rsidR="001C2C3C" w:rsidRPr="006D2720">
        <w:rPr>
          <w:rFonts w:ascii="Times New Roman" w:hAnsi="Times New Roman" w:cs="Times New Roman"/>
        </w:rPr>
        <w:t xml:space="preserve">. </w:t>
      </w:r>
      <w:r w:rsidRPr="006D2720">
        <w:rPr>
          <w:rFonts w:ascii="Times New Roman" w:hAnsi="Times New Roman" w:cs="Times New Roman"/>
        </w:rPr>
        <w:t>The source of the reduced protection can be both within and outside of the PIPA.</w:t>
      </w:r>
    </w:p>
    <w:p w14:paraId="2BA27A45" w14:textId="53AE7174" w:rsidR="00F00AA0" w:rsidRPr="006D2720" w:rsidRDefault="00A637B0" w:rsidP="00103F0C">
      <w:pPr>
        <w:pStyle w:val="Heading3"/>
        <w:rPr>
          <w:rFonts w:ascii="Times New Roman" w:hAnsi="Times New Roman" w:cs="Times New Roman"/>
        </w:rPr>
      </w:pPr>
      <w:r w:rsidRPr="006D2720">
        <w:rPr>
          <w:rFonts w:ascii="Times New Roman" w:hAnsi="Times New Roman" w:cs="Times New Roman"/>
        </w:rPr>
        <w:t xml:space="preserve">First, </w:t>
      </w:r>
      <w:r w:rsidR="00657855" w:rsidRPr="006D2720">
        <w:rPr>
          <w:rFonts w:ascii="Times New Roman" w:hAnsi="Times New Roman" w:cs="Times New Roman"/>
        </w:rPr>
        <w:t xml:space="preserve">Division 2 of the PIPA </w:t>
      </w:r>
      <w:r w:rsidR="004466AA" w:rsidRPr="006D2720">
        <w:rPr>
          <w:rFonts w:ascii="Times New Roman" w:hAnsi="Times New Roman" w:cs="Times New Roman"/>
        </w:rPr>
        <w:t xml:space="preserve">sets out </w:t>
      </w:r>
      <w:r w:rsidR="0092229E" w:rsidRPr="006D2720">
        <w:rPr>
          <w:rFonts w:ascii="Times New Roman" w:hAnsi="Times New Roman" w:cs="Times New Roman"/>
        </w:rPr>
        <w:t>certain</w:t>
      </w:r>
      <w:r w:rsidR="00833246" w:rsidRPr="006D2720">
        <w:rPr>
          <w:rFonts w:ascii="Times New Roman" w:hAnsi="Times New Roman" w:cs="Times New Roman"/>
        </w:rPr>
        <w:t xml:space="preserve"> </w:t>
      </w:r>
      <w:r w:rsidR="0092229E" w:rsidRPr="006D2720">
        <w:rPr>
          <w:rFonts w:ascii="Times New Roman" w:hAnsi="Times New Roman" w:cs="Times New Roman"/>
        </w:rPr>
        <w:t xml:space="preserve">bodies or types of information that are </w:t>
      </w:r>
      <w:r w:rsidR="00D13910" w:rsidRPr="006D2720">
        <w:rPr>
          <w:rFonts w:ascii="Times New Roman" w:hAnsi="Times New Roman" w:cs="Times New Roman"/>
        </w:rPr>
        <w:t xml:space="preserve">subject to fewer obligations or </w:t>
      </w:r>
      <w:r w:rsidR="0092229E" w:rsidRPr="006D2720">
        <w:rPr>
          <w:rFonts w:ascii="Times New Roman" w:hAnsi="Times New Roman" w:cs="Times New Roman"/>
        </w:rPr>
        <w:t>exempted entirely</w:t>
      </w:r>
      <w:r w:rsidR="00DF175A" w:rsidRPr="006D2720">
        <w:rPr>
          <w:rFonts w:ascii="Times New Roman" w:hAnsi="Times New Roman" w:cs="Times New Roman"/>
        </w:rPr>
        <w:t>.</w:t>
      </w:r>
      <w:r w:rsidR="00103F0C" w:rsidRPr="006D2720">
        <w:rPr>
          <w:rFonts w:ascii="Times New Roman" w:hAnsi="Times New Roman" w:cs="Times New Roman"/>
        </w:rPr>
        <w:t xml:space="preserve"> </w:t>
      </w:r>
      <w:r w:rsidR="00D13910" w:rsidRPr="006D2720">
        <w:rPr>
          <w:rFonts w:ascii="Times New Roman" w:hAnsi="Times New Roman" w:cs="Times New Roman"/>
        </w:rPr>
        <w:t>T</w:t>
      </w:r>
      <w:r w:rsidR="005D3DFA" w:rsidRPr="006D2720">
        <w:rPr>
          <w:rFonts w:ascii="Times New Roman" w:hAnsi="Times New Roman" w:cs="Times New Roman"/>
        </w:rPr>
        <w:t>his</w:t>
      </w:r>
      <w:r w:rsidR="0092229E" w:rsidRPr="006D2720">
        <w:rPr>
          <w:rFonts w:ascii="Times New Roman" w:hAnsi="Times New Roman" w:cs="Times New Roman"/>
        </w:rPr>
        <w:t xml:space="preserve"> include</w:t>
      </w:r>
      <w:r w:rsidR="00336E91" w:rsidRPr="006D2720">
        <w:rPr>
          <w:rFonts w:ascii="Times New Roman" w:hAnsi="Times New Roman" w:cs="Times New Roman"/>
        </w:rPr>
        <w:t>s</w:t>
      </w:r>
      <w:r w:rsidR="0092229E" w:rsidRPr="006D2720">
        <w:rPr>
          <w:rFonts w:ascii="Times New Roman" w:hAnsi="Times New Roman" w:cs="Times New Roman"/>
        </w:rPr>
        <w:t xml:space="preserve"> courts and tribunals as well as various public legal officers</w:t>
      </w:r>
      <w:r w:rsidR="00A1219F" w:rsidRPr="006D2720">
        <w:rPr>
          <w:rFonts w:ascii="Times New Roman" w:hAnsi="Times New Roman" w:cs="Times New Roman"/>
        </w:rPr>
        <w:t>, as</w:t>
      </w:r>
      <w:r w:rsidR="0010243A" w:rsidRPr="006D2720">
        <w:rPr>
          <w:rFonts w:ascii="Times New Roman" w:hAnsi="Times New Roman" w:cs="Times New Roman"/>
        </w:rPr>
        <w:t xml:space="preserve"> discussed </w:t>
      </w:r>
      <w:r w:rsidR="00D67823" w:rsidRPr="006D2720">
        <w:rPr>
          <w:rFonts w:ascii="Times New Roman" w:hAnsi="Times New Roman" w:cs="Times New Roman"/>
        </w:rPr>
        <w:t xml:space="preserve">above at </w:t>
      </w:r>
      <w:r w:rsidR="00D332F8" w:rsidRPr="006D2720">
        <w:rPr>
          <w:rFonts w:ascii="Times New Roman" w:hAnsi="Times New Roman" w:cs="Times New Roman"/>
        </w:rPr>
        <w:t>[</w:t>
      </w:r>
      <w:r w:rsidR="00D67823" w:rsidRPr="006D2720">
        <w:rPr>
          <w:rFonts w:ascii="Times New Roman" w:hAnsi="Times New Roman" w:cs="Times New Roman"/>
        </w:rPr>
        <w:fldChar w:fldCharType="begin"/>
      </w:r>
      <w:r w:rsidR="00D67823" w:rsidRPr="006D2720">
        <w:rPr>
          <w:rFonts w:ascii="Times New Roman" w:hAnsi="Times New Roman" w:cs="Times New Roman"/>
        </w:rPr>
        <w:instrText xml:space="preserve"> REF _Ref89851954 \r \h </w:instrText>
      </w:r>
      <w:r w:rsidR="00C67869" w:rsidRPr="006D2720">
        <w:rPr>
          <w:rFonts w:ascii="Times New Roman" w:hAnsi="Times New Roman" w:cs="Times New Roman"/>
        </w:rPr>
        <w:instrText xml:space="preserve"> \* MERGEFORMAT </w:instrText>
      </w:r>
      <w:r w:rsidR="00D67823" w:rsidRPr="006D2720">
        <w:rPr>
          <w:rFonts w:ascii="Times New Roman" w:hAnsi="Times New Roman" w:cs="Times New Roman"/>
        </w:rPr>
      </w:r>
      <w:r w:rsidR="00D67823" w:rsidRPr="006D2720">
        <w:rPr>
          <w:rFonts w:ascii="Times New Roman" w:hAnsi="Times New Roman" w:cs="Times New Roman"/>
        </w:rPr>
        <w:fldChar w:fldCharType="separate"/>
      </w:r>
      <w:r w:rsidR="00E66B60">
        <w:rPr>
          <w:rFonts w:ascii="Times New Roman" w:hAnsi="Times New Roman" w:cs="Times New Roman"/>
        </w:rPr>
        <w:t>2.2.2</w:t>
      </w:r>
      <w:r w:rsidR="00D67823" w:rsidRPr="006D2720">
        <w:rPr>
          <w:rFonts w:ascii="Times New Roman" w:hAnsi="Times New Roman" w:cs="Times New Roman"/>
        </w:rPr>
        <w:fldChar w:fldCharType="end"/>
      </w:r>
      <w:r w:rsidR="00D332F8" w:rsidRPr="006D2720">
        <w:rPr>
          <w:rFonts w:ascii="Times New Roman" w:hAnsi="Times New Roman" w:cs="Times New Roman"/>
        </w:rPr>
        <w:t>]</w:t>
      </w:r>
      <w:r w:rsidR="00D67823" w:rsidRPr="006D2720">
        <w:rPr>
          <w:rFonts w:ascii="Times New Roman" w:hAnsi="Times New Roman" w:cs="Times New Roman"/>
        </w:rPr>
        <w:t xml:space="preserve">. </w:t>
      </w:r>
      <w:r w:rsidR="0092229E" w:rsidRPr="006D2720">
        <w:rPr>
          <w:rFonts w:ascii="Times New Roman" w:hAnsi="Times New Roman" w:cs="Times New Roman"/>
        </w:rPr>
        <w:t xml:space="preserve">Types of information subject to exemptions </w:t>
      </w:r>
      <w:r w:rsidR="00F00AA0" w:rsidRPr="006D2720">
        <w:rPr>
          <w:rFonts w:ascii="Times New Roman" w:hAnsi="Times New Roman" w:cs="Times New Roman"/>
        </w:rPr>
        <w:t>include</w:t>
      </w:r>
      <w:r w:rsidR="0092229E" w:rsidRPr="006D2720">
        <w:rPr>
          <w:rFonts w:ascii="Times New Roman" w:hAnsi="Times New Roman" w:cs="Times New Roman"/>
        </w:rPr>
        <w:t xml:space="preserve"> </w:t>
      </w:r>
      <w:r w:rsidR="00F00AA0" w:rsidRPr="006D2720">
        <w:rPr>
          <w:rFonts w:ascii="Times New Roman" w:hAnsi="Times New Roman" w:cs="Times New Roman"/>
        </w:rPr>
        <w:t>basic personal information, employee information, public information, and law enforcement information</w:t>
      </w:r>
      <w:r w:rsidR="003839B9" w:rsidRPr="006D2720">
        <w:rPr>
          <w:rFonts w:ascii="Times New Roman" w:hAnsi="Times New Roman" w:cs="Times New Roman"/>
        </w:rPr>
        <w:t>, each of which</w:t>
      </w:r>
      <w:r w:rsidR="00F00AA0" w:rsidRPr="006D2720">
        <w:rPr>
          <w:rFonts w:ascii="Times New Roman" w:hAnsi="Times New Roman" w:cs="Times New Roman"/>
        </w:rPr>
        <w:t xml:space="preserve"> </w:t>
      </w:r>
      <w:r w:rsidR="004713E2" w:rsidRPr="006D2720">
        <w:rPr>
          <w:rFonts w:ascii="Times New Roman" w:hAnsi="Times New Roman" w:cs="Times New Roman"/>
        </w:rPr>
        <w:t>are</w:t>
      </w:r>
      <w:r w:rsidR="00F00AA0" w:rsidRPr="006D2720">
        <w:rPr>
          <w:rFonts w:ascii="Times New Roman" w:hAnsi="Times New Roman" w:cs="Times New Roman"/>
        </w:rPr>
        <w:t xml:space="preserve"> discussed</w:t>
      </w:r>
      <w:r w:rsidR="00336E91" w:rsidRPr="006D2720">
        <w:rPr>
          <w:rFonts w:ascii="Times New Roman" w:hAnsi="Times New Roman" w:cs="Times New Roman"/>
        </w:rPr>
        <w:t xml:space="preserve"> in this section</w:t>
      </w:r>
      <w:r w:rsidR="00F00AA0" w:rsidRPr="006D2720">
        <w:rPr>
          <w:rFonts w:ascii="Times New Roman" w:hAnsi="Times New Roman" w:cs="Times New Roman"/>
        </w:rPr>
        <w:t xml:space="preserve">. </w:t>
      </w:r>
    </w:p>
    <w:p w14:paraId="15C117C6" w14:textId="5AC23EB2" w:rsidR="00103F0C" w:rsidRPr="006D2720" w:rsidRDefault="00933C18" w:rsidP="00103F0C">
      <w:pPr>
        <w:pStyle w:val="Heading3"/>
        <w:rPr>
          <w:rFonts w:ascii="Times New Roman" w:hAnsi="Times New Roman" w:cs="Times New Roman"/>
        </w:rPr>
      </w:pPr>
      <w:r w:rsidRPr="006D2720">
        <w:rPr>
          <w:rFonts w:ascii="Times New Roman" w:hAnsi="Times New Roman" w:cs="Times New Roman"/>
        </w:rPr>
        <w:t xml:space="preserve">Second, </w:t>
      </w:r>
      <w:r w:rsidR="00336E91" w:rsidRPr="006D2720">
        <w:rPr>
          <w:rFonts w:ascii="Times New Roman" w:hAnsi="Times New Roman" w:cs="Times New Roman"/>
        </w:rPr>
        <w:t xml:space="preserve">there are also </w:t>
      </w:r>
      <w:r w:rsidR="00F94DE3" w:rsidRPr="006D2720">
        <w:rPr>
          <w:rFonts w:ascii="Times New Roman" w:hAnsi="Times New Roman" w:cs="Times New Roman"/>
        </w:rPr>
        <w:t>provisions in</w:t>
      </w:r>
      <w:r w:rsidR="00077DB3" w:rsidRPr="006D2720">
        <w:rPr>
          <w:rFonts w:ascii="Times New Roman" w:hAnsi="Times New Roman" w:cs="Times New Roman"/>
        </w:rPr>
        <w:t xml:space="preserve"> the PIPA</w:t>
      </w:r>
      <w:r w:rsidR="00F00AA0" w:rsidRPr="006D2720">
        <w:rPr>
          <w:rFonts w:ascii="Times New Roman" w:hAnsi="Times New Roman" w:cs="Times New Roman"/>
        </w:rPr>
        <w:t xml:space="preserve"> </w:t>
      </w:r>
      <w:r w:rsidR="00336E91" w:rsidRPr="006D2720">
        <w:rPr>
          <w:rFonts w:ascii="Times New Roman" w:hAnsi="Times New Roman" w:cs="Times New Roman"/>
        </w:rPr>
        <w:t xml:space="preserve">that </w:t>
      </w:r>
      <w:r w:rsidR="00F94DE3" w:rsidRPr="006D2720">
        <w:rPr>
          <w:rFonts w:ascii="Times New Roman" w:hAnsi="Times New Roman" w:cs="Times New Roman"/>
        </w:rPr>
        <w:t>allow</w:t>
      </w:r>
      <w:r w:rsidR="00CD5A10" w:rsidRPr="006D2720">
        <w:rPr>
          <w:rFonts w:ascii="Times New Roman" w:hAnsi="Times New Roman" w:cs="Times New Roman"/>
        </w:rPr>
        <w:t xml:space="preserve"> </w:t>
      </w:r>
      <w:r w:rsidR="00B94AC6" w:rsidRPr="006D2720">
        <w:rPr>
          <w:rFonts w:ascii="Times New Roman" w:hAnsi="Times New Roman" w:cs="Times New Roman"/>
        </w:rPr>
        <w:t>t</w:t>
      </w:r>
      <w:r w:rsidR="006C3CD0" w:rsidRPr="006D2720">
        <w:rPr>
          <w:rFonts w:ascii="Times New Roman" w:hAnsi="Times New Roman" w:cs="Times New Roman"/>
        </w:rPr>
        <w:t>he Minister</w:t>
      </w:r>
      <w:r w:rsidR="00EA03EC" w:rsidRPr="006D2720">
        <w:rPr>
          <w:rFonts w:ascii="Times New Roman" w:hAnsi="Times New Roman" w:cs="Times New Roman"/>
        </w:rPr>
        <w:t xml:space="preserve"> </w:t>
      </w:r>
      <w:r w:rsidR="00103F0C" w:rsidRPr="006D2720">
        <w:rPr>
          <w:rFonts w:ascii="Times New Roman" w:hAnsi="Times New Roman" w:cs="Times New Roman"/>
        </w:rPr>
        <w:t>to</w:t>
      </w:r>
      <w:r w:rsidR="006C3CD0" w:rsidRPr="006D2720">
        <w:rPr>
          <w:rFonts w:ascii="Times New Roman" w:hAnsi="Times New Roman" w:cs="Times New Roman"/>
        </w:rPr>
        <w:t xml:space="preserve"> grant exemptions </w:t>
      </w:r>
      <w:r w:rsidR="00103F0C" w:rsidRPr="006D2720">
        <w:rPr>
          <w:rFonts w:ascii="Times New Roman" w:hAnsi="Times New Roman" w:cs="Times New Roman"/>
        </w:rPr>
        <w:t>for</w:t>
      </w:r>
      <w:r w:rsidR="00A146F0" w:rsidRPr="006D2720">
        <w:rPr>
          <w:rFonts w:ascii="Times New Roman" w:hAnsi="Times New Roman" w:cs="Times New Roman"/>
        </w:rPr>
        <w:t xml:space="preserve"> </w:t>
      </w:r>
      <w:r w:rsidR="006C3CD0" w:rsidRPr="006D2720">
        <w:rPr>
          <w:rFonts w:ascii="Times New Roman" w:hAnsi="Times New Roman" w:cs="Times New Roman"/>
        </w:rPr>
        <w:t xml:space="preserve">any or all provisions of the Act </w:t>
      </w:r>
      <w:r w:rsidR="00336E91" w:rsidRPr="006D2720">
        <w:rPr>
          <w:rFonts w:ascii="Times New Roman" w:hAnsi="Times New Roman" w:cs="Times New Roman"/>
        </w:rPr>
        <w:t>if</w:t>
      </w:r>
      <w:r w:rsidR="00A146F0" w:rsidRPr="006D2720">
        <w:rPr>
          <w:rFonts w:ascii="Times New Roman" w:hAnsi="Times New Roman" w:cs="Times New Roman"/>
        </w:rPr>
        <w:t xml:space="preserve"> </w:t>
      </w:r>
      <w:r w:rsidR="00383F4A" w:rsidRPr="006D2720">
        <w:rPr>
          <w:rFonts w:ascii="Times New Roman" w:hAnsi="Times New Roman" w:cs="Times New Roman"/>
        </w:rPr>
        <w:t>the</w:t>
      </w:r>
      <w:r w:rsidR="008A30FE" w:rsidRPr="006D2720">
        <w:rPr>
          <w:rFonts w:ascii="Times New Roman" w:hAnsi="Times New Roman" w:cs="Times New Roman"/>
        </w:rPr>
        <w:t xml:space="preserve"> Minister</w:t>
      </w:r>
      <w:r w:rsidR="00383F4A" w:rsidRPr="006D2720">
        <w:rPr>
          <w:rFonts w:ascii="Times New Roman" w:hAnsi="Times New Roman" w:cs="Times New Roman"/>
        </w:rPr>
        <w:t xml:space="preserve"> determine</w:t>
      </w:r>
      <w:r w:rsidR="008A30FE" w:rsidRPr="006D2720">
        <w:rPr>
          <w:rFonts w:ascii="Times New Roman" w:hAnsi="Times New Roman" w:cs="Times New Roman"/>
        </w:rPr>
        <w:t>s</w:t>
      </w:r>
      <w:r w:rsidR="00383F4A" w:rsidRPr="006D2720">
        <w:rPr>
          <w:rFonts w:ascii="Times New Roman" w:hAnsi="Times New Roman" w:cs="Times New Roman"/>
        </w:rPr>
        <w:t xml:space="preserve"> this to be </w:t>
      </w:r>
      <w:r w:rsidR="006C3CD0" w:rsidRPr="006D2720">
        <w:rPr>
          <w:rFonts w:ascii="Times New Roman" w:hAnsi="Times New Roman" w:cs="Times New Roman"/>
        </w:rPr>
        <w:t xml:space="preserve">in the public benefit. </w:t>
      </w:r>
      <w:r w:rsidR="00AB6F0A" w:rsidRPr="006D2720">
        <w:rPr>
          <w:rFonts w:ascii="Times New Roman" w:hAnsi="Times New Roman" w:cs="Times New Roman"/>
        </w:rPr>
        <w:t>E</w:t>
      </w:r>
      <w:r w:rsidR="00627067" w:rsidRPr="006D2720">
        <w:rPr>
          <w:rFonts w:ascii="Times New Roman" w:hAnsi="Times New Roman" w:cs="Times New Roman"/>
        </w:rPr>
        <w:t xml:space="preserve">mergency declarations at the Commonwealth level can also have a similar effect in operation. </w:t>
      </w:r>
      <w:r w:rsidR="00831D1C" w:rsidRPr="006D2720">
        <w:rPr>
          <w:rFonts w:ascii="Times New Roman" w:hAnsi="Times New Roman" w:cs="Times New Roman"/>
        </w:rPr>
        <w:t xml:space="preserve">These </w:t>
      </w:r>
      <w:r w:rsidR="004713E2" w:rsidRPr="006D2720">
        <w:rPr>
          <w:rFonts w:ascii="Times New Roman" w:hAnsi="Times New Roman" w:cs="Times New Roman"/>
        </w:rPr>
        <w:t xml:space="preserve">provisions are </w:t>
      </w:r>
      <w:r w:rsidR="00131F28" w:rsidRPr="006D2720">
        <w:rPr>
          <w:rFonts w:ascii="Times New Roman" w:hAnsi="Times New Roman" w:cs="Times New Roman"/>
        </w:rPr>
        <w:t xml:space="preserve">also </w:t>
      </w:r>
      <w:r w:rsidR="00831D1C" w:rsidRPr="006D2720">
        <w:rPr>
          <w:rFonts w:ascii="Times New Roman" w:hAnsi="Times New Roman" w:cs="Times New Roman"/>
        </w:rPr>
        <w:t xml:space="preserve">discussed </w:t>
      </w:r>
      <w:r w:rsidR="00336E91" w:rsidRPr="006D2720">
        <w:rPr>
          <w:rFonts w:ascii="Times New Roman" w:hAnsi="Times New Roman" w:cs="Times New Roman"/>
        </w:rPr>
        <w:t>in this section.</w:t>
      </w:r>
    </w:p>
    <w:p w14:paraId="6897A9EF" w14:textId="11CF82F2" w:rsidR="00B10188" w:rsidRPr="006D2720" w:rsidRDefault="00F00AA0" w:rsidP="00103F0C">
      <w:pPr>
        <w:pStyle w:val="Heading3"/>
        <w:rPr>
          <w:rFonts w:ascii="Times New Roman" w:hAnsi="Times New Roman" w:cs="Times New Roman"/>
        </w:rPr>
      </w:pPr>
      <w:bookmarkStart w:id="233" w:name="_Ref129298896"/>
      <w:r w:rsidRPr="006D2720">
        <w:rPr>
          <w:rFonts w:ascii="Times New Roman" w:hAnsi="Times New Roman" w:cs="Times New Roman"/>
        </w:rPr>
        <w:t>Third</w:t>
      </w:r>
      <w:r w:rsidR="00103F0C" w:rsidRPr="006D2720">
        <w:rPr>
          <w:rFonts w:ascii="Times New Roman" w:hAnsi="Times New Roman" w:cs="Times New Roman"/>
        </w:rPr>
        <w:t xml:space="preserve">, </w:t>
      </w:r>
      <w:r w:rsidR="006369A6" w:rsidRPr="006D2720">
        <w:rPr>
          <w:rFonts w:ascii="Times New Roman" w:hAnsi="Times New Roman" w:cs="Times New Roman"/>
        </w:rPr>
        <w:t xml:space="preserve">many of </w:t>
      </w:r>
      <w:r w:rsidR="00A637B0" w:rsidRPr="006D2720">
        <w:rPr>
          <w:rFonts w:ascii="Times New Roman" w:hAnsi="Times New Roman" w:cs="Times New Roman"/>
        </w:rPr>
        <w:t xml:space="preserve">the PIPPs set out in </w:t>
      </w:r>
      <w:r w:rsidR="00103F0C" w:rsidRPr="006D2720">
        <w:rPr>
          <w:rFonts w:ascii="Times New Roman" w:hAnsi="Times New Roman" w:cs="Times New Roman"/>
        </w:rPr>
        <w:t>Schedule 1 of the PIPA</w:t>
      </w:r>
      <w:r w:rsidR="006C3CD0" w:rsidRPr="006D2720">
        <w:rPr>
          <w:rFonts w:ascii="Times New Roman" w:hAnsi="Times New Roman" w:cs="Times New Roman"/>
        </w:rPr>
        <w:t xml:space="preserve"> include exceptions relating to the handling of information </w:t>
      </w:r>
      <w:r w:rsidR="00B94AC6" w:rsidRPr="006D2720">
        <w:rPr>
          <w:rFonts w:ascii="Times New Roman" w:hAnsi="Times New Roman" w:cs="Times New Roman"/>
        </w:rPr>
        <w:t>in a way</w:t>
      </w:r>
      <w:r w:rsidR="006C3CD0" w:rsidRPr="006D2720">
        <w:rPr>
          <w:rFonts w:ascii="Times New Roman" w:hAnsi="Times New Roman" w:cs="Times New Roman"/>
        </w:rPr>
        <w:t xml:space="preserve"> authorised by law, including </w:t>
      </w:r>
      <w:r w:rsidR="00A637B0" w:rsidRPr="006D2720">
        <w:rPr>
          <w:rFonts w:ascii="Times New Roman" w:hAnsi="Times New Roman" w:cs="Times New Roman"/>
        </w:rPr>
        <w:t xml:space="preserve">by other </w:t>
      </w:r>
      <w:r w:rsidR="006C3CD0" w:rsidRPr="006D2720">
        <w:rPr>
          <w:rFonts w:ascii="Times New Roman" w:hAnsi="Times New Roman" w:cs="Times New Roman"/>
        </w:rPr>
        <w:t>legislation</w:t>
      </w:r>
      <w:r w:rsidR="00A637B0" w:rsidRPr="006D2720">
        <w:rPr>
          <w:rFonts w:ascii="Times New Roman" w:hAnsi="Times New Roman" w:cs="Times New Roman"/>
        </w:rPr>
        <w:t xml:space="preserve"> ancillary to the PIPA</w:t>
      </w:r>
      <w:r w:rsidR="006C3CD0" w:rsidRPr="006D2720">
        <w:rPr>
          <w:rFonts w:ascii="Times New Roman" w:hAnsi="Times New Roman" w:cs="Times New Roman"/>
        </w:rPr>
        <w:t>. These</w:t>
      </w:r>
      <w:r w:rsidR="004713E2" w:rsidRPr="006D2720">
        <w:rPr>
          <w:rFonts w:ascii="Times New Roman" w:hAnsi="Times New Roman" w:cs="Times New Roman"/>
        </w:rPr>
        <w:t xml:space="preserve"> exceptions</w:t>
      </w:r>
      <w:r w:rsidR="006C3CD0" w:rsidRPr="006D2720">
        <w:rPr>
          <w:rFonts w:ascii="Times New Roman" w:hAnsi="Times New Roman" w:cs="Times New Roman"/>
        </w:rPr>
        <w:t xml:space="preserve"> are discussed </w:t>
      </w:r>
      <w:r w:rsidR="00AA3616" w:rsidRPr="006D2720">
        <w:rPr>
          <w:rFonts w:ascii="Times New Roman" w:hAnsi="Times New Roman" w:cs="Times New Roman"/>
        </w:rPr>
        <w:t xml:space="preserve">in </w:t>
      </w:r>
      <w:hyperlink w:anchor="_Toc77846287" w:history="1">
        <w:r w:rsidR="00AA3616" w:rsidRPr="006D2720">
          <w:rPr>
            <w:rStyle w:val="Hyperlink"/>
            <w:rFonts w:ascii="Times New Roman" w:hAnsi="Times New Roman" w:cs="Times New Roman"/>
          </w:rPr>
          <w:t>Part 3 below</w:t>
        </w:r>
      </w:hyperlink>
      <w:r w:rsidR="00AA3616" w:rsidRPr="006D2720">
        <w:rPr>
          <w:rFonts w:ascii="Times New Roman" w:hAnsi="Times New Roman" w:cs="Times New Roman"/>
        </w:rPr>
        <w:t xml:space="preserve"> </w:t>
      </w:r>
      <w:r w:rsidR="00166F43" w:rsidRPr="006D2720">
        <w:rPr>
          <w:rFonts w:ascii="Times New Roman" w:hAnsi="Times New Roman" w:cs="Times New Roman"/>
        </w:rPr>
        <w:t>when</w:t>
      </w:r>
      <w:r w:rsidR="006C3CD0" w:rsidRPr="006D2720">
        <w:rPr>
          <w:rFonts w:ascii="Times New Roman" w:hAnsi="Times New Roman" w:cs="Times New Roman"/>
        </w:rPr>
        <w:t xml:space="preserve"> </w:t>
      </w:r>
      <w:r w:rsidR="00AA3616" w:rsidRPr="006D2720">
        <w:rPr>
          <w:rFonts w:ascii="Times New Roman" w:hAnsi="Times New Roman" w:cs="Times New Roman"/>
        </w:rPr>
        <w:t xml:space="preserve">each </w:t>
      </w:r>
      <w:r w:rsidR="006C3CD0" w:rsidRPr="006D2720">
        <w:rPr>
          <w:rFonts w:ascii="Times New Roman" w:hAnsi="Times New Roman" w:cs="Times New Roman"/>
        </w:rPr>
        <w:t xml:space="preserve">of the PIPPs </w:t>
      </w:r>
      <w:r w:rsidR="00AA3616" w:rsidRPr="006D2720">
        <w:rPr>
          <w:rFonts w:ascii="Times New Roman" w:hAnsi="Times New Roman" w:cs="Times New Roman"/>
        </w:rPr>
        <w:t>are considered in detail.</w:t>
      </w:r>
      <w:bookmarkEnd w:id="233"/>
    </w:p>
    <w:p w14:paraId="61FCEB8D" w14:textId="4C591965" w:rsidR="00B10188" w:rsidRPr="006D2720" w:rsidRDefault="00B10188" w:rsidP="00B10188">
      <w:pPr>
        <w:rPr>
          <w:rFonts w:ascii="Times New Roman" w:hAnsi="Times New Roman" w:cs="Times New Roman"/>
          <w:b/>
          <w:bCs/>
          <w:i/>
          <w:iCs/>
        </w:rPr>
      </w:pPr>
      <w:r w:rsidRPr="006D2720">
        <w:rPr>
          <w:rFonts w:ascii="Times New Roman" w:hAnsi="Times New Roman" w:cs="Times New Roman"/>
          <w:b/>
          <w:bCs/>
          <w:i/>
          <w:iCs/>
        </w:rPr>
        <w:t>Basic personal information</w:t>
      </w:r>
    </w:p>
    <w:p w14:paraId="5D8FED9A" w14:textId="78E9FBD1" w:rsidR="00BB4515" w:rsidRPr="006D2720" w:rsidRDefault="00B10188" w:rsidP="00BB4515">
      <w:pPr>
        <w:pStyle w:val="Heading3"/>
        <w:rPr>
          <w:rFonts w:ascii="Times New Roman" w:hAnsi="Times New Roman" w:cs="Times New Roman"/>
        </w:rPr>
      </w:pPr>
      <w:bookmarkStart w:id="234" w:name="_‘Basic_personal_information’"/>
      <w:bookmarkStart w:id="235" w:name="_Ref91322283"/>
      <w:bookmarkEnd w:id="234"/>
      <w:r w:rsidRPr="006D2720">
        <w:rPr>
          <w:rFonts w:ascii="Times New Roman" w:hAnsi="Times New Roman" w:cs="Times New Roman"/>
        </w:rPr>
        <w:t xml:space="preserve">‘Basic personal information’ </w:t>
      </w:r>
      <w:r w:rsidR="00BB4515" w:rsidRPr="006D2720">
        <w:rPr>
          <w:rFonts w:ascii="Times New Roman" w:hAnsi="Times New Roman" w:cs="Times New Roman"/>
        </w:rPr>
        <w:t xml:space="preserve">means </w:t>
      </w:r>
      <w:r w:rsidRPr="006D2720">
        <w:rPr>
          <w:rFonts w:ascii="Times New Roman" w:hAnsi="Times New Roman" w:cs="Times New Roman"/>
        </w:rPr>
        <w:t>the name, residential address, postal address, date of birth and gender of an individual.</w:t>
      </w:r>
      <w:r w:rsidR="006C3CD0" w:rsidRPr="006D2720">
        <w:rPr>
          <w:rStyle w:val="FootnoteReference"/>
          <w:rFonts w:ascii="Times New Roman" w:hAnsi="Times New Roman" w:cs="Times New Roman"/>
        </w:rPr>
        <w:footnoteReference w:id="106"/>
      </w:r>
      <w:bookmarkEnd w:id="235"/>
      <w:r w:rsidRPr="006D2720">
        <w:rPr>
          <w:rFonts w:ascii="Times New Roman" w:hAnsi="Times New Roman" w:cs="Times New Roman"/>
        </w:rPr>
        <w:t xml:space="preserve"> </w:t>
      </w:r>
    </w:p>
    <w:p w14:paraId="378A271F" w14:textId="2141B173" w:rsidR="00BB4515" w:rsidRPr="006D2720" w:rsidRDefault="00B10188" w:rsidP="00BB4515">
      <w:pPr>
        <w:pStyle w:val="Heading3"/>
        <w:rPr>
          <w:rFonts w:ascii="Times New Roman" w:hAnsi="Times New Roman" w:cs="Times New Roman"/>
        </w:rPr>
      </w:pPr>
      <w:bookmarkStart w:id="236" w:name="_Ref89964595"/>
      <w:bookmarkStart w:id="237" w:name="_Ref129298885"/>
      <w:r w:rsidRPr="006D2720">
        <w:rPr>
          <w:rFonts w:ascii="Times New Roman" w:hAnsi="Times New Roman" w:cs="Times New Roman"/>
        </w:rPr>
        <w:t xml:space="preserve">Public authorities are able to </w:t>
      </w:r>
      <w:r w:rsidR="006E6083" w:rsidRPr="006D2720">
        <w:rPr>
          <w:rFonts w:ascii="Times New Roman" w:hAnsi="Times New Roman" w:cs="Times New Roman"/>
        </w:rPr>
        <w:t xml:space="preserve">use </w:t>
      </w:r>
      <w:r w:rsidRPr="006D2720">
        <w:rPr>
          <w:rFonts w:ascii="Times New Roman" w:hAnsi="Times New Roman" w:cs="Times New Roman"/>
        </w:rPr>
        <w:t xml:space="preserve">basic personal information </w:t>
      </w:r>
      <w:r w:rsidR="006E6083" w:rsidRPr="006D2720">
        <w:rPr>
          <w:rFonts w:ascii="Times New Roman" w:hAnsi="Times New Roman" w:cs="Times New Roman"/>
        </w:rPr>
        <w:t xml:space="preserve">without the person’s consent and for purposes that were not the </w:t>
      </w:r>
      <w:r w:rsidRPr="006D2720">
        <w:rPr>
          <w:rFonts w:ascii="Times New Roman" w:hAnsi="Times New Roman" w:cs="Times New Roman"/>
        </w:rPr>
        <w:t>primary purpose</w:t>
      </w:r>
      <w:r w:rsidR="00174472" w:rsidRPr="006D2720">
        <w:rPr>
          <w:rFonts w:ascii="Times New Roman" w:hAnsi="Times New Roman" w:cs="Times New Roman"/>
        </w:rPr>
        <w:t>s</w:t>
      </w:r>
      <w:r w:rsidRPr="006D2720">
        <w:rPr>
          <w:rFonts w:ascii="Times New Roman" w:hAnsi="Times New Roman" w:cs="Times New Roman"/>
        </w:rPr>
        <w:t xml:space="preserve"> </w:t>
      </w:r>
      <w:r w:rsidR="006E6083" w:rsidRPr="006D2720">
        <w:rPr>
          <w:rFonts w:ascii="Times New Roman" w:hAnsi="Times New Roman" w:cs="Times New Roman"/>
        </w:rPr>
        <w:t>for collecting the information</w:t>
      </w:r>
      <w:r w:rsidRPr="006D2720">
        <w:rPr>
          <w:rFonts w:ascii="Times New Roman" w:hAnsi="Times New Roman" w:cs="Times New Roman"/>
        </w:rPr>
        <w:t xml:space="preserve">. </w:t>
      </w:r>
      <w:r w:rsidR="006E6083" w:rsidRPr="006D2720">
        <w:rPr>
          <w:rFonts w:ascii="Times New Roman" w:hAnsi="Times New Roman" w:cs="Times New Roman"/>
        </w:rPr>
        <w:t xml:space="preserve">Basic personal information can also be shared with other </w:t>
      </w:r>
      <w:r w:rsidR="00DB4C59" w:rsidRPr="006D2720">
        <w:rPr>
          <w:rFonts w:ascii="Times New Roman" w:hAnsi="Times New Roman" w:cs="Times New Roman"/>
        </w:rPr>
        <w:t>‘</w:t>
      </w:r>
      <w:r w:rsidR="006E6083" w:rsidRPr="006D2720">
        <w:rPr>
          <w:rFonts w:ascii="Times New Roman" w:hAnsi="Times New Roman" w:cs="Times New Roman"/>
        </w:rPr>
        <w:t>public sector bodies</w:t>
      </w:r>
      <w:r w:rsidR="00DB4C59" w:rsidRPr="006D2720">
        <w:rPr>
          <w:rFonts w:ascii="Times New Roman" w:hAnsi="Times New Roman" w:cs="Times New Roman"/>
        </w:rPr>
        <w:t>’</w:t>
      </w:r>
      <w:r w:rsidR="009C24CF" w:rsidRPr="006D2720">
        <w:rPr>
          <w:rFonts w:ascii="Times New Roman" w:hAnsi="Times New Roman" w:cs="Times New Roman"/>
        </w:rPr>
        <w:t>.</w:t>
      </w:r>
      <w:r w:rsidR="006E6083" w:rsidRPr="006D2720">
        <w:rPr>
          <w:rFonts w:ascii="Times New Roman" w:hAnsi="Times New Roman" w:cs="Times New Roman"/>
        </w:rPr>
        <w:t xml:space="preserve"> </w:t>
      </w:r>
      <w:r w:rsidRPr="006D2720">
        <w:rPr>
          <w:rFonts w:ascii="Times New Roman" w:hAnsi="Times New Roman" w:cs="Times New Roman"/>
        </w:rPr>
        <w:t xml:space="preserve">The use or disclosure must </w:t>
      </w:r>
      <w:r w:rsidR="009C24CF" w:rsidRPr="006D2720">
        <w:rPr>
          <w:rFonts w:ascii="Times New Roman" w:hAnsi="Times New Roman" w:cs="Times New Roman"/>
        </w:rPr>
        <w:t xml:space="preserve">only </w:t>
      </w:r>
      <w:r w:rsidRPr="006D2720">
        <w:rPr>
          <w:rFonts w:ascii="Times New Roman" w:hAnsi="Times New Roman" w:cs="Times New Roman"/>
        </w:rPr>
        <w:t>be reasonably necessary for the efficient storage and use of that information</w:t>
      </w:r>
      <w:r w:rsidR="00BB4515" w:rsidRPr="006D2720">
        <w:rPr>
          <w:rFonts w:ascii="Times New Roman" w:hAnsi="Times New Roman" w:cs="Times New Roman"/>
        </w:rPr>
        <w:t>.</w:t>
      </w:r>
      <w:bookmarkEnd w:id="236"/>
      <w:r w:rsidR="00A87D28" w:rsidRPr="006D2720">
        <w:rPr>
          <w:rStyle w:val="FootnoteReference"/>
          <w:rFonts w:ascii="Times New Roman" w:hAnsi="Times New Roman" w:cs="Times New Roman"/>
        </w:rPr>
        <w:footnoteReference w:id="107"/>
      </w:r>
      <w:bookmarkEnd w:id="237"/>
    </w:p>
    <w:p w14:paraId="414F1CAF" w14:textId="3EACB2D9" w:rsidR="00BB4515" w:rsidRPr="006D2720" w:rsidRDefault="00BB4515" w:rsidP="00BB4515">
      <w:pPr>
        <w:pStyle w:val="Heading3"/>
        <w:rPr>
          <w:rFonts w:ascii="Times New Roman" w:hAnsi="Times New Roman" w:cs="Times New Roman"/>
        </w:rPr>
      </w:pPr>
      <w:bookmarkStart w:id="238" w:name="_Ref91322288"/>
      <w:r w:rsidRPr="006D2720">
        <w:rPr>
          <w:rFonts w:ascii="Times New Roman" w:hAnsi="Times New Roman" w:cs="Times New Roman"/>
        </w:rPr>
        <w:t xml:space="preserve">However, </w:t>
      </w:r>
      <w:r w:rsidR="009C6A68" w:rsidRPr="006D2720">
        <w:rPr>
          <w:rFonts w:ascii="Times New Roman" w:hAnsi="Times New Roman" w:cs="Times New Roman"/>
        </w:rPr>
        <w:t xml:space="preserve">two points are unclear. The first is </w:t>
      </w:r>
      <w:r w:rsidR="009C24CF" w:rsidRPr="006D2720">
        <w:rPr>
          <w:rFonts w:ascii="Times New Roman" w:hAnsi="Times New Roman" w:cs="Times New Roman"/>
        </w:rPr>
        <w:t xml:space="preserve">whether reasonable necessity is judged from the view of the public authority </w:t>
      </w:r>
      <w:r w:rsidR="00A67BA3" w:rsidRPr="006D2720">
        <w:rPr>
          <w:rFonts w:ascii="Times New Roman" w:hAnsi="Times New Roman" w:cs="Times New Roman"/>
        </w:rPr>
        <w:t>that</w:t>
      </w:r>
      <w:r w:rsidR="009C24CF" w:rsidRPr="006D2720">
        <w:rPr>
          <w:rFonts w:ascii="Times New Roman" w:hAnsi="Times New Roman" w:cs="Times New Roman"/>
        </w:rPr>
        <w:t xml:space="preserve"> initially </w:t>
      </w:r>
      <w:r w:rsidR="009C24CF" w:rsidRPr="006D2720">
        <w:rPr>
          <w:rFonts w:ascii="Times New Roman" w:hAnsi="Times New Roman" w:cs="Times New Roman"/>
          <w:i/>
          <w:iCs/>
        </w:rPr>
        <w:t>collected</w:t>
      </w:r>
      <w:r w:rsidR="009C24CF" w:rsidRPr="006D2720">
        <w:rPr>
          <w:rFonts w:ascii="Times New Roman" w:hAnsi="Times New Roman" w:cs="Times New Roman"/>
        </w:rPr>
        <w:t xml:space="preserve"> the information or </w:t>
      </w:r>
      <w:r w:rsidR="009C6A68" w:rsidRPr="006D2720">
        <w:rPr>
          <w:rFonts w:ascii="Times New Roman" w:hAnsi="Times New Roman" w:cs="Times New Roman"/>
        </w:rPr>
        <w:t xml:space="preserve">from the view of </w:t>
      </w:r>
      <w:r w:rsidR="009C24CF" w:rsidRPr="006D2720">
        <w:rPr>
          <w:rFonts w:ascii="Times New Roman" w:hAnsi="Times New Roman" w:cs="Times New Roman"/>
        </w:rPr>
        <w:t xml:space="preserve">the public sector body </w:t>
      </w:r>
      <w:r w:rsidR="009C6A68" w:rsidRPr="006D2720">
        <w:rPr>
          <w:rFonts w:ascii="Times New Roman" w:hAnsi="Times New Roman" w:cs="Times New Roman"/>
        </w:rPr>
        <w:t>with wh</w:t>
      </w:r>
      <w:r w:rsidR="004713E2" w:rsidRPr="006D2720">
        <w:rPr>
          <w:rFonts w:ascii="Times New Roman" w:hAnsi="Times New Roman" w:cs="Times New Roman"/>
        </w:rPr>
        <w:t>ich</w:t>
      </w:r>
      <w:r w:rsidR="009C6A68" w:rsidRPr="006D2720">
        <w:rPr>
          <w:rFonts w:ascii="Times New Roman" w:hAnsi="Times New Roman" w:cs="Times New Roman"/>
        </w:rPr>
        <w:t xml:space="preserve"> </w:t>
      </w:r>
      <w:r w:rsidR="009C24CF" w:rsidRPr="006D2720">
        <w:rPr>
          <w:rFonts w:ascii="Times New Roman" w:hAnsi="Times New Roman" w:cs="Times New Roman"/>
        </w:rPr>
        <w:t xml:space="preserve">the information is </w:t>
      </w:r>
      <w:r w:rsidR="009C24CF" w:rsidRPr="006D2720">
        <w:rPr>
          <w:rFonts w:ascii="Times New Roman" w:hAnsi="Times New Roman" w:cs="Times New Roman"/>
          <w:i/>
          <w:iCs/>
        </w:rPr>
        <w:t>shared</w:t>
      </w:r>
      <w:r w:rsidR="00B10188" w:rsidRPr="006D2720">
        <w:rPr>
          <w:rFonts w:ascii="Times New Roman" w:hAnsi="Times New Roman" w:cs="Times New Roman"/>
        </w:rPr>
        <w:t xml:space="preserve">. </w:t>
      </w:r>
      <w:r w:rsidR="00A51F79" w:rsidRPr="006D2720">
        <w:rPr>
          <w:rFonts w:ascii="Times New Roman" w:hAnsi="Times New Roman" w:cs="Times New Roman"/>
        </w:rPr>
        <w:t xml:space="preserve">The second is </w:t>
      </w:r>
      <w:r w:rsidR="009C24CF" w:rsidRPr="006D2720">
        <w:rPr>
          <w:rFonts w:ascii="Times New Roman" w:hAnsi="Times New Roman" w:cs="Times New Roman"/>
        </w:rPr>
        <w:t>whether</w:t>
      </w:r>
      <w:r w:rsidR="00856848" w:rsidRPr="006D2720">
        <w:rPr>
          <w:rFonts w:ascii="Times New Roman" w:hAnsi="Times New Roman" w:cs="Times New Roman"/>
        </w:rPr>
        <w:t xml:space="preserve"> use of the term ‘public sector bodies’ rather than ‘public authorities’ means that </w:t>
      </w:r>
      <w:r w:rsidR="009C24CF" w:rsidRPr="006D2720">
        <w:rPr>
          <w:rFonts w:ascii="Times New Roman" w:hAnsi="Times New Roman" w:cs="Times New Roman"/>
        </w:rPr>
        <w:t>b</w:t>
      </w:r>
      <w:r w:rsidR="00B10188" w:rsidRPr="006D2720">
        <w:rPr>
          <w:rFonts w:ascii="Times New Roman" w:hAnsi="Times New Roman" w:cs="Times New Roman"/>
        </w:rPr>
        <w:t xml:space="preserve">asic personal information </w:t>
      </w:r>
      <w:r w:rsidR="00856848" w:rsidRPr="006D2720">
        <w:rPr>
          <w:rFonts w:ascii="Times New Roman" w:hAnsi="Times New Roman" w:cs="Times New Roman"/>
        </w:rPr>
        <w:t xml:space="preserve">can </w:t>
      </w:r>
      <w:r w:rsidR="009C24CF" w:rsidRPr="006D2720">
        <w:rPr>
          <w:rFonts w:ascii="Times New Roman" w:hAnsi="Times New Roman" w:cs="Times New Roman"/>
        </w:rPr>
        <w:t xml:space="preserve">be </w:t>
      </w:r>
      <w:r w:rsidR="00B10188" w:rsidRPr="006D2720">
        <w:rPr>
          <w:rFonts w:ascii="Times New Roman" w:hAnsi="Times New Roman" w:cs="Times New Roman"/>
        </w:rPr>
        <w:t xml:space="preserve">shared with </w:t>
      </w:r>
      <w:r w:rsidR="000915AE" w:rsidRPr="006D2720">
        <w:rPr>
          <w:rFonts w:ascii="Times New Roman" w:hAnsi="Times New Roman" w:cs="Times New Roman"/>
        </w:rPr>
        <w:t>entities</w:t>
      </w:r>
      <w:r w:rsidR="00B10188" w:rsidRPr="006D2720">
        <w:rPr>
          <w:rFonts w:ascii="Times New Roman" w:hAnsi="Times New Roman" w:cs="Times New Roman"/>
        </w:rPr>
        <w:t xml:space="preserve"> who are not subject to the PIPPs and who may otherwise lawfully make use of the information shared. </w:t>
      </w:r>
      <w:r w:rsidR="00FC3188" w:rsidRPr="006D2720">
        <w:rPr>
          <w:rFonts w:ascii="Times New Roman" w:hAnsi="Times New Roman" w:cs="Times New Roman"/>
        </w:rPr>
        <w:t>Under the PIPA,</w:t>
      </w:r>
      <w:r w:rsidR="008F7CB6" w:rsidRPr="006D2720">
        <w:rPr>
          <w:rFonts w:ascii="Times New Roman" w:hAnsi="Times New Roman" w:cs="Times New Roman"/>
        </w:rPr>
        <w:t xml:space="preserve"> the term ‘public authority’</w:t>
      </w:r>
      <w:r w:rsidR="00FC3188" w:rsidRPr="006D2720">
        <w:rPr>
          <w:rFonts w:ascii="Times New Roman" w:hAnsi="Times New Roman" w:cs="Times New Roman"/>
        </w:rPr>
        <w:t xml:space="preserve"> </w:t>
      </w:r>
      <w:r w:rsidR="00DC6965" w:rsidRPr="006D2720">
        <w:rPr>
          <w:rFonts w:ascii="Times New Roman" w:hAnsi="Times New Roman" w:cs="Times New Roman"/>
        </w:rPr>
        <w:t xml:space="preserve">(discussed </w:t>
      </w:r>
      <w:r w:rsidR="006369A6" w:rsidRPr="006D2720">
        <w:rPr>
          <w:rFonts w:ascii="Times New Roman" w:hAnsi="Times New Roman" w:cs="Times New Roman"/>
        </w:rPr>
        <w:t xml:space="preserve">above </w:t>
      </w:r>
      <w:r w:rsidR="00DC6965" w:rsidRPr="006D2720">
        <w:rPr>
          <w:rFonts w:ascii="Times New Roman" w:hAnsi="Times New Roman" w:cs="Times New Roman"/>
        </w:rPr>
        <w:t xml:space="preserve">at </w:t>
      </w:r>
      <w:r w:rsidR="002C3FB9" w:rsidRPr="006D2720">
        <w:rPr>
          <w:rFonts w:ascii="Times New Roman" w:hAnsi="Times New Roman" w:cs="Times New Roman"/>
        </w:rPr>
        <w:t>[</w:t>
      </w:r>
      <w:r w:rsidR="00FB59ED" w:rsidRPr="006D2720">
        <w:rPr>
          <w:rFonts w:ascii="Times New Roman" w:hAnsi="Times New Roman" w:cs="Times New Roman"/>
        </w:rPr>
        <w:fldChar w:fldCharType="begin"/>
      </w:r>
      <w:r w:rsidR="00FB59ED" w:rsidRPr="006D2720">
        <w:rPr>
          <w:rFonts w:ascii="Times New Roman" w:hAnsi="Times New Roman" w:cs="Times New Roman"/>
        </w:rPr>
        <w:instrText xml:space="preserve"> REF _Ref89812704 \r \h </w:instrText>
      </w:r>
      <w:r w:rsidR="00A660A0" w:rsidRPr="006D2720">
        <w:rPr>
          <w:rFonts w:ascii="Times New Roman" w:hAnsi="Times New Roman" w:cs="Times New Roman"/>
        </w:rPr>
        <w:instrText xml:space="preserve"> \* MERGEFORMAT </w:instrText>
      </w:r>
      <w:r w:rsidR="00FB59ED" w:rsidRPr="006D2720">
        <w:rPr>
          <w:rFonts w:ascii="Times New Roman" w:hAnsi="Times New Roman" w:cs="Times New Roman"/>
        </w:rPr>
      </w:r>
      <w:r w:rsidR="00FB59ED" w:rsidRPr="006D2720">
        <w:rPr>
          <w:rFonts w:ascii="Times New Roman" w:hAnsi="Times New Roman" w:cs="Times New Roman"/>
        </w:rPr>
        <w:fldChar w:fldCharType="separate"/>
      </w:r>
      <w:r w:rsidR="00E66B60">
        <w:rPr>
          <w:rFonts w:ascii="Times New Roman" w:hAnsi="Times New Roman" w:cs="Times New Roman"/>
        </w:rPr>
        <w:t>2.2.1</w:t>
      </w:r>
      <w:r w:rsidR="00FB59ED" w:rsidRPr="006D2720">
        <w:rPr>
          <w:rFonts w:ascii="Times New Roman" w:hAnsi="Times New Roman" w:cs="Times New Roman"/>
        </w:rPr>
        <w:fldChar w:fldCharType="end"/>
      </w:r>
      <w:r w:rsidR="002C3FB9" w:rsidRPr="006D2720">
        <w:rPr>
          <w:rFonts w:ascii="Times New Roman" w:hAnsi="Times New Roman" w:cs="Times New Roman"/>
        </w:rPr>
        <w:t>]</w:t>
      </w:r>
      <w:r w:rsidR="000524A9" w:rsidRPr="006D2720">
        <w:rPr>
          <w:rFonts w:ascii="Times New Roman" w:hAnsi="Times New Roman" w:cs="Times New Roman"/>
        </w:rPr>
        <w:t>)</w:t>
      </w:r>
      <w:r w:rsidR="00FC3188" w:rsidRPr="006D2720">
        <w:rPr>
          <w:rFonts w:ascii="Times New Roman" w:hAnsi="Times New Roman" w:cs="Times New Roman"/>
        </w:rPr>
        <w:t xml:space="preserve"> is defined and included in the list of bodies that may constitute a personal information custodian. However, the term</w:t>
      </w:r>
      <w:r w:rsidR="008F7CB6" w:rsidRPr="006D2720">
        <w:rPr>
          <w:rFonts w:ascii="Times New Roman" w:hAnsi="Times New Roman" w:cs="Times New Roman"/>
        </w:rPr>
        <w:t xml:space="preserve"> </w:t>
      </w:r>
      <w:r w:rsidR="00530D8E" w:rsidRPr="006D2720">
        <w:rPr>
          <w:rFonts w:ascii="Times New Roman" w:hAnsi="Times New Roman" w:cs="Times New Roman"/>
        </w:rPr>
        <w:t>‘</w:t>
      </w:r>
      <w:r w:rsidR="008F7CB6" w:rsidRPr="006D2720">
        <w:rPr>
          <w:rFonts w:ascii="Times New Roman" w:hAnsi="Times New Roman" w:cs="Times New Roman"/>
        </w:rPr>
        <w:t>p</w:t>
      </w:r>
      <w:r w:rsidR="00530D8E" w:rsidRPr="006D2720">
        <w:rPr>
          <w:rFonts w:ascii="Times New Roman" w:hAnsi="Times New Roman" w:cs="Times New Roman"/>
        </w:rPr>
        <w:t xml:space="preserve">ublic sector body’ is not </w:t>
      </w:r>
      <w:r w:rsidR="00FC3188" w:rsidRPr="006D2720">
        <w:rPr>
          <w:rFonts w:ascii="Times New Roman" w:hAnsi="Times New Roman" w:cs="Times New Roman"/>
        </w:rPr>
        <w:t xml:space="preserve">so </w:t>
      </w:r>
      <w:r w:rsidR="00530D8E" w:rsidRPr="006D2720">
        <w:rPr>
          <w:rFonts w:ascii="Times New Roman" w:hAnsi="Times New Roman" w:cs="Times New Roman"/>
        </w:rPr>
        <w:t>defined.</w:t>
      </w:r>
      <w:bookmarkEnd w:id="238"/>
    </w:p>
    <w:p w14:paraId="2D4A6BF2" w14:textId="77777777" w:rsidR="006872E4" w:rsidRPr="006D2720" w:rsidRDefault="006872E4" w:rsidP="00CA1A69">
      <w:pPr>
        <w:keepNext/>
        <w:rPr>
          <w:rFonts w:ascii="Times New Roman" w:hAnsi="Times New Roman" w:cs="Times New Roman"/>
          <w:b/>
          <w:bCs/>
          <w:i/>
          <w:iCs/>
        </w:rPr>
      </w:pPr>
      <w:r w:rsidRPr="006D2720">
        <w:rPr>
          <w:rFonts w:ascii="Times New Roman" w:hAnsi="Times New Roman" w:cs="Times New Roman"/>
          <w:b/>
          <w:bCs/>
          <w:i/>
          <w:iCs/>
        </w:rPr>
        <w:t>Employee information</w:t>
      </w:r>
    </w:p>
    <w:p w14:paraId="1B1BFA5C" w14:textId="46356EA1" w:rsidR="006872E4" w:rsidRPr="006D2720" w:rsidRDefault="009A0541" w:rsidP="0066337D">
      <w:pPr>
        <w:pStyle w:val="Heading3"/>
        <w:rPr>
          <w:rFonts w:ascii="Times New Roman" w:hAnsi="Times New Roman" w:cs="Times New Roman"/>
        </w:rPr>
      </w:pPr>
      <w:r w:rsidRPr="006D2720">
        <w:rPr>
          <w:rFonts w:ascii="Times New Roman" w:hAnsi="Times New Roman" w:cs="Times New Roman"/>
        </w:rPr>
        <w:t>Employee information is defined inclusively as personal information about an individual relating to their current, past</w:t>
      </w:r>
      <w:r w:rsidR="00A87D28" w:rsidRPr="006D2720">
        <w:rPr>
          <w:rFonts w:ascii="Times New Roman" w:hAnsi="Times New Roman" w:cs="Times New Roman"/>
        </w:rPr>
        <w:t>,</w:t>
      </w:r>
      <w:r w:rsidRPr="006D2720">
        <w:rPr>
          <w:rFonts w:ascii="Times New Roman" w:hAnsi="Times New Roman" w:cs="Times New Roman"/>
        </w:rPr>
        <w:t xml:space="preserve"> or prospective employment.</w:t>
      </w:r>
      <w:r w:rsidRPr="006D2720">
        <w:rPr>
          <w:rStyle w:val="FootnoteReference"/>
          <w:rFonts w:ascii="Times New Roman" w:hAnsi="Times New Roman" w:cs="Times New Roman"/>
        </w:rPr>
        <w:footnoteReference w:id="108"/>
      </w:r>
      <w:r w:rsidRPr="006D2720">
        <w:rPr>
          <w:rFonts w:ascii="Times New Roman" w:hAnsi="Times New Roman" w:cs="Times New Roman"/>
        </w:rPr>
        <w:t xml:space="preserve"> While</w:t>
      </w:r>
      <w:r w:rsidR="006872E4" w:rsidRPr="006D2720">
        <w:rPr>
          <w:rFonts w:ascii="Times New Roman" w:hAnsi="Times New Roman" w:cs="Times New Roman"/>
        </w:rPr>
        <w:t xml:space="preserve"> included under </w:t>
      </w:r>
      <w:r w:rsidR="009D2F66" w:rsidRPr="006D2720">
        <w:rPr>
          <w:rFonts w:ascii="Times New Roman" w:hAnsi="Times New Roman" w:cs="Times New Roman"/>
        </w:rPr>
        <w:t xml:space="preserve">the </w:t>
      </w:r>
      <w:r w:rsidR="006872E4" w:rsidRPr="006D2720">
        <w:rPr>
          <w:rFonts w:ascii="Times New Roman" w:hAnsi="Times New Roman" w:cs="Times New Roman"/>
        </w:rPr>
        <w:t>PIPA as a form of personal information</w:t>
      </w:r>
      <w:r w:rsidRPr="006D2720">
        <w:rPr>
          <w:rFonts w:ascii="Times New Roman" w:hAnsi="Times New Roman" w:cs="Times New Roman"/>
        </w:rPr>
        <w:t>,</w:t>
      </w:r>
      <w:r w:rsidR="00F0701E" w:rsidRPr="006D2720">
        <w:rPr>
          <w:rStyle w:val="FootnoteReference"/>
          <w:rFonts w:ascii="Times New Roman" w:hAnsi="Times New Roman" w:cs="Times New Roman"/>
        </w:rPr>
        <w:footnoteReference w:id="109"/>
      </w:r>
      <w:r w:rsidR="006872E4" w:rsidRPr="006D2720">
        <w:rPr>
          <w:rFonts w:ascii="Times New Roman" w:hAnsi="Times New Roman" w:cs="Times New Roman"/>
        </w:rPr>
        <w:t xml:space="preserve"> </w:t>
      </w:r>
      <w:r w:rsidR="00932E5A" w:rsidRPr="006D2720">
        <w:rPr>
          <w:rFonts w:ascii="Times New Roman" w:hAnsi="Times New Roman" w:cs="Times New Roman"/>
        </w:rPr>
        <w:t>it</w:t>
      </w:r>
      <w:r w:rsidRPr="006D2720">
        <w:rPr>
          <w:rFonts w:ascii="Times New Roman" w:hAnsi="Times New Roman" w:cs="Times New Roman"/>
        </w:rPr>
        <w:t xml:space="preserve"> </w:t>
      </w:r>
      <w:r w:rsidR="00D5246D" w:rsidRPr="006D2720">
        <w:rPr>
          <w:rFonts w:ascii="Times New Roman" w:hAnsi="Times New Roman" w:cs="Times New Roman"/>
        </w:rPr>
        <w:t xml:space="preserve">is </w:t>
      </w:r>
      <w:r w:rsidR="006872E4" w:rsidRPr="006D2720">
        <w:rPr>
          <w:rFonts w:ascii="Times New Roman" w:hAnsi="Times New Roman" w:cs="Times New Roman"/>
        </w:rPr>
        <w:t xml:space="preserve">accorded distinct treatment. </w:t>
      </w:r>
    </w:p>
    <w:p w14:paraId="00246D34" w14:textId="6C154062" w:rsidR="009A5530" w:rsidRPr="006D2720" w:rsidRDefault="00932E5A" w:rsidP="0066337D">
      <w:pPr>
        <w:pStyle w:val="Heading3"/>
        <w:rPr>
          <w:rFonts w:ascii="Times New Roman" w:hAnsi="Times New Roman" w:cs="Times New Roman"/>
        </w:rPr>
      </w:pPr>
      <w:r w:rsidRPr="006D2720">
        <w:rPr>
          <w:rFonts w:ascii="Times New Roman" w:hAnsi="Times New Roman" w:cs="Times New Roman"/>
        </w:rPr>
        <w:t>Specifically, a</w:t>
      </w:r>
      <w:r w:rsidR="006872E4" w:rsidRPr="006D2720">
        <w:rPr>
          <w:rFonts w:ascii="Times New Roman" w:hAnsi="Times New Roman" w:cs="Times New Roman"/>
        </w:rPr>
        <w:t xml:space="preserve"> number of PIPPs do not apply to employee information</w:t>
      </w:r>
      <w:r w:rsidR="004713E2" w:rsidRPr="006D2720">
        <w:rPr>
          <w:rFonts w:ascii="Times New Roman" w:hAnsi="Times New Roman" w:cs="Times New Roman"/>
        </w:rPr>
        <w:t>, as follows</w:t>
      </w:r>
      <w:r w:rsidR="009A5530" w:rsidRPr="006D2720">
        <w:rPr>
          <w:rFonts w:ascii="Times New Roman" w:hAnsi="Times New Roman" w:cs="Times New Roman"/>
        </w:rPr>
        <w:t>:</w:t>
      </w:r>
      <w:r w:rsidR="006872E4" w:rsidRPr="006D2720">
        <w:rPr>
          <w:rStyle w:val="FootnoteReference"/>
          <w:rFonts w:ascii="Times New Roman" w:hAnsi="Times New Roman" w:cs="Times New Roman"/>
        </w:rPr>
        <w:footnoteReference w:id="110"/>
      </w:r>
      <w:r w:rsidR="006872E4" w:rsidRPr="006D2720">
        <w:rPr>
          <w:rFonts w:ascii="Times New Roman" w:hAnsi="Times New Roman" w:cs="Times New Roman"/>
        </w:rPr>
        <w:t xml:space="preserve"> </w:t>
      </w:r>
    </w:p>
    <w:p w14:paraId="2F99271B" w14:textId="58519C65" w:rsidR="009A5530" w:rsidRPr="006D2720" w:rsidRDefault="00B0758A">
      <w:pPr>
        <w:numPr>
          <w:ilvl w:val="0"/>
          <w:numId w:val="8"/>
        </w:numPr>
        <w:rPr>
          <w:rFonts w:ascii="Times New Roman" w:hAnsi="Times New Roman" w:cs="Times New Roman"/>
        </w:rPr>
      </w:pPr>
      <w:r w:rsidRPr="006D2720">
        <w:rPr>
          <w:rFonts w:ascii="Times New Roman" w:hAnsi="Times New Roman" w:cs="Times New Roman"/>
        </w:rPr>
        <w:t>Collection</w:t>
      </w:r>
      <w:r w:rsidR="002517D6">
        <w:rPr>
          <w:rFonts w:ascii="Times New Roman" w:hAnsi="Times New Roman" w:cs="Times New Roman"/>
        </w:rPr>
        <w:t>—</w:t>
      </w:r>
      <w:r w:rsidRPr="006D2720">
        <w:rPr>
          <w:rFonts w:ascii="Times New Roman" w:hAnsi="Times New Roman" w:cs="Times New Roman"/>
        </w:rPr>
        <w:t>e</w:t>
      </w:r>
      <w:r w:rsidR="006872E4" w:rsidRPr="006D2720">
        <w:rPr>
          <w:rFonts w:ascii="Times New Roman" w:hAnsi="Times New Roman" w:cs="Times New Roman"/>
        </w:rPr>
        <w:t xml:space="preserve">mployee information about an individual need not be collected from that individual and </w:t>
      </w:r>
      <w:r w:rsidRPr="006D2720">
        <w:rPr>
          <w:rFonts w:ascii="Times New Roman" w:hAnsi="Times New Roman" w:cs="Times New Roman"/>
        </w:rPr>
        <w:t xml:space="preserve">the individual need not be informed that the information has been collected </w:t>
      </w:r>
      <w:r w:rsidR="006872E4" w:rsidRPr="006D2720">
        <w:rPr>
          <w:rFonts w:ascii="Times New Roman" w:hAnsi="Times New Roman" w:cs="Times New Roman"/>
        </w:rPr>
        <w:t>(PIPP 1(4) and (5))</w:t>
      </w:r>
      <w:r w:rsidR="00731625" w:rsidRPr="006D2720">
        <w:rPr>
          <w:rFonts w:ascii="Times New Roman" w:hAnsi="Times New Roman" w:cs="Times New Roman"/>
        </w:rPr>
        <w:t>.</w:t>
      </w:r>
    </w:p>
    <w:p w14:paraId="6714849F" w14:textId="121A7BC0" w:rsidR="00CD1284" w:rsidRPr="006D2720" w:rsidRDefault="00856CE0">
      <w:pPr>
        <w:numPr>
          <w:ilvl w:val="0"/>
          <w:numId w:val="8"/>
        </w:numPr>
        <w:rPr>
          <w:rFonts w:ascii="Times New Roman" w:hAnsi="Times New Roman" w:cs="Times New Roman"/>
        </w:rPr>
      </w:pPr>
      <w:r w:rsidRPr="006D2720">
        <w:rPr>
          <w:rFonts w:ascii="Times New Roman" w:hAnsi="Times New Roman" w:cs="Times New Roman"/>
        </w:rPr>
        <w:t>Use of unique identifiers</w:t>
      </w:r>
      <w:r w:rsidR="002517D6">
        <w:rPr>
          <w:rFonts w:ascii="Times New Roman" w:hAnsi="Times New Roman" w:cs="Times New Roman"/>
        </w:rPr>
        <w:t>—</w:t>
      </w:r>
      <w:r w:rsidR="006872E4" w:rsidRPr="006D2720">
        <w:rPr>
          <w:rFonts w:ascii="Times New Roman" w:hAnsi="Times New Roman" w:cs="Times New Roman"/>
        </w:rPr>
        <w:t>unique identi</w:t>
      </w:r>
      <w:r w:rsidR="00BF467C" w:rsidRPr="006D2720">
        <w:rPr>
          <w:rFonts w:ascii="Times New Roman" w:hAnsi="Times New Roman" w:cs="Times New Roman"/>
        </w:rPr>
        <w:t>fi</w:t>
      </w:r>
      <w:r w:rsidR="006872E4" w:rsidRPr="006D2720">
        <w:rPr>
          <w:rFonts w:ascii="Times New Roman" w:hAnsi="Times New Roman" w:cs="Times New Roman"/>
        </w:rPr>
        <w:t xml:space="preserve">ers </w:t>
      </w:r>
      <w:r w:rsidR="007E085E" w:rsidRPr="006D2720">
        <w:rPr>
          <w:rFonts w:ascii="Times New Roman" w:hAnsi="Times New Roman" w:cs="Times New Roman"/>
        </w:rPr>
        <w:t xml:space="preserve">for individuals </w:t>
      </w:r>
      <w:r w:rsidR="006872E4" w:rsidRPr="006D2720">
        <w:rPr>
          <w:rFonts w:ascii="Times New Roman" w:hAnsi="Times New Roman" w:cs="Times New Roman"/>
        </w:rPr>
        <w:t>can be assigned, adopted, used or disclosed, or required without complying with the requirements of PIPP 7</w:t>
      </w:r>
      <w:r w:rsidR="00731625" w:rsidRPr="006D2720">
        <w:rPr>
          <w:rFonts w:ascii="Times New Roman" w:hAnsi="Times New Roman" w:cs="Times New Roman"/>
        </w:rPr>
        <w:t>.</w:t>
      </w:r>
    </w:p>
    <w:p w14:paraId="1B604DED" w14:textId="4E73170E" w:rsidR="006872E4" w:rsidRPr="006D2720" w:rsidRDefault="00133AA3">
      <w:pPr>
        <w:numPr>
          <w:ilvl w:val="0"/>
          <w:numId w:val="8"/>
        </w:numPr>
        <w:rPr>
          <w:rFonts w:ascii="Times New Roman" w:hAnsi="Times New Roman" w:cs="Times New Roman"/>
        </w:rPr>
      </w:pPr>
      <w:r w:rsidRPr="006D2720">
        <w:rPr>
          <w:rFonts w:ascii="Times New Roman" w:hAnsi="Times New Roman" w:cs="Times New Roman"/>
        </w:rPr>
        <w:t>Sensitive information</w:t>
      </w:r>
      <w:r w:rsidR="002517D6">
        <w:rPr>
          <w:rFonts w:ascii="Times New Roman" w:hAnsi="Times New Roman" w:cs="Times New Roman"/>
        </w:rPr>
        <w:softHyphen/>
        <w:t>—</w:t>
      </w:r>
      <w:r w:rsidR="00DC5DD7" w:rsidRPr="006D2720">
        <w:rPr>
          <w:rFonts w:ascii="Times New Roman" w:hAnsi="Times New Roman" w:cs="Times New Roman"/>
        </w:rPr>
        <w:t>to the extent that</w:t>
      </w:r>
      <w:r w:rsidR="00A40E39" w:rsidRPr="006D2720">
        <w:rPr>
          <w:rFonts w:ascii="Times New Roman" w:hAnsi="Times New Roman" w:cs="Times New Roman"/>
        </w:rPr>
        <w:t xml:space="preserve"> the employee information includes sensitive information that would otherwise be subject to additional protections</w:t>
      </w:r>
      <w:r w:rsidR="002F663C" w:rsidRPr="006D2720">
        <w:rPr>
          <w:rFonts w:ascii="Times New Roman" w:hAnsi="Times New Roman" w:cs="Times New Roman"/>
        </w:rPr>
        <w:t xml:space="preserve"> under PIPP 10</w:t>
      </w:r>
      <w:r w:rsidR="00A40E39" w:rsidRPr="006D2720">
        <w:rPr>
          <w:rFonts w:ascii="Times New Roman" w:hAnsi="Times New Roman" w:cs="Times New Roman"/>
        </w:rPr>
        <w:t xml:space="preserve">, </w:t>
      </w:r>
      <w:r w:rsidR="0007354D" w:rsidRPr="006D2720">
        <w:rPr>
          <w:rFonts w:ascii="Times New Roman" w:hAnsi="Times New Roman" w:cs="Times New Roman"/>
        </w:rPr>
        <w:t xml:space="preserve">these </w:t>
      </w:r>
      <w:r w:rsidR="00CD1284" w:rsidRPr="006D2720">
        <w:rPr>
          <w:rFonts w:ascii="Times New Roman" w:hAnsi="Times New Roman" w:cs="Times New Roman"/>
        </w:rPr>
        <w:t xml:space="preserve">additional </w:t>
      </w:r>
      <w:r w:rsidR="000927C2" w:rsidRPr="006D2720">
        <w:rPr>
          <w:rFonts w:ascii="Times New Roman" w:hAnsi="Times New Roman" w:cs="Times New Roman"/>
        </w:rPr>
        <w:t>protections</w:t>
      </w:r>
      <w:r w:rsidR="00CD1284" w:rsidRPr="006D2720">
        <w:rPr>
          <w:rFonts w:ascii="Times New Roman" w:hAnsi="Times New Roman" w:cs="Times New Roman"/>
        </w:rPr>
        <w:t xml:space="preserve"> </w:t>
      </w:r>
      <w:r w:rsidR="0007354D" w:rsidRPr="006D2720">
        <w:rPr>
          <w:rFonts w:ascii="Times New Roman" w:hAnsi="Times New Roman" w:cs="Times New Roman"/>
        </w:rPr>
        <w:t>do not apply</w:t>
      </w:r>
      <w:r w:rsidR="006872E4" w:rsidRPr="006D2720">
        <w:rPr>
          <w:rFonts w:ascii="Times New Roman" w:hAnsi="Times New Roman" w:cs="Times New Roman"/>
        </w:rPr>
        <w:t>.</w:t>
      </w:r>
    </w:p>
    <w:p w14:paraId="589A40E8" w14:textId="282280B5" w:rsidR="006872E4" w:rsidRPr="006D2720" w:rsidRDefault="006872E4" w:rsidP="0066337D">
      <w:pPr>
        <w:pStyle w:val="Heading3"/>
        <w:rPr>
          <w:rFonts w:ascii="Times New Roman" w:hAnsi="Times New Roman" w:cs="Times New Roman"/>
        </w:rPr>
      </w:pPr>
      <w:r w:rsidRPr="006D2720">
        <w:rPr>
          <w:rFonts w:ascii="Times New Roman" w:hAnsi="Times New Roman" w:cs="Times New Roman"/>
        </w:rPr>
        <w:t xml:space="preserve">Employee information </w:t>
      </w:r>
      <w:r w:rsidR="00CD1284" w:rsidRPr="006D2720">
        <w:rPr>
          <w:rFonts w:ascii="Times New Roman" w:hAnsi="Times New Roman" w:cs="Times New Roman"/>
        </w:rPr>
        <w:t>is also treated differently in PIPP</w:t>
      </w:r>
      <w:r w:rsidR="002770E4" w:rsidRPr="006D2720">
        <w:rPr>
          <w:rFonts w:ascii="Times New Roman" w:hAnsi="Times New Roman" w:cs="Times New Roman"/>
        </w:rPr>
        <w:t xml:space="preserve"> </w:t>
      </w:r>
      <w:r w:rsidR="00CD1284" w:rsidRPr="006D2720">
        <w:rPr>
          <w:rFonts w:ascii="Times New Roman" w:hAnsi="Times New Roman" w:cs="Times New Roman"/>
        </w:rPr>
        <w:t>2</w:t>
      </w:r>
      <w:r w:rsidR="006369A6" w:rsidRPr="006D2720">
        <w:rPr>
          <w:rFonts w:ascii="Times New Roman" w:hAnsi="Times New Roman" w:cs="Times New Roman"/>
        </w:rPr>
        <w:t xml:space="preserve">, relating to </w:t>
      </w:r>
      <w:r w:rsidR="003D0C73" w:rsidRPr="006D2720">
        <w:rPr>
          <w:rFonts w:ascii="Times New Roman" w:hAnsi="Times New Roman" w:cs="Times New Roman"/>
        </w:rPr>
        <w:t xml:space="preserve">use of personal information. While personal information can generally </w:t>
      </w:r>
      <w:r w:rsidR="006E1C6A" w:rsidRPr="006D2720">
        <w:rPr>
          <w:rFonts w:ascii="Times New Roman" w:hAnsi="Times New Roman" w:cs="Times New Roman"/>
        </w:rPr>
        <w:t xml:space="preserve">only </w:t>
      </w:r>
      <w:r w:rsidR="003D0C73" w:rsidRPr="006D2720">
        <w:rPr>
          <w:rFonts w:ascii="Times New Roman" w:hAnsi="Times New Roman" w:cs="Times New Roman"/>
        </w:rPr>
        <w:t>be used</w:t>
      </w:r>
      <w:r w:rsidR="00925939" w:rsidRPr="006D2720">
        <w:rPr>
          <w:rFonts w:ascii="Times New Roman" w:hAnsi="Times New Roman" w:cs="Times New Roman"/>
        </w:rPr>
        <w:t xml:space="preserve"> and disclosed</w:t>
      </w:r>
      <w:r w:rsidR="003D0C73" w:rsidRPr="006D2720">
        <w:rPr>
          <w:rFonts w:ascii="Times New Roman" w:hAnsi="Times New Roman" w:cs="Times New Roman"/>
        </w:rPr>
        <w:t xml:space="preserve"> for the purpose for which it was collected, </w:t>
      </w:r>
      <w:r w:rsidR="0040738F" w:rsidRPr="006D2720">
        <w:rPr>
          <w:rFonts w:ascii="Times New Roman" w:hAnsi="Times New Roman" w:cs="Times New Roman"/>
        </w:rPr>
        <w:t xml:space="preserve">an express exception allows </w:t>
      </w:r>
      <w:r w:rsidR="003D0C73" w:rsidRPr="006D2720">
        <w:rPr>
          <w:rFonts w:ascii="Times New Roman" w:hAnsi="Times New Roman" w:cs="Times New Roman"/>
        </w:rPr>
        <w:t xml:space="preserve">employee information </w:t>
      </w:r>
      <w:r w:rsidR="0040738F" w:rsidRPr="006D2720">
        <w:rPr>
          <w:rFonts w:ascii="Times New Roman" w:hAnsi="Times New Roman" w:cs="Times New Roman"/>
        </w:rPr>
        <w:t xml:space="preserve">to be </w:t>
      </w:r>
      <w:r w:rsidR="00CD1284" w:rsidRPr="006D2720">
        <w:rPr>
          <w:rFonts w:ascii="Times New Roman" w:hAnsi="Times New Roman" w:cs="Times New Roman"/>
        </w:rPr>
        <w:t>used to assess a person’s suitability for appointment or</w:t>
      </w:r>
      <w:r w:rsidR="00E67186" w:rsidRPr="006D2720">
        <w:rPr>
          <w:rFonts w:ascii="Times New Roman" w:hAnsi="Times New Roman" w:cs="Times New Roman"/>
        </w:rPr>
        <w:t xml:space="preserve"> employment.</w:t>
      </w:r>
      <w:r w:rsidR="00CD1284" w:rsidRPr="006D2720">
        <w:rPr>
          <w:rStyle w:val="FootnoteReference"/>
          <w:rFonts w:ascii="Times New Roman" w:hAnsi="Times New Roman" w:cs="Times New Roman"/>
        </w:rPr>
        <w:footnoteReference w:id="111"/>
      </w:r>
      <w:r w:rsidR="00CD1284" w:rsidRPr="006D2720">
        <w:rPr>
          <w:rFonts w:ascii="Times New Roman" w:hAnsi="Times New Roman" w:cs="Times New Roman"/>
        </w:rPr>
        <w:t xml:space="preserve"> </w:t>
      </w:r>
      <w:r w:rsidR="00E67186" w:rsidRPr="006D2720">
        <w:rPr>
          <w:rFonts w:ascii="Times New Roman" w:hAnsi="Times New Roman" w:cs="Times New Roman"/>
        </w:rPr>
        <w:t xml:space="preserve">Employee information can also be </w:t>
      </w:r>
      <w:r w:rsidR="00CD1284" w:rsidRPr="006D2720">
        <w:rPr>
          <w:rFonts w:ascii="Times New Roman" w:hAnsi="Times New Roman" w:cs="Times New Roman"/>
        </w:rPr>
        <w:t xml:space="preserve">shared with other bodies subject to </w:t>
      </w:r>
      <w:r w:rsidR="00973705" w:rsidRPr="006D2720">
        <w:rPr>
          <w:rFonts w:ascii="Times New Roman" w:hAnsi="Times New Roman" w:cs="Times New Roman"/>
        </w:rPr>
        <w:t xml:space="preserve">the </w:t>
      </w:r>
      <w:r w:rsidR="00CD1284" w:rsidRPr="006D2720">
        <w:rPr>
          <w:rFonts w:ascii="Times New Roman" w:hAnsi="Times New Roman" w:cs="Times New Roman"/>
        </w:rPr>
        <w:t>PIPA</w:t>
      </w:r>
      <w:r w:rsidR="00E67186" w:rsidRPr="006D2720">
        <w:rPr>
          <w:rFonts w:ascii="Times New Roman" w:hAnsi="Times New Roman" w:cs="Times New Roman"/>
        </w:rPr>
        <w:t>, but only where the information will be used as employee information</w:t>
      </w:r>
      <w:r w:rsidR="00CD1284" w:rsidRPr="006D2720">
        <w:rPr>
          <w:rFonts w:ascii="Times New Roman" w:hAnsi="Times New Roman" w:cs="Times New Roman"/>
        </w:rPr>
        <w:t>.</w:t>
      </w:r>
      <w:r w:rsidR="00CD1284" w:rsidRPr="006D2720">
        <w:rPr>
          <w:rStyle w:val="FootnoteReference"/>
          <w:rFonts w:ascii="Times New Roman" w:hAnsi="Times New Roman" w:cs="Times New Roman"/>
        </w:rPr>
        <w:footnoteReference w:id="112"/>
      </w:r>
      <w:r w:rsidR="00CD1284" w:rsidRPr="006D2720">
        <w:rPr>
          <w:rFonts w:ascii="Times New Roman" w:hAnsi="Times New Roman" w:cs="Times New Roman"/>
        </w:rPr>
        <w:t xml:space="preserve"> </w:t>
      </w:r>
      <w:r w:rsidR="00E67186" w:rsidRPr="006D2720">
        <w:rPr>
          <w:rFonts w:ascii="Times New Roman" w:hAnsi="Times New Roman" w:cs="Times New Roman"/>
        </w:rPr>
        <w:t xml:space="preserve">Otherwise, the standard restrictions on sharing information apply. </w:t>
      </w:r>
    </w:p>
    <w:p w14:paraId="30B8ECE2" w14:textId="6F61D66A" w:rsidR="006872E4" w:rsidRPr="006D2720" w:rsidRDefault="00480C5C" w:rsidP="0066337D">
      <w:pPr>
        <w:pStyle w:val="Heading3"/>
        <w:rPr>
          <w:rFonts w:ascii="Times New Roman" w:hAnsi="Times New Roman" w:cs="Times New Roman"/>
        </w:rPr>
      </w:pPr>
      <w:r w:rsidRPr="006D2720">
        <w:rPr>
          <w:rFonts w:ascii="Times New Roman" w:hAnsi="Times New Roman" w:cs="Times New Roman"/>
        </w:rPr>
        <w:t xml:space="preserve">The Commonwealth </w:t>
      </w:r>
      <w:r w:rsidR="002D105E" w:rsidRPr="006D2720">
        <w:rPr>
          <w:rFonts w:ascii="Times New Roman" w:hAnsi="Times New Roman" w:cs="Times New Roman"/>
        </w:rPr>
        <w:t>Privacy Act also generally exempts the handling of employee records</w:t>
      </w:r>
      <w:r w:rsidR="002D105E" w:rsidRPr="006D2720">
        <w:rPr>
          <w:rStyle w:val="FootnoteReference"/>
          <w:rFonts w:ascii="Times New Roman" w:hAnsi="Times New Roman" w:cs="Times New Roman"/>
        </w:rPr>
        <w:footnoteReference w:id="113"/>
      </w:r>
      <w:r w:rsidR="002D105E" w:rsidRPr="006D2720">
        <w:rPr>
          <w:rFonts w:ascii="Times New Roman" w:hAnsi="Times New Roman" w:cs="Times New Roman"/>
        </w:rPr>
        <w:t xml:space="preserve"> and information relating to the employment relationship</w:t>
      </w:r>
      <w:r w:rsidR="006872E4" w:rsidRPr="006D2720">
        <w:rPr>
          <w:rFonts w:ascii="Times New Roman" w:hAnsi="Times New Roman" w:cs="Times New Roman"/>
        </w:rPr>
        <w:t>.</w:t>
      </w:r>
      <w:r w:rsidR="006872E4" w:rsidRPr="006D2720">
        <w:rPr>
          <w:rStyle w:val="FootnoteReference"/>
          <w:rFonts w:ascii="Times New Roman" w:hAnsi="Times New Roman" w:cs="Times New Roman"/>
        </w:rPr>
        <w:footnoteReference w:id="114"/>
      </w:r>
      <w:r w:rsidR="006872E4" w:rsidRPr="006D2720">
        <w:rPr>
          <w:rFonts w:ascii="Times New Roman" w:hAnsi="Times New Roman" w:cs="Times New Roman"/>
        </w:rPr>
        <w:t xml:space="preserve"> The </w:t>
      </w:r>
      <w:r w:rsidR="001E6F84" w:rsidRPr="006D2720">
        <w:rPr>
          <w:rFonts w:ascii="Times New Roman" w:hAnsi="Times New Roman" w:cs="Times New Roman"/>
        </w:rPr>
        <w:t>Privacy Act</w:t>
      </w:r>
      <w:r w:rsidR="001E6F84" w:rsidRPr="006D2720">
        <w:rPr>
          <w:rFonts w:ascii="Times New Roman" w:hAnsi="Times New Roman" w:cs="Times New Roman"/>
          <w:i/>
          <w:iCs/>
        </w:rPr>
        <w:t xml:space="preserve"> </w:t>
      </w:r>
      <w:r w:rsidR="006872E4" w:rsidRPr="006D2720">
        <w:rPr>
          <w:rFonts w:ascii="Times New Roman" w:hAnsi="Times New Roman" w:cs="Times New Roman"/>
        </w:rPr>
        <w:t xml:space="preserve">review has </w:t>
      </w:r>
      <w:r w:rsidR="002C6819" w:rsidRPr="006D2720">
        <w:rPr>
          <w:rFonts w:ascii="Times New Roman" w:hAnsi="Times New Roman" w:cs="Times New Roman"/>
        </w:rPr>
        <w:t>questioned</w:t>
      </w:r>
      <w:r w:rsidR="006872E4" w:rsidRPr="006D2720">
        <w:rPr>
          <w:rFonts w:ascii="Times New Roman" w:hAnsi="Times New Roman" w:cs="Times New Roman"/>
        </w:rPr>
        <w:t xml:space="preserve"> whether </w:t>
      </w:r>
      <w:r w:rsidR="008259CC" w:rsidRPr="006D2720">
        <w:rPr>
          <w:rFonts w:ascii="Times New Roman" w:hAnsi="Times New Roman" w:cs="Times New Roman"/>
        </w:rPr>
        <w:t>employee information is</w:t>
      </w:r>
      <w:r w:rsidR="00DC4C7E" w:rsidRPr="006D2720">
        <w:rPr>
          <w:rFonts w:ascii="Times New Roman" w:hAnsi="Times New Roman" w:cs="Times New Roman"/>
        </w:rPr>
        <w:t xml:space="preserve"> </w:t>
      </w:r>
      <w:r w:rsidR="006872E4" w:rsidRPr="006D2720">
        <w:rPr>
          <w:rFonts w:ascii="Times New Roman" w:hAnsi="Times New Roman" w:cs="Times New Roman"/>
        </w:rPr>
        <w:t>adequately protected and whether some of the APPs should apply to some or all employee records.</w:t>
      </w:r>
      <w:r w:rsidR="006872E4" w:rsidRPr="006D2720">
        <w:rPr>
          <w:rStyle w:val="FootnoteReference"/>
          <w:rFonts w:ascii="Times New Roman" w:hAnsi="Times New Roman" w:cs="Times New Roman"/>
        </w:rPr>
        <w:footnoteReference w:id="115"/>
      </w:r>
      <w:r w:rsidR="006872E4" w:rsidRPr="006D2720">
        <w:rPr>
          <w:rFonts w:ascii="Times New Roman" w:hAnsi="Times New Roman" w:cs="Times New Roman"/>
        </w:rPr>
        <w:t xml:space="preserve"> </w:t>
      </w:r>
      <w:r w:rsidR="00A86D8B" w:rsidRPr="006D2720">
        <w:rPr>
          <w:rFonts w:ascii="Times New Roman" w:hAnsi="Times New Roman" w:cs="Times New Roman"/>
        </w:rPr>
        <w:t xml:space="preserve">In its submission, the </w:t>
      </w:r>
      <w:r w:rsidR="007626A9" w:rsidRPr="006D2720">
        <w:rPr>
          <w:rFonts w:ascii="Times New Roman" w:hAnsi="Times New Roman" w:cs="Times New Roman"/>
        </w:rPr>
        <w:t xml:space="preserve">OAIC </w:t>
      </w:r>
      <w:r w:rsidR="006872E4" w:rsidRPr="006D2720">
        <w:rPr>
          <w:rFonts w:ascii="Times New Roman" w:hAnsi="Times New Roman" w:cs="Times New Roman"/>
        </w:rPr>
        <w:t xml:space="preserve">recommended that the exemption </w:t>
      </w:r>
      <w:r w:rsidR="00446931" w:rsidRPr="006D2720">
        <w:rPr>
          <w:rFonts w:ascii="Times New Roman" w:hAnsi="Times New Roman" w:cs="Times New Roman"/>
        </w:rPr>
        <w:t xml:space="preserve">for employee records </w:t>
      </w:r>
      <w:r w:rsidR="006872E4" w:rsidRPr="006D2720">
        <w:rPr>
          <w:rFonts w:ascii="Times New Roman" w:hAnsi="Times New Roman" w:cs="Times New Roman"/>
        </w:rPr>
        <w:t>be removed subject to an appropriate transition period.</w:t>
      </w:r>
      <w:r w:rsidR="006872E4" w:rsidRPr="006D2720">
        <w:rPr>
          <w:rStyle w:val="FootnoteReference"/>
          <w:rFonts w:ascii="Times New Roman" w:hAnsi="Times New Roman" w:cs="Times New Roman"/>
        </w:rPr>
        <w:footnoteReference w:id="116"/>
      </w:r>
    </w:p>
    <w:p w14:paraId="41646375" w14:textId="77777777" w:rsidR="006872E4" w:rsidRPr="006D2720" w:rsidRDefault="006872E4" w:rsidP="006872E4">
      <w:pPr>
        <w:rPr>
          <w:rFonts w:ascii="Times New Roman" w:hAnsi="Times New Roman" w:cs="Times New Roman"/>
          <w:b/>
          <w:bCs/>
          <w:i/>
          <w:iCs/>
        </w:rPr>
      </w:pPr>
      <w:r w:rsidRPr="006D2720">
        <w:rPr>
          <w:rFonts w:ascii="Times New Roman" w:hAnsi="Times New Roman" w:cs="Times New Roman"/>
          <w:b/>
          <w:bCs/>
          <w:i/>
          <w:iCs/>
        </w:rPr>
        <w:t>Public information</w:t>
      </w:r>
    </w:p>
    <w:p w14:paraId="09CB7E7B" w14:textId="656D6230" w:rsidR="00B00A38" w:rsidRPr="006D2720" w:rsidRDefault="00E045ED" w:rsidP="00B00A38">
      <w:pPr>
        <w:pStyle w:val="Heading3"/>
        <w:rPr>
          <w:rFonts w:ascii="Times New Roman" w:hAnsi="Times New Roman" w:cs="Times New Roman"/>
        </w:rPr>
      </w:pPr>
      <w:r w:rsidRPr="006D2720">
        <w:rPr>
          <w:rFonts w:ascii="Times New Roman" w:hAnsi="Times New Roman" w:cs="Times New Roman"/>
        </w:rPr>
        <w:t xml:space="preserve">Public information is defined as </w:t>
      </w:r>
      <w:r w:rsidR="00B00A38" w:rsidRPr="006D2720">
        <w:rPr>
          <w:rFonts w:ascii="Times New Roman" w:hAnsi="Times New Roman" w:cs="Times New Roman"/>
        </w:rPr>
        <w:t>‘</w:t>
      </w:r>
      <w:r w:rsidRPr="006D2720">
        <w:rPr>
          <w:rFonts w:ascii="Times New Roman" w:hAnsi="Times New Roman" w:cs="Times New Roman"/>
        </w:rPr>
        <w:t>any personal information that is</w:t>
      </w:r>
      <w:r w:rsidR="004713E2" w:rsidRPr="006D2720">
        <w:rPr>
          <w:rFonts w:ascii="Times New Roman" w:hAnsi="Times New Roman" w:cs="Times New Roman"/>
        </w:rPr>
        <w:t xml:space="preserve">: </w:t>
      </w:r>
      <w:r w:rsidRPr="006D2720">
        <w:rPr>
          <w:rFonts w:ascii="Times New Roman" w:hAnsi="Times New Roman" w:cs="Times New Roman"/>
        </w:rPr>
        <w:t>(a) contained in a publicly available record or publication; or (b) taken to be public information under any Act</w:t>
      </w:r>
      <w:r w:rsidR="00B00A38" w:rsidRPr="006D2720">
        <w:rPr>
          <w:rFonts w:ascii="Times New Roman" w:hAnsi="Times New Roman" w:cs="Times New Roman"/>
        </w:rPr>
        <w:t>’</w:t>
      </w:r>
      <w:r w:rsidRPr="006D2720">
        <w:rPr>
          <w:rFonts w:ascii="Times New Roman" w:hAnsi="Times New Roman" w:cs="Times New Roman"/>
        </w:rPr>
        <w:t>.</w:t>
      </w:r>
      <w:r w:rsidR="001C7558" w:rsidRPr="006D2720">
        <w:rPr>
          <w:rStyle w:val="FootnoteReference"/>
          <w:rFonts w:ascii="Times New Roman" w:hAnsi="Times New Roman" w:cs="Times New Roman"/>
        </w:rPr>
        <w:footnoteReference w:id="117"/>
      </w:r>
      <w:r w:rsidRPr="006D2720">
        <w:rPr>
          <w:rFonts w:ascii="Times New Roman" w:hAnsi="Times New Roman" w:cs="Times New Roman"/>
        </w:rPr>
        <w:t xml:space="preserve"> </w:t>
      </w:r>
      <w:r w:rsidR="002A05E7" w:rsidRPr="006D2720">
        <w:rPr>
          <w:rFonts w:ascii="Times New Roman" w:hAnsi="Times New Roman" w:cs="Times New Roman"/>
        </w:rPr>
        <w:t xml:space="preserve">The </w:t>
      </w:r>
      <w:r w:rsidR="006872E4" w:rsidRPr="006D2720">
        <w:rPr>
          <w:rFonts w:ascii="Times New Roman" w:hAnsi="Times New Roman" w:cs="Times New Roman"/>
        </w:rPr>
        <w:t>PIPA does not apply to public information.</w:t>
      </w:r>
      <w:r w:rsidR="002A05E7" w:rsidRPr="006D2720">
        <w:rPr>
          <w:rStyle w:val="FootnoteReference"/>
          <w:rFonts w:ascii="Times New Roman" w:hAnsi="Times New Roman" w:cs="Times New Roman"/>
        </w:rPr>
        <w:footnoteReference w:id="118"/>
      </w:r>
      <w:r w:rsidR="006872E4" w:rsidRPr="006D2720">
        <w:rPr>
          <w:rFonts w:ascii="Times New Roman" w:hAnsi="Times New Roman" w:cs="Times New Roman"/>
        </w:rPr>
        <w:t xml:space="preserve"> </w:t>
      </w:r>
    </w:p>
    <w:p w14:paraId="434852AD" w14:textId="629637EC" w:rsidR="006872E4" w:rsidRPr="006D2720" w:rsidRDefault="00446931" w:rsidP="0066337D">
      <w:pPr>
        <w:pStyle w:val="Heading3"/>
        <w:rPr>
          <w:rFonts w:ascii="Times New Roman" w:hAnsi="Times New Roman" w:cs="Times New Roman"/>
        </w:rPr>
      </w:pPr>
      <w:r w:rsidRPr="006D2720">
        <w:rPr>
          <w:rFonts w:ascii="Times New Roman" w:hAnsi="Times New Roman" w:cs="Times New Roman"/>
        </w:rPr>
        <w:t>By not protecting publicly available information in this way,</w:t>
      </w:r>
      <w:r w:rsidR="003239F4" w:rsidRPr="006D2720">
        <w:rPr>
          <w:rFonts w:ascii="Times New Roman" w:hAnsi="Times New Roman" w:cs="Times New Roman"/>
        </w:rPr>
        <w:t xml:space="preserve"> the</w:t>
      </w:r>
      <w:r w:rsidRPr="006D2720">
        <w:rPr>
          <w:rFonts w:ascii="Times New Roman" w:hAnsi="Times New Roman" w:cs="Times New Roman"/>
        </w:rPr>
        <w:t xml:space="preserve"> PIPA operates in a similar way to </w:t>
      </w:r>
      <w:r w:rsidR="006872E4" w:rsidRPr="006D2720">
        <w:rPr>
          <w:rFonts w:ascii="Times New Roman" w:hAnsi="Times New Roman" w:cs="Times New Roman"/>
        </w:rPr>
        <w:t xml:space="preserve">privacy legislation in various other jurisdictions, including </w:t>
      </w:r>
      <w:r w:rsidR="00614884" w:rsidRPr="006D2720">
        <w:rPr>
          <w:rFonts w:ascii="Times New Roman" w:hAnsi="Times New Roman" w:cs="Times New Roman"/>
        </w:rPr>
        <w:t>NSW</w:t>
      </w:r>
      <w:r w:rsidR="006872E4" w:rsidRPr="006D2720">
        <w:rPr>
          <w:rFonts w:ascii="Times New Roman" w:hAnsi="Times New Roman" w:cs="Times New Roman"/>
        </w:rPr>
        <w:t>,</w:t>
      </w:r>
      <w:r w:rsidR="006872E4" w:rsidRPr="006D2720">
        <w:rPr>
          <w:rStyle w:val="FootnoteReference"/>
          <w:rFonts w:ascii="Times New Roman" w:hAnsi="Times New Roman" w:cs="Times New Roman"/>
        </w:rPr>
        <w:footnoteReference w:id="119"/>
      </w:r>
      <w:r w:rsidR="006872E4" w:rsidRPr="006D2720">
        <w:rPr>
          <w:rFonts w:ascii="Times New Roman" w:hAnsi="Times New Roman" w:cs="Times New Roman"/>
        </w:rPr>
        <w:t xml:space="preserve"> Victoria</w:t>
      </w:r>
      <w:r w:rsidR="006872E4" w:rsidRPr="006D2720">
        <w:rPr>
          <w:rStyle w:val="FootnoteReference"/>
          <w:rFonts w:ascii="Times New Roman" w:hAnsi="Times New Roman" w:cs="Times New Roman"/>
        </w:rPr>
        <w:footnoteReference w:id="120"/>
      </w:r>
      <w:r w:rsidR="006872E4" w:rsidRPr="006D2720">
        <w:rPr>
          <w:rFonts w:ascii="Times New Roman" w:hAnsi="Times New Roman" w:cs="Times New Roman"/>
        </w:rPr>
        <w:t xml:space="preserve"> and Queensland.</w:t>
      </w:r>
      <w:r w:rsidR="006872E4" w:rsidRPr="006D2720">
        <w:rPr>
          <w:rStyle w:val="FootnoteReference"/>
          <w:rFonts w:ascii="Times New Roman" w:hAnsi="Times New Roman" w:cs="Times New Roman"/>
        </w:rPr>
        <w:footnoteReference w:id="121"/>
      </w:r>
      <w:r w:rsidR="006872E4" w:rsidRPr="006D2720">
        <w:rPr>
          <w:rFonts w:ascii="Times New Roman" w:hAnsi="Times New Roman" w:cs="Times New Roman"/>
        </w:rPr>
        <w:t xml:space="preserve"> </w:t>
      </w:r>
      <w:r w:rsidR="00787436" w:rsidRPr="006D2720">
        <w:rPr>
          <w:rFonts w:ascii="Times New Roman" w:hAnsi="Times New Roman" w:cs="Times New Roman"/>
        </w:rPr>
        <w:t xml:space="preserve">In contrast, </w:t>
      </w:r>
      <w:r w:rsidR="00480C5C" w:rsidRPr="006D2720">
        <w:rPr>
          <w:rFonts w:ascii="Times New Roman" w:hAnsi="Times New Roman" w:cs="Times New Roman"/>
        </w:rPr>
        <w:t>federal legislation (t</w:t>
      </w:r>
      <w:r w:rsidR="00814568" w:rsidRPr="006D2720">
        <w:rPr>
          <w:rFonts w:ascii="Times New Roman" w:hAnsi="Times New Roman" w:cs="Times New Roman"/>
        </w:rPr>
        <w:t>he</w:t>
      </w:r>
      <w:r w:rsidR="006872E4" w:rsidRPr="006D2720">
        <w:rPr>
          <w:rFonts w:ascii="Times New Roman" w:hAnsi="Times New Roman" w:cs="Times New Roman"/>
        </w:rPr>
        <w:t xml:space="preserve"> Privacy Act</w:t>
      </w:r>
      <w:r w:rsidR="00480C5C" w:rsidRPr="006D2720">
        <w:rPr>
          <w:rFonts w:ascii="Times New Roman" w:hAnsi="Times New Roman" w:cs="Times New Roman"/>
        </w:rPr>
        <w:t xml:space="preserve">) </w:t>
      </w:r>
      <w:r w:rsidR="006872E4" w:rsidRPr="006D2720">
        <w:rPr>
          <w:rFonts w:ascii="Times New Roman" w:hAnsi="Times New Roman" w:cs="Times New Roman"/>
        </w:rPr>
        <w:t xml:space="preserve">does not have a general exemption </w:t>
      </w:r>
      <w:r w:rsidR="008F21C9" w:rsidRPr="006D2720">
        <w:rPr>
          <w:rFonts w:ascii="Times New Roman" w:hAnsi="Times New Roman" w:cs="Times New Roman"/>
        </w:rPr>
        <w:t xml:space="preserve">that removes protections </w:t>
      </w:r>
      <w:r w:rsidR="006872E4" w:rsidRPr="006D2720">
        <w:rPr>
          <w:rFonts w:ascii="Times New Roman" w:hAnsi="Times New Roman" w:cs="Times New Roman"/>
        </w:rPr>
        <w:t xml:space="preserve">for publicly available information. </w:t>
      </w:r>
    </w:p>
    <w:p w14:paraId="48988227" w14:textId="390B510D" w:rsidR="006872E4" w:rsidRPr="006D2720" w:rsidRDefault="006872E4" w:rsidP="006872E4">
      <w:pPr>
        <w:rPr>
          <w:rFonts w:ascii="Times New Roman" w:hAnsi="Times New Roman" w:cs="Times New Roman"/>
          <w:b/>
          <w:bCs/>
          <w:i/>
          <w:iCs/>
        </w:rPr>
      </w:pPr>
      <w:r w:rsidRPr="006D2720">
        <w:rPr>
          <w:rFonts w:ascii="Times New Roman" w:hAnsi="Times New Roman" w:cs="Times New Roman"/>
          <w:b/>
          <w:bCs/>
          <w:i/>
          <w:iCs/>
        </w:rPr>
        <w:t xml:space="preserve">Law Enforcement Information </w:t>
      </w:r>
    </w:p>
    <w:p w14:paraId="178D1BBC" w14:textId="0EFBC182" w:rsidR="00446931" w:rsidRPr="006D2720" w:rsidRDefault="009C2DEC" w:rsidP="0066337D">
      <w:pPr>
        <w:pStyle w:val="Heading3"/>
        <w:rPr>
          <w:rFonts w:ascii="Times New Roman" w:hAnsi="Times New Roman" w:cs="Times New Roman"/>
        </w:rPr>
      </w:pPr>
      <w:r w:rsidRPr="006D2720">
        <w:rPr>
          <w:rFonts w:ascii="Times New Roman" w:hAnsi="Times New Roman" w:cs="Times New Roman"/>
        </w:rPr>
        <w:t>In</w:t>
      </w:r>
      <w:r w:rsidR="00296943" w:rsidRPr="006D2720">
        <w:rPr>
          <w:rFonts w:ascii="Times New Roman" w:hAnsi="Times New Roman" w:cs="Times New Roman"/>
        </w:rPr>
        <w:t xml:space="preserve"> the </w:t>
      </w:r>
      <w:r w:rsidR="00E4154F" w:rsidRPr="006D2720">
        <w:rPr>
          <w:rFonts w:ascii="Times New Roman" w:hAnsi="Times New Roman" w:cs="Times New Roman"/>
        </w:rPr>
        <w:t>PIPA</w:t>
      </w:r>
      <w:r w:rsidR="00296943" w:rsidRPr="006D2720">
        <w:rPr>
          <w:rFonts w:ascii="Times New Roman" w:hAnsi="Times New Roman" w:cs="Times New Roman"/>
        </w:rPr>
        <w:t xml:space="preserve">, </w:t>
      </w:r>
      <w:r w:rsidR="00E4154F" w:rsidRPr="006D2720">
        <w:rPr>
          <w:rFonts w:ascii="Times New Roman" w:hAnsi="Times New Roman" w:cs="Times New Roman"/>
        </w:rPr>
        <w:t>‘l</w:t>
      </w:r>
      <w:r w:rsidR="006872E4" w:rsidRPr="006D2720">
        <w:rPr>
          <w:rFonts w:ascii="Times New Roman" w:hAnsi="Times New Roman" w:cs="Times New Roman"/>
        </w:rPr>
        <w:t>aw enforcement information</w:t>
      </w:r>
      <w:r w:rsidR="00E4154F" w:rsidRPr="006D2720">
        <w:rPr>
          <w:rFonts w:ascii="Times New Roman" w:hAnsi="Times New Roman" w:cs="Times New Roman"/>
        </w:rPr>
        <w:t>’</w:t>
      </w:r>
      <w:r w:rsidR="006872E4" w:rsidRPr="006D2720">
        <w:rPr>
          <w:rFonts w:ascii="Times New Roman" w:hAnsi="Times New Roman" w:cs="Times New Roman"/>
        </w:rPr>
        <w:t xml:space="preserve"> includes information reasonabl</w:t>
      </w:r>
      <w:r w:rsidR="005F0C5C" w:rsidRPr="006D2720">
        <w:rPr>
          <w:rFonts w:ascii="Times New Roman" w:hAnsi="Times New Roman" w:cs="Times New Roman"/>
        </w:rPr>
        <w:t>y</w:t>
      </w:r>
      <w:r w:rsidR="006872E4" w:rsidRPr="006D2720">
        <w:rPr>
          <w:rFonts w:ascii="Times New Roman" w:hAnsi="Times New Roman" w:cs="Times New Roman"/>
        </w:rPr>
        <w:t xml:space="preserve"> likely to</w:t>
      </w:r>
      <w:r w:rsidR="00446931" w:rsidRPr="006D2720">
        <w:rPr>
          <w:rFonts w:ascii="Times New Roman" w:hAnsi="Times New Roman" w:cs="Times New Roman"/>
        </w:rPr>
        <w:t>:</w:t>
      </w:r>
    </w:p>
    <w:p w14:paraId="377233EF" w14:textId="6B3B46E8" w:rsidR="00446931" w:rsidRPr="006D2720" w:rsidRDefault="006872E4">
      <w:pPr>
        <w:numPr>
          <w:ilvl w:val="0"/>
          <w:numId w:val="9"/>
        </w:numPr>
        <w:rPr>
          <w:rFonts w:ascii="Times New Roman" w:hAnsi="Times New Roman" w:cs="Times New Roman"/>
        </w:rPr>
      </w:pPr>
      <w:r w:rsidRPr="006D2720">
        <w:rPr>
          <w:rFonts w:ascii="Times New Roman" w:hAnsi="Times New Roman" w:cs="Times New Roman"/>
        </w:rPr>
        <w:t>prejudice investigation of a breach or enforcement of the law</w:t>
      </w:r>
      <w:r w:rsidR="00446931" w:rsidRPr="006D2720">
        <w:rPr>
          <w:rFonts w:ascii="Times New Roman" w:hAnsi="Times New Roman" w:cs="Times New Roman"/>
        </w:rPr>
        <w:t xml:space="preserve">; </w:t>
      </w:r>
    </w:p>
    <w:p w14:paraId="06020819" w14:textId="3BF8685A" w:rsidR="00446931" w:rsidRPr="006D2720" w:rsidRDefault="006872E4">
      <w:pPr>
        <w:numPr>
          <w:ilvl w:val="0"/>
          <w:numId w:val="9"/>
        </w:numPr>
        <w:rPr>
          <w:rFonts w:ascii="Times New Roman" w:hAnsi="Times New Roman" w:cs="Times New Roman"/>
        </w:rPr>
      </w:pPr>
      <w:r w:rsidRPr="006D2720">
        <w:rPr>
          <w:rFonts w:ascii="Times New Roman" w:hAnsi="Times New Roman" w:cs="Times New Roman"/>
        </w:rPr>
        <w:t>disclose confidential sources</w:t>
      </w:r>
      <w:r w:rsidR="00446931" w:rsidRPr="006D2720">
        <w:rPr>
          <w:rFonts w:ascii="Times New Roman" w:hAnsi="Times New Roman" w:cs="Times New Roman"/>
        </w:rPr>
        <w:t>;</w:t>
      </w:r>
    </w:p>
    <w:p w14:paraId="224D3DCB" w14:textId="43C808E1" w:rsidR="00646A73" w:rsidRPr="006D2720" w:rsidRDefault="006872E4">
      <w:pPr>
        <w:numPr>
          <w:ilvl w:val="0"/>
          <w:numId w:val="9"/>
        </w:numPr>
        <w:rPr>
          <w:rFonts w:ascii="Times New Roman" w:hAnsi="Times New Roman" w:cs="Times New Roman"/>
        </w:rPr>
      </w:pPr>
      <w:r w:rsidRPr="006D2720">
        <w:rPr>
          <w:rFonts w:ascii="Times New Roman" w:hAnsi="Times New Roman" w:cs="Times New Roman"/>
        </w:rPr>
        <w:t xml:space="preserve">prejudice </w:t>
      </w:r>
      <w:r w:rsidR="00646A73" w:rsidRPr="006D2720">
        <w:rPr>
          <w:rFonts w:ascii="Times New Roman" w:hAnsi="Times New Roman" w:cs="Times New Roman"/>
        </w:rPr>
        <w:t xml:space="preserve">the effectiveness of </w:t>
      </w:r>
      <w:r w:rsidRPr="006D2720">
        <w:rPr>
          <w:rFonts w:ascii="Times New Roman" w:hAnsi="Times New Roman" w:cs="Times New Roman"/>
        </w:rPr>
        <w:t>methods or procedures</w:t>
      </w:r>
      <w:r w:rsidR="00646A73" w:rsidRPr="006D2720">
        <w:rPr>
          <w:rFonts w:ascii="Times New Roman" w:hAnsi="Times New Roman" w:cs="Times New Roman"/>
        </w:rPr>
        <w:t xml:space="preserve"> relating to breaches of the law;</w:t>
      </w:r>
    </w:p>
    <w:p w14:paraId="11258DAC" w14:textId="6C0984D0" w:rsidR="00646A73" w:rsidRPr="006D2720" w:rsidRDefault="006872E4">
      <w:pPr>
        <w:numPr>
          <w:ilvl w:val="0"/>
          <w:numId w:val="9"/>
        </w:numPr>
        <w:rPr>
          <w:rFonts w:ascii="Times New Roman" w:hAnsi="Times New Roman" w:cs="Times New Roman"/>
        </w:rPr>
      </w:pPr>
      <w:r w:rsidRPr="006D2720">
        <w:rPr>
          <w:rFonts w:ascii="Times New Roman" w:hAnsi="Times New Roman" w:cs="Times New Roman"/>
        </w:rPr>
        <w:t>endanger life or safety or increase the likelihood of harassment or discrimination</w:t>
      </w:r>
      <w:r w:rsidR="00646A73" w:rsidRPr="006D2720">
        <w:rPr>
          <w:rFonts w:ascii="Times New Roman" w:hAnsi="Times New Roman" w:cs="Times New Roman"/>
        </w:rPr>
        <w:t>; or</w:t>
      </w:r>
    </w:p>
    <w:p w14:paraId="54EC20A3" w14:textId="77777777" w:rsidR="008B18B4" w:rsidRPr="006D2720" w:rsidRDefault="006872E4">
      <w:pPr>
        <w:numPr>
          <w:ilvl w:val="0"/>
          <w:numId w:val="9"/>
        </w:numPr>
        <w:rPr>
          <w:rFonts w:ascii="Times New Roman" w:hAnsi="Times New Roman" w:cs="Times New Roman"/>
        </w:rPr>
      </w:pPr>
      <w:r w:rsidRPr="006D2720">
        <w:rPr>
          <w:rFonts w:ascii="Times New Roman" w:hAnsi="Times New Roman" w:cs="Times New Roman"/>
        </w:rPr>
        <w:t>disclose information collected for intelligence including criminal databases.</w:t>
      </w:r>
    </w:p>
    <w:p w14:paraId="64C94BFC" w14:textId="77777777" w:rsidR="008B18B4" w:rsidRPr="006D2720" w:rsidRDefault="008B18B4">
      <w:pPr>
        <w:rPr>
          <w:rFonts w:ascii="Times New Roman" w:hAnsi="Times New Roman" w:cs="Times New Roman"/>
        </w:rPr>
      </w:pPr>
      <w:r w:rsidRPr="006D2720">
        <w:rPr>
          <w:rFonts w:ascii="Times New Roman" w:hAnsi="Times New Roman" w:cs="Times New Roman"/>
        </w:rPr>
        <w:br w:type="page"/>
      </w:r>
    </w:p>
    <w:p w14:paraId="08E729A1" w14:textId="04DDAB6B" w:rsidR="00AE060C" w:rsidRPr="006D2720" w:rsidRDefault="002A2729" w:rsidP="004F4470">
      <w:pPr>
        <w:pStyle w:val="Heading3"/>
        <w:rPr>
          <w:rFonts w:ascii="Times New Roman" w:hAnsi="Times New Roman" w:cs="Times New Roman"/>
        </w:rPr>
      </w:pPr>
      <w:r w:rsidRPr="006D2720">
        <w:rPr>
          <w:rFonts w:ascii="Times New Roman" w:hAnsi="Times New Roman" w:cs="Times New Roman"/>
        </w:rPr>
        <w:t>In some cases</w:t>
      </w:r>
      <w:r w:rsidR="003C311B" w:rsidRPr="006D2720">
        <w:rPr>
          <w:rFonts w:ascii="Times New Roman" w:hAnsi="Times New Roman" w:cs="Times New Roman"/>
        </w:rPr>
        <w:t xml:space="preserve">, </w:t>
      </w:r>
      <w:r w:rsidR="005841A9" w:rsidRPr="006D2720">
        <w:rPr>
          <w:rFonts w:ascii="Times New Roman" w:hAnsi="Times New Roman" w:cs="Times New Roman"/>
        </w:rPr>
        <w:t>‘law enforcement information’</w:t>
      </w:r>
      <w:r w:rsidR="003C311B" w:rsidRPr="006D2720">
        <w:rPr>
          <w:rFonts w:ascii="Times New Roman" w:hAnsi="Times New Roman" w:cs="Times New Roman"/>
        </w:rPr>
        <w:t xml:space="preserve"> </w:t>
      </w:r>
      <w:r w:rsidR="005841A9" w:rsidRPr="006D2720">
        <w:rPr>
          <w:rFonts w:ascii="Times New Roman" w:hAnsi="Times New Roman" w:cs="Times New Roman"/>
        </w:rPr>
        <w:t xml:space="preserve">also </w:t>
      </w:r>
      <w:r w:rsidR="00CF3949" w:rsidRPr="006D2720">
        <w:rPr>
          <w:rFonts w:ascii="Times New Roman" w:hAnsi="Times New Roman" w:cs="Times New Roman"/>
        </w:rPr>
        <w:t>extend</w:t>
      </w:r>
      <w:r w:rsidR="005841A9" w:rsidRPr="006D2720">
        <w:rPr>
          <w:rFonts w:ascii="Times New Roman" w:hAnsi="Times New Roman" w:cs="Times New Roman"/>
        </w:rPr>
        <w:t>s</w:t>
      </w:r>
      <w:r w:rsidR="00CF3949" w:rsidRPr="006D2720">
        <w:rPr>
          <w:rFonts w:ascii="Times New Roman" w:hAnsi="Times New Roman" w:cs="Times New Roman"/>
        </w:rPr>
        <w:t xml:space="preserve"> to</w:t>
      </w:r>
      <w:r w:rsidRPr="006D2720">
        <w:rPr>
          <w:rFonts w:ascii="Times New Roman" w:hAnsi="Times New Roman" w:cs="Times New Roman"/>
        </w:rPr>
        <w:t xml:space="preserve"> information that </w:t>
      </w:r>
      <w:r w:rsidR="006872E4" w:rsidRPr="006D2720">
        <w:rPr>
          <w:rFonts w:ascii="Times New Roman" w:hAnsi="Times New Roman" w:cs="Times New Roman"/>
        </w:rPr>
        <w:t>may reveal unlawful behaviour by law enforcement bodies</w:t>
      </w:r>
      <w:r w:rsidR="00CF3949" w:rsidRPr="006D2720">
        <w:rPr>
          <w:rFonts w:ascii="Times New Roman" w:hAnsi="Times New Roman" w:cs="Times New Roman"/>
        </w:rPr>
        <w:t xml:space="preserve">, </w:t>
      </w:r>
      <w:r w:rsidR="002D36A3" w:rsidRPr="006D2720">
        <w:rPr>
          <w:rFonts w:ascii="Times New Roman" w:hAnsi="Times New Roman" w:cs="Times New Roman"/>
        </w:rPr>
        <w:t>such as information that reveals</w:t>
      </w:r>
      <w:r w:rsidR="00CF3949" w:rsidRPr="006D2720">
        <w:rPr>
          <w:rFonts w:ascii="Times New Roman" w:hAnsi="Times New Roman" w:cs="Times New Roman"/>
        </w:rPr>
        <w:t xml:space="preserve"> </w:t>
      </w:r>
      <w:r w:rsidR="002D36A3" w:rsidRPr="006D2720">
        <w:rPr>
          <w:rFonts w:ascii="Times New Roman" w:hAnsi="Times New Roman" w:cs="Times New Roman"/>
        </w:rPr>
        <w:t xml:space="preserve">the use of </w:t>
      </w:r>
      <w:r w:rsidR="00246D3E" w:rsidRPr="006D2720">
        <w:rPr>
          <w:rFonts w:ascii="Times New Roman" w:hAnsi="Times New Roman" w:cs="Times New Roman"/>
        </w:rPr>
        <w:t>illegal methods to investigate a crime</w:t>
      </w:r>
      <w:r w:rsidRPr="006D2720">
        <w:rPr>
          <w:rFonts w:ascii="Times New Roman" w:hAnsi="Times New Roman" w:cs="Times New Roman"/>
        </w:rPr>
        <w:t>. However, such information will only be included in the definition</w:t>
      </w:r>
      <w:r w:rsidR="009C2DEC" w:rsidRPr="006D2720">
        <w:rPr>
          <w:rFonts w:ascii="Times New Roman" w:hAnsi="Times New Roman" w:cs="Times New Roman"/>
        </w:rPr>
        <w:t>—and therefore exempt from compliance with certain PIPPs—</w:t>
      </w:r>
      <w:r w:rsidRPr="006D2720">
        <w:rPr>
          <w:rFonts w:ascii="Times New Roman" w:hAnsi="Times New Roman" w:cs="Times New Roman"/>
        </w:rPr>
        <w:t xml:space="preserve">if </w:t>
      </w:r>
      <w:r w:rsidR="009D4710" w:rsidRPr="006D2720">
        <w:rPr>
          <w:rFonts w:ascii="Times New Roman" w:hAnsi="Times New Roman" w:cs="Times New Roman"/>
        </w:rPr>
        <w:t>disclosure</w:t>
      </w:r>
      <w:r w:rsidRPr="006D2720">
        <w:rPr>
          <w:rFonts w:ascii="Times New Roman" w:hAnsi="Times New Roman" w:cs="Times New Roman"/>
        </w:rPr>
        <w:t xml:space="preserve"> of the information is </w:t>
      </w:r>
      <w:r w:rsidR="00E40AD2" w:rsidRPr="006D2720">
        <w:rPr>
          <w:rFonts w:ascii="Times New Roman" w:hAnsi="Times New Roman" w:cs="Times New Roman"/>
          <w:i/>
          <w:iCs/>
        </w:rPr>
        <w:t xml:space="preserve">not </w:t>
      </w:r>
      <w:r w:rsidR="00E40AD2" w:rsidRPr="006D2720">
        <w:rPr>
          <w:rFonts w:ascii="Times New Roman" w:hAnsi="Times New Roman" w:cs="Times New Roman"/>
        </w:rPr>
        <w:t>in</w:t>
      </w:r>
      <w:r w:rsidR="006872E4" w:rsidRPr="006D2720">
        <w:rPr>
          <w:rFonts w:ascii="Times New Roman" w:hAnsi="Times New Roman" w:cs="Times New Roman"/>
        </w:rPr>
        <w:t xml:space="preserve"> </w:t>
      </w:r>
      <w:r w:rsidR="00E40AD2" w:rsidRPr="006D2720">
        <w:rPr>
          <w:rFonts w:ascii="Times New Roman" w:hAnsi="Times New Roman" w:cs="Times New Roman"/>
        </w:rPr>
        <w:t>the</w:t>
      </w:r>
      <w:r w:rsidR="00B53474" w:rsidRPr="006D2720">
        <w:rPr>
          <w:rFonts w:ascii="Times New Roman" w:hAnsi="Times New Roman" w:cs="Times New Roman"/>
        </w:rPr>
        <w:t xml:space="preserve"> </w:t>
      </w:r>
      <w:r w:rsidR="006872E4" w:rsidRPr="006D2720">
        <w:rPr>
          <w:rFonts w:ascii="Times New Roman" w:hAnsi="Times New Roman" w:cs="Times New Roman"/>
        </w:rPr>
        <w:t>public interest.</w:t>
      </w:r>
      <w:r w:rsidR="00AE02DE" w:rsidRPr="006D2720">
        <w:rPr>
          <w:rStyle w:val="FootnoteReference"/>
          <w:rFonts w:ascii="Times New Roman" w:hAnsi="Times New Roman" w:cs="Times New Roman"/>
        </w:rPr>
        <w:footnoteReference w:id="122"/>
      </w:r>
      <w:r w:rsidR="006872E4" w:rsidRPr="006D2720">
        <w:rPr>
          <w:rFonts w:ascii="Times New Roman" w:hAnsi="Times New Roman" w:cs="Times New Roman"/>
        </w:rPr>
        <w:t xml:space="preserve"> </w:t>
      </w:r>
    </w:p>
    <w:p w14:paraId="1DC5DAB3" w14:textId="0F7DB6AB" w:rsidR="006872E4" w:rsidRPr="006D2720" w:rsidRDefault="00AE060C" w:rsidP="004F4470">
      <w:pPr>
        <w:pStyle w:val="Heading3"/>
        <w:rPr>
          <w:rFonts w:ascii="Times New Roman" w:hAnsi="Times New Roman" w:cs="Times New Roman"/>
        </w:rPr>
      </w:pPr>
      <w:r w:rsidRPr="006D2720">
        <w:rPr>
          <w:rFonts w:ascii="Times New Roman" w:hAnsi="Times New Roman" w:cs="Times New Roman"/>
        </w:rPr>
        <w:t>Whether disclosure of information is or is not in the public interest is determined by reference to a non-exhaustive list of matters set out in the</w:t>
      </w:r>
      <w:r w:rsidR="00CD5959" w:rsidRPr="006D2720">
        <w:rPr>
          <w:rFonts w:ascii="Times New Roman" w:hAnsi="Times New Roman" w:cs="Times New Roman"/>
        </w:rPr>
        <w:t xml:space="preserve"> </w:t>
      </w:r>
      <w:r w:rsidR="00CD5959" w:rsidRPr="006D2720">
        <w:rPr>
          <w:rFonts w:ascii="Times New Roman" w:hAnsi="Times New Roman" w:cs="Times New Roman"/>
          <w:i/>
          <w:iCs/>
        </w:rPr>
        <w:t xml:space="preserve">Right to Information Act 2009 </w:t>
      </w:r>
      <w:r w:rsidR="00CD5959" w:rsidRPr="006D2720">
        <w:rPr>
          <w:rFonts w:ascii="Times New Roman" w:hAnsi="Times New Roman" w:cs="Times New Roman"/>
        </w:rPr>
        <w:t>(Tas)</w:t>
      </w:r>
      <w:r w:rsidR="004B3BEA" w:rsidRPr="006D2720">
        <w:rPr>
          <w:rFonts w:ascii="Times New Roman" w:hAnsi="Times New Roman" w:cs="Times New Roman"/>
        </w:rPr>
        <w:t>.</w:t>
      </w:r>
      <w:r w:rsidR="00062967" w:rsidRPr="006D2720">
        <w:rPr>
          <w:rFonts w:ascii="Times New Roman" w:hAnsi="Times New Roman" w:cs="Times New Roman"/>
        </w:rPr>
        <w:t xml:space="preserve"> </w:t>
      </w:r>
      <w:r w:rsidR="00697917" w:rsidRPr="006D2720">
        <w:rPr>
          <w:rFonts w:ascii="Times New Roman" w:hAnsi="Times New Roman" w:cs="Times New Roman"/>
        </w:rPr>
        <w:t>F</w:t>
      </w:r>
      <w:r w:rsidR="00AC07F5" w:rsidRPr="006D2720">
        <w:rPr>
          <w:rFonts w:ascii="Times New Roman" w:hAnsi="Times New Roman" w:cs="Times New Roman"/>
        </w:rPr>
        <w:t>or example, whether disclosure would enhance scrutiny of government action and whether it would promote</w:t>
      </w:r>
      <w:r w:rsidR="00D24276" w:rsidRPr="006D2720">
        <w:rPr>
          <w:rFonts w:ascii="Times New Roman" w:hAnsi="Times New Roman" w:cs="Times New Roman"/>
        </w:rPr>
        <w:t xml:space="preserve"> or harm</w:t>
      </w:r>
      <w:r w:rsidR="00AC07F5" w:rsidRPr="006D2720">
        <w:rPr>
          <w:rFonts w:ascii="Times New Roman" w:hAnsi="Times New Roman" w:cs="Times New Roman"/>
        </w:rPr>
        <w:t xml:space="preserve"> the administration of justice.</w:t>
      </w:r>
      <w:r w:rsidR="00B8210C" w:rsidRPr="006D2720">
        <w:rPr>
          <w:rStyle w:val="FootnoteReference"/>
          <w:rFonts w:ascii="Times New Roman" w:hAnsi="Times New Roman" w:cs="Times New Roman"/>
        </w:rPr>
        <w:footnoteReference w:id="123"/>
      </w:r>
    </w:p>
    <w:p w14:paraId="04AFE71D" w14:textId="546EAE86" w:rsidR="00B61C7D" w:rsidRPr="006D2720" w:rsidRDefault="00D058F7" w:rsidP="00083989">
      <w:pPr>
        <w:pStyle w:val="Heading3"/>
        <w:rPr>
          <w:rFonts w:ascii="Times New Roman" w:hAnsi="Times New Roman" w:cs="Times New Roman"/>
        </w:rPr>
      </w:pPr>
      <w:r w:rsidRPr="006D2720">
        <w:rPr>
          <w:rFonts w:ascii="Times New Roman" w:hAnsi="Times New Roman" w:cs="Times New Roman"/>
        </w:rPr>
        <w:t>Under the PIPA, l</w:t>
      </w:r>
      <w:r w:rsidR="0066544C" w:rsidRPr="006D2720">
        <w:rPr>
          <w:rFonts w:ascii="Times New Roman" w:hAnsi="Times New Roman" w:cs="Times New Roman"/>
        </w:rPr>
        <w:t xml:space="preserve">aw enforcement information is exempt </w:t>
      </w:r>
      <w:r w:rsidR="00D95104" w:rsidRPr="006D2720">
        <w:rPr>
          <w:rFonts w:ascii="Times New Roman" w:hAnsi="Times New Roman" w:cs="Times New Roman"/>
        </w:rPr>
        <w:t>from</w:t>
      </w:r>
      <w:r w:rsidR="0066544C" w:rsidRPr="006D2720">
        <w:rPr>
          <w:rFonts w:ascii="Times New Roman" w:hAnsi="Times New Roman" w:cs="Times New Roman"/>
        </w:rPr>
        <w:t xml:space="preserve"> </w:t>
      </w:r>
      <w:r w:rsidR="00582EED" w:rsidRPr="006D2720">
        <w:rPr>
          <w:rFonts w:ascii="Times New Roman" w:hAnsi="Times New Roman" w:cs="Times New Roman"/>
        </w:rPr>
        <w:t>several PIPPs</w:t>
      </w:r>
      <w:r w:rsidR="0066544C" w:rsidRPr="006D2720">
        <w:rPr>
          <w:rFonts w:ascii="Times New Roman" w:hAnsi="Times New Roman" w:cs="Times New Roman"/>
        </w:rPr>
        <w:t xml:space="preserve"> in certain circumstances </w:t>
      </w:r>
      <w:r w:rsidR="00E0302A" w:rsidRPr="006D2720">
        <w:rPr>
          <w:rFonts w:ascii="Times New Roman" w:hAnsi="Times New Roman" w:cs="Times New Roman"/>
        </w:rPr>
        <w:t xml:space="preserve">where </w:t>
      </w:r>
      <w:r w:rsidR="0066544C" w:rsidRPr="006D2720">
        <w:rPr>
          <w:rFonts w:ascii="Times New Roman" w:hAnsi="Times New Roman" w:cs="Times New Roman"/>
        </w:rPr>
        <w:t>the law enforcement agency</w:t>
      </w:r>
      <w:r w:rsidR="00055FA3" w:rsidRPr="006D2720">
        <w:rPr>
          <w:rFonts w:ascii="Times New Roman" w:hAnsi="Times New Roman" w:cs="Times New Roman"/>
        </w:rPr>
        <w:t xml:space="preserve"> considers </w:t>
      </w:r>
      <w:r w:rsidR="00432A20" w:rsidRPr="006D2720">
        <w:rPr>
          <w:rFonts w:ascii="Times New Roman" w:hAnsi="Times New Roman" w:cs="Times New Roman"/>
        </w:rPr>
        <w:t>exemption</w:t>
      </w:r>
      <w:r w:rsidR="00055FA3" w:rsidRPr="006D2720">
        <w:rPr>
          <w:rFonts w:ascii="Times New Roman" w:hAnsi="Times New Roman" w:cs="Times New Roman"/>
        </w:rPr>
        <w:t xml:space="preserve"> appropriate</w:t>
      </w:r>
      <w:r w:rsidR="00582EED" w:rsidRPr="006D2720">
        <w:rPr>
          <w:rFonts w:ascii="Times New Roman" w:hAnsi="Times New Roman" w:cs="Times New Roman"/>
        </w:rPr>
        <w:t>.</w:t>
      </w:r>
      <w:r w:rsidR="00582EED" w:rsidRPr="006D2720">
        <w:rPr>
          <w:rStyle w:val="FootnoteReference"/>
          <w:rFonts w:ascii="Times New Roman" w:hAnsi="Times New Roman" w:cs="Times New Roman"/>
        </w:rPr>
        <w:footnoteReference w:id="124"/>
      </w:r>
      <w:r w:rsidR="00083989" w:rsidRPr="006D2720">
        <w:rPr>
          <w:rFonts w:ascii="Times New Roman" w:hAnsi="Times New Roman" w:cs="Times New Roman"/>
        </w:rPr>
        <w:t xml:space="preserve"> </w:t>
      </w:r>
      <w:r w:rsidR="00B61C7D" w:rsidRPr="006D2720">
        <w:rPr>
          <w:rFonts w:ascii="Times New Roman" w:hAnsi="Times New Roman" w:cs="Times New Roman"/>
        </w:rPr>
        <w:t xml:space="preserve">Specifically, </w:t>
      </w:r>
      <w:r w:rsidR="004B15A6" w:rsidRPr="006D2720">
        <w:rPr>
          <w:rFonts w:ascii="Times New Roman" w:hAnsi="Times New Roman" w:cs="Times New Roman"/>
        </w:rPr>
        <w:t>where</w:t>
      </w:r>
      <w:r w:rsidR="00B61C7D" w:rsidRPr="006D2720">
        <w:rPr>
          <w:rFonts w:ascii="Times New Roman" w:hAnsi="Times New Roman" w:cs="Times New Roman"/>
        </w:rPr>
        <w:t xml:space="preserve"> </w:t>
      </w:r>
      <w:r w:rsidR="008A30FE" w:rsidRPr="006D2720">
        <w:rPr>
          <w:rFonts w:ascii="Times New Roman" w:hAnsi="Times New Roman" w:cs="Times New Roman"/>
        </w:rPr>
        <w:t>it</w:t>
      </w:r>
      <w:r w:rsidR="002736A2" w:rsidRPr="006D2720">
        <w:rPr>
          <w:rFonts w:ascii="Times New Roman" w:hAnsi="Times New Roman" w:cs="Times New Roman"/>
        </w:rPr>
        <w:t xml:space="preserve"> </w:t>
      </w:r>
      <w:r w:rsidR="008D41A2" w:rsidRPr="006D2720">
        <w:rPr>
          <w:rFonts w:ascii="Times New Roman" w:hAnsi="Times New Roman" w:cs="Times New Roman"/>
        </w:rPr>
        <w:t>c</w:t>
      </w:r>
      <w:r w:rsidR="00B61C7D" w:rsidRPr="006D2720">
        <w:rPr>
          <w:rFonts w:ascii="Times New Roman" w:hAnsi="Times New Roman" w:cs="Times New Roman"/>
        </w:rPr>
        <w:t>onsider</w:t>
      </w:r>
      <w:r w:rsidR="008A30FE" w:rsidRPr="006D2720">
        <w:rPr>
          <w:rFonts w:ascii="Times New Roman" w:hAnsi="Times New Roman" w:cs="Times New Roman"/>
        </w:rPr>
        <w:t>s</w:t>
      </w:r>
      <w:r w:rsidR="002736A2" w:rsidRPr="006D2720">
        <w:rPr>
          <w:rFonts w:ascii="Times New Roman" w:hAnsi="Times New Roman" w:cs="Times New Roman"/>
        </w:rPr>
        <w:t xml:space="preserve"> </w:t>
      </w:r>
      <w:r w:rsidR="00B61C7D" w:rsidRPr="006D2720">
        <w:rPr>
          <w:rFonts w:ascii="Times New Roman" w:hAnsi="Times New Roman" w:cs="Times New Roman"/>
        </w:rPr>
        <w:t xml:space="preserve">that </w:t>
      </w:r>
      <w:r w:rsidR="000D6C7D" w:rsidRPr="006D2720">
        <w:rPr>
          <w:rFonts w:ascii="Times New Roman" w:hAnsi="Times New Roman" w:cs="Times New Roman"/>
        </w:rPr>
        <w:t>non-compliance</w:t>
      </w:r>
      <w:r w:rsidR="009C2DEC" w:rsidRPr="006D2720">
        <w:rPr>
          <w:rFonts w:ascii="Times New Roman" w:hAnsi="Times New Roman" w:cs="Times New Roman"/>
        </w:rPr>
        <w:t xml:space="preserve"> with the PIPP</w:t>
      </w:r>
      <w:r w:rsidR="000D6C7D" w:rsidRPr="006D2720">
        <w:rPr>
          <w:rFonts w:ascii="Times New Roman" w:hAnsi="Times New Roman" w:cs="Times New Roman"/>
        </w:rPr>
        <w:t xml:space="preserve"> </w:t>
      </w:r>
      <w:r w:rsidR="00B61C7D" w:rsidRPr="006D2720">
        <w:rPr>
          <w:rFonts w:ascii="Times New Roman" w:hAnsi="Times New Roman" w:cs="Times New Roman"/>
        </w:rPr>
        <w:t>is reasonably necessary:</w:t>
      </w:r>
    </w:p>
    <w:p w14:paraId="129B3FD2" w14:textId="6A64A55F" w:rsidR="00B61C7D" w:rsidRPr="006D2720" w:rsidRDefault="006872E4" w:rsidP="00B61C7D">
      <w:pPr>
        <w:pStyle w:val="Dotpointlist"/>
        <w:rPr>
          <w:rFonts w:ascii="Times New Roman" w:hAnsi="Times New Roman" w:cs="Times New Roman"/>
        </w:rPr>
      </w:pPr>
      <w:r w:rsidRPr="006D2720">
        <w:rPr>
          <w:rFonts w:ascii="Times New Roman" w:hAnsi="Times New Roman" w:cs="Times New Roman"/>
        </w:rPr>
        <w:t>for the purpose of any of its functions or activities</w:t>
      </w:r>
      <w:r w:rsidR="00B61C7D" w:rsidRPr="006D2720">
        <w:rPr>
          <w:rFonts w:ascii="Times New Roman" w:hAnsi="Times New Roman" w:cs="Times New Roman"/>
        </w:rPr>
        <w:t xml:space="preserve">; </w:t>
      </w:r>
    </w:p>
    <w:p w14:paraId="164E108A" w14:textId="3886BFDB" w:rsidR="00B61C7D" w:rsidRPr="006D2720" w:rsidRDefault="00B61C7D" w:rsidP="00B61C7D">
      <w:pPr>
        <w:pStyle w:val="Dotpointlist"/>
        <w:rPr>
          <w:rFonts w:ascii="Times New Roman" w:hAnsi="Times New Roman" w:cs="Times New Roman"/>
        </w:rPr>
      </w:pPr>
      <w:r w:rsidRPr="006D2720">
        <w:rPr>
          <w:rFonts w:ascii="Times New Roman" w:hAnsi="Times New Roman" w:cs="Times New Roman"/>
        </w:rPr>
        <w:t xml:space="preserve">for the enforcement of laws relating to confiscating </w:t>
      </w:r>
      <w:r w:rsidR="006872E4" w:rsidRPr="006D2720">
        <w:rPr>
          <w:rFonts w:ascii="Times New Roman" w:hAnsi="Times New Roman" w:cs="Times New Roman"/>
        </w:rPr>
        <w:t>proceeds of crime</w:t>
      </w:r>
      <w:r w:rsidRPr="006D2720">
        <w:rPr>
          <w:rFonts w:ascii="Times New Roman" w:hAnsi="Times New Roman" w:cs="Times New Roman"/>
        </w:rPr>
        <w:t>; or</w:t>
      </w:r>
    </w:p>
    <w:p w14:paraId="3D39ADE8" w14:textId="247B07F5" w:rsidR="00C748AA" w:rsidRPr="006D2720" w:rsidRDefault="006872E4" w:rsidP="0066337D">
      <w:pPr>
        <w:pStyle w:val="Dotpointlist"/>
        <w:rPr>
          <w:rFonts w:ascii="Times New Roman" w:hAnsi="Times New Roman" w:cs="Times New Roman"/>
        </w:rPr>
      </w:pPr>
      <w:r w:rsidRPr="006D2720">
        <w:rPr>
          <w:rFonts w:ascii="Times New Roman" w:hAnsi="Times New Roman" w:cs="Times New Roman"/>
        </w:rPr>
        <w:t xml:space="preserve">in connection with </w:t>
      </w:r>
      <w:r w:rsidR="00F90134" w:rsidRPr="006D2720">
        <w:rPr>
          <w:rFonts w:ascii="Times New Roman" w:hAnsi="Times New Roman" w:cs="Times New Roman"/>
        </w:rPr>
        <w:t xml:space="preserve">the </w:t>
      </w:r>
      <w:r w:rsidRPr="006D2720">
        <w:rPr>
          <w:rFonts w:ascii="Times New Roman" w:hAnsi="Times New Roman" w:cs="Times New Roman"/>
        </w:rPr>
        <w:t>conduct of proceedings in any court or tribunal.</w:t>
      </w:r>
      <w:r w:rsidR="00A15A9B" w:rsidRPr="006D2720">
        <w:rPr>
          <w:rStyle w:val="FootnoteReference"/>
          <w:rFonts w:ascii="Times New Roman" w:hAnsi="Times New Roman" w:cs="Times New Roman"/>
        </w:rPr>
        <w:footnoteReference w:id="125"/>
      </w:r>
      <w:r w:rsidR="00DE0A0F" w:rsidRPr="006D2720">
        <w:rPr>
          <w:rFonts w:ascii="Times New Roman" w:hAnsi="Times New Roman" w:cs="Times New Roman"/>
        </w:rPr>
        <w:t xml:space="preserve"> </w:t>
      </w:r>
    </w:p>
    <w:p w14:paraId="4A63D846" w14:textId="7E6FC996" w:rsidR="006872E4" w:rsidRPr="006D2720" w:rsidRDefault="00031AE1" w:rsidP="0066337D">
      <w:pPr>
        <w:pStyle w:val="Heading3"/>
        <w:rPr>
          <w:rFonts w:ascii="Times New Roman" w:hAnsi="Times New Roman" w:cs="Times New Roman"/>
        </w:rPr>
      </w:pPr>
      <w:r w:rsidRPr="006D2720">
        <w:rPr>
          <w:rFonts w:ascii="Times New Roman" w:hAnsi="Times New Roman" w:cs="Times New Roman"/>
        </w:rPr>
        <w:t>‘</w:t>
      </w:r>
      <w:r w:rsidR="00DE0A0F" w:rsidRPr="006D2720">
        <w:rPr>
          <w:rFonts w:ascii="Times New Roman" w:hAnsi="Times New Roman" w:cs="Times New Roman"/>
        </w:rPr>
        <w:t xml:space="preserve">Law </w:t>
      </w:r>
      <w:r w:rsidR="00146C8C" w:rsidRPr="006D2720">
        <w:rPr>
          <w:rFonts w:ascii="Times New Roman" w:hAnsi="Times New Roman" w:cs="Times New Roman"/>
        </w:rPr>
        <w:t>enforcement agenc</w:t>
      </w:r>
      <w:r w:rsidRPr="006D2720">
        <w:rPr>
          <w:rFonts w:ascii="Times New Roman" w:hAnsi="Times New Roman" w:cs="Times New Roman"/>
        </w:rPr>
        <w:t>y’</w:t>
      </w:r>
      <w:r w:rsidR="00146C8C" w:rsidRPr="006D2720">
        <w:rPr>
          <w:rFonts w:ascii="Times New Roman" w:hAnsi="Times New Roman" w:cs="Times New Roman"/>
        </w:rPr>
        <w:t xml:space="preserve"> </w:t>
      </w:r>
      <w:r w:rsidR="006813A6" w:rsidRPr="006D2720">
        <w:rPr>
          <w:rFonts w:ascii="Times New Roman" w:hAnsi="Times New Roman" w:cs="Times New Roman"/>
        </w:rPr>
        <w:t>cover</w:t>
      </w:r>
      <w:r w:rsidRPr="006D2720">
        <w:rPr>
          <w:rFonts w:ascii="Times New Roman" w:hAnsi="Times New Roman" w:cs="Times New Roman"/>
        </w:rPr>
        <w:t>s</w:t>
      </w:r>
      <w:r w:rsidR="006813A6" w:rsidRPr="006D2720">
        <w:rPr>
          <w:rFonts w:ascii="Times New Roman" w:hAnsi="Times New Roman" w:cs="Times New Roman"/>
        </w:rPr>
        <w:t xml:space="preserve"> a wide variety of bodies involved with law enforcement</w:t>
      </w:r>
      <w:r w:rsidR="00DC6740" w:rsidRPr="006D2720">
        <w:rPr>
          <w:rFonts w:ascii="Times New Roman" w:hAnsi="Times New Roman" w:cs="Times New Roman"/>
        </w:rPr>
        <w:t xml:space="preserve">. </w:t>
      </w:r>
      <w:r w:rsidR="00040F1D" w:rsidRPr="006D2720">
        <w:rPr>
          <w:rFonts w:ascii="Times New Roman" w:hAnsi="Times New Roman" w:cs="Times New Roman"/>
        </w:rPr>
        <w:t>Among others, t</w:t>
      </w:r>
      <w:r w:rsidR="00DC6740" w:rsidRPr="006D2720">
        <w:rPr>
          <w:rFonts w:ascii="Times New Roman" w:hAnsi="Times New Roman" w:cs="Times New Roman"/>
        </w:rPr>
        <w:t xml:space="preserve">his includes </w:t>
      </w:r>
      <w:r w:rsidR="0041024F" w:rsidRPr="006D2720">
        <w:rPr>
          <w:rFonts w:ascii="Times New Roman" w:hAnsi="Times New Roman" w:cs="Times New Roman"/>
        </w:rPr>
        <w:t>police forces (</w:t>
      </w:r>
      <w:r w:rsidR="005A3E8F" w:rsidRPr="006D2720">
        <w:rPr>
          <w:rFonts w:ascii="Times New Roman" w:hAnsi="Times New Roman" w:cs="Times New Roman"/>
        </w:rPr>
        <w:t>of</w:t>
      </w:r>
      <w:r w:rsidR="0041024F" w:rsidRPr="006D2720">
        <w:rPr>
          <w:rFonts w:ascii="Times New Roman" w:hAnsi="Times New Roman" w:cs="Times New Roman"/>
        </w:rPr>
        <w:t xml:space="preserve"> the Commonwealth, other </w:t>
      </w:r>
      <w:r w:rsidR="00ED152E" w:rsidRPr="006D2720">
        <w:rPr>
          <w:rFonts w:ascii="Times New Roman" w:hAnsi="Times New Roman" w:cs="Times New Roman"/>
        </w:rPr>
        <w:t>s</w:t>
      </w:r>
      <w:r w:rsidR="0041024F" w:rsidRPr="006D2720">
        <w:rPr>
          <w:rFonts w:ascii="Times New Roman" w:hAnsi="Times New Roman" w:cs="Times New Roman"/>
        </w:rPr>
        <w:t xml:space="preserve">tates or </w:t>
      </w:r>
      <w:r w:rsidR="00ED152E" w:rsidRPr="006D2720">
        <w:rPr>
          <w:rFonts w:ascii="Times New Roman" w:hAnsi="Times New Roman" w:cs="Times New Roman"/>
        </w:rPr>
        <w:t>t</w:t>
      </w:r>
      <w:r w:rsidR="0041024F" w:rsidRPr="006D2720">
        <w:rPr>
          <w:rFonts w:ascii="Times New Roman" w:hAnsi="Times New Roman" w:cs="Times New Roman"/>
        </w:rPr>
        <w:t>erritories, and foreign countries), Tasmanian entities responsible for protecting public revenue</w:t>
      </w:r>
      <w:r w:rsidR="00D1340E" w:rsidRPr="006D2720">
        <w:rPr>
          <w:rFonts w:ascii="Times New Roman" w:hAnsi="Times New Roman" w:cs="Times New Roman"/>
        </w:rPr>
        <w:t xml:space="preserve"> (for example, levies, taxes, rates and royalties)</w:t>
      </w:r>
      <w:r w:rsidR="004F4041" w:rsidRPr="006D2720">
        <w:rPr>
          <w:rFonts w:ascii="Times New Roman" w:hAnsi="Times New Roman" w:cs="Times New Roman"/>
        </w:rPr>
        <w:t xml:space="preserve">, </w:t>
      </w:r>
      <w:r w:rsidR="00040F1D" w:rsidRPr="006D2720">
        <w:rPr>
          <w:rFonts w:ascii="Times New Roman" w:hAnsi="Times New Roman" w:cs="Times New Roman"/>
        </w:rPr>
        <w:t xml:space="preserve">and </w:t>
      </w:r>
      <w:r w:rsidR="0041024F" w:rsidRPr="006D2720">
        <w:rPr>
          <w:rFonts w:ascii="Times New Roman" w:hAnsi="Times New Roman" w:cs="Times New Roman"/>
        </w:rPr>
        <w:t>Tasmanian entities responsible for administering or performing functions that impose a penalty or sanction.</w:t>
      </w:r>
      <w:r w:rsidR="008A4A39" w:rsidRPr="006D2720">
        <w:rPr>
          <w:rStyle w:val="FootnoteReference"/>
          <w:rFonts w:ascii="Times New Roman" w:hAnsi="Times New Roman" w:cs="Times New Roman"/>
        </w:rPr>
        <w:footnoteReference w:id="126"/>
      </w:r>
    </w:p>
    <w:p w14:paraId="182FB3E5" w14:textId="5C81610D" w:rsidR="00C413AC" w:rsidRPr="006D2720" w:rsidRDefault="00A67410" w:rsidP="0066337D">
      <w:pPr>
        <w:pStyle w:val="Heading3"/>
        <w:rPr>
          <w:rFonts w:ascii="Times New Roman" w:hAnsi="Times New Roman" w:cs="Times New Roman"/>
        </w:rPr>
      </w:pPr>
      <w:r w:rsidRPr="006D2720">
        <w:rPr>
          <w:rFonts w:ascii="Times New Roman" w:hAnsi="Times New Roman" w:cs="Times New Roman"/>
        </w:rPr>
        <w:t>I</w:t>
      </w:r>
      <w:r w:rsidR="00F90DD2" w:rsidRPr="006D2720">
        <w:rPr>
          <w:rFonts w:ascii="Times New Roman" w:hAnsi="Times New Roman" w:cs="Times New Roman"/>
        </w:rPr>
        <w:t xml:space="preserve">nformation may also be subject to exceptions where </w:t>
      </w:r>
      <w:r w:rsidR="001F7DC2" w:rsidRPr="006D2720">
        <w:rPr>
          <w:rFonts w:ascii="Times New Roman" w:hAnsi="Times New Roman" w:cs="Times New Roman"/>
        </w:rPr>
        <w:t xml:space="preserve">it could be </w:t>
      </w:r>
      <w:r w:rsidR="001F7DC2" w:rsidRPr="006D2720">
        <w:rPr>
          <w:rFonts w:ascii="Times New Roman" w:hAnsi="Times New Roman" w:cs="Times New Roman"/>
          <w:i/>
          <w:iCs/>
        </w:rPr>
        <w:t xml:space="preserve">useful to </w:t>
      </w:r>
      <w:r w:rsidR="001F7DC2" w:rsidRPr="006D2720">
        <w:rPr>
          <w:rFonts w:ascii="Times New Roman" w:hAnsi="Times New Roman" w:cs="Times New Roman"/>
        </w:rPr>
        <w:t xml:space="preserve">law enforcement agencies. </w:t>
      </w:r>
      <w:r w:rsidR="00925939" w:rsidRPr="006D2720">
        <w:rPr>
          <w:rFonts w:ascii="Times New Roman" w:hAnsi="Times New Roman" w:cs="Times New Roman"/>
        </w:rPr>
        <w:t xml:space="preserve">PIPP 2 generally requires that personal information be used and disclosed </w:t>
      </w:r>
      <w:r w:rsidR="00E872EC" w:rsidRPr="006D2720">
        <w:rPr>
          <w:rFonts w:ascii="Times New Roman" w:hAnsi="Times New Roman" w:cs="Times New Roman"/>
        </w:rPr>
        <w:t xml:space="preserve">only </w:t>
      </w:r>
      <w:r w:rsidR="00925939" w:rsidRPr="006D2720">
        <w:rPr>
          <w:rFonts w:ascii="Times New Roman" w:hAnsi="Times New Roman" w:cs="Times New Roman"/>
        </w:rPr>
        <w:t xml:space="preserve">for the purpose for which it was collected. However, </w:t>
      </w:r>
      <w:r w:rsidR="003129F7" w:rsidRPr="006D2720">
        <w:rPr>
          <w:rFonts w:ascii="Times New Roman" w:hAnsi="Times New Roman" w:cs="Times New Roman"/>
        </w:rPr>
        <w:t>an exception exists where the</w:t>
      </w:r>
      <w:r w:rsidR="00CD3090" w:rsidRPr="006D2720">
        <w:rPr>
          <w:rFonts w:ascii="Times New Roman" w:hAnsi="Times New Roman" w:cs="Times New Roman"/>
        </w:rPr>
        <w:t xml:space="preserve"> information</w:t>
      </w:r>
      <w:r w:rsidR="003129F7" w:rsidRPr="006D2720">
        <w:rPr>
          <w:rFonts w:ascii="Times New Roman" w:hAnsi="Times New Roman" w:cs="Times New Roman"/>
        </w:rPr>
        <w:t xml:space="preserve"> custodian reasonably believes </w:t>
      </w:r>
      <w:r w:rsidR="00042999" w:rsidRPr="006D2720">
        <w:rPr>
          <w:rFonts w:ascii="Times New Roman" w:hAnsi="Times New Roman" w:cs="Times New Roman"/>
        </w:rPr>
        <w:t>that its use and disclosure</w:t>
      </w:r>
      <w:r w:rsidR="003129F7" w:rsidRPr="006D2720">
        <w:rPr>
          <w:rFonts w:ascii="Times New Roman" w:hAnsi="Times New Roman" w:cs="Times New Roman"/>
        </w:rPr>
        <w:t xml:space="preserve"> is reasonably necessary </w:t>
      </w:r>
      <w:r w:rsidR="00042999" w:rsidRPr="006D2720">
        <w:rPr>
          <w:rFonts w:ascii="Times New Roman" w:hAnsi="Times New Roman" w:cs="Times New Roman"/>
        </w:rPr>
        <w:t>for various purposes</w:t>
      </w:r>
      <w:r w:rsidR="006779CF" w:rsidRPr="006D2720">
        <w:rPr>
          <w:rFonts w:ascii="Times New Roman" w:hAnsi="Times New Roman" w:cs="Times New Roman"/>
        </w:rPr>
        <w:t xml:space="preserve"> </w:t>
      </w:r>
      <w:r w:rsidR="00042999" w:rsidRPr="006D2720">
        <w:rPr>
          <w:rFonts w:ascii="Times New Roman" w:hAnsi="Times New Roman" w:cs="Times New Roman"/>
        </w:rPr>
        <w:t xml:space="preserve">by </w:t>
      </w:r>
      <w:r w:rsidR="00770D2A" w:rsidRPr="006D2720">
        <w:rPr>
          <w:rFonts w:ascii="Times New Roman" w:hAnsi="Times New Roman" w:cs="Times New Roman"/>
        </w:rPr>
        <w:t xml:space="preserve">a law enforcement agency </w:t>
      </w:r>
      <w:r w:rsidR="00042999" w:rsidRPr="006D2720">
        <w:rPr>
          <w:rFonts w:ascii="Times New Roman" w:hAnsi="Times New Roman" w:cs="Times New Roman"/>
        </w:rPr>
        <w:t xml:space="preserve">or on </w:t>
      </w:r>
      <w:r w:rsidR="00312800" w:rsidRPr="006D2720">
        <w:rPr>
          <w:rFonts w:ascii="Times New Roman" w:hAnsi="Times New Roman" w:cs="Times New Roman"/>
        </w:rPr>
        <w:t xml:space="preserve">its </w:t>
      </w:r>
      <w:r w:rsidR="00042999" w:rsidRPr="006D2720">
        <w:rPr>
          <w:rFonts w:ascii="Times New Roman" w:hAnsi="Times New Roman" w:cs="Times New Roman"/>
        </w:rPr>
        <w:t>behalf</w:t>
      </w:r>
      <w:r w:rsidR="00DF64AA" w:rsidRPr="006D2720">
        <w:rPr>
          <w:rFonts w:ascii="Times New Roman" w:hAnsi="Times New Roman" w:cs="Times New Roman"/>
        </w:rPr>
        <w:t>.</w:t>
      </w:r>
      <w:r w:rsidR="00FA7961" w:rsidRPr="006D2720">
        <w:rPr>
          <w:rStyle w:val="FootnoteReference"/>
          <w:rFonts w:ascii="Times New Roman" w:hAnsi="Times New Roman" w:cs="Times New Roman"/>
        </w:rPr>
        <w:footnoteReference w:id="127"/>
      </w:r>
    </w:p>
    <w:p w14:paraId="736CC7B3" w14:textId="6B24BAB7" w:rsidR="006872E4" w:rsidRPr="006D2720" w:rsidRDefault="006872E4" w:rsidP="0066337D">
      <w:pPr>
        <w:pStyle w:val="Heading3"/>
        <w:rPr>
          <w:rFonts w:ascii="Times New Roman" w:hAnsi="Times New Roman" w:cs="Times New Roman"/>
        </w:rPr>
      </w:pPr>
      <w:r w:rsidRPr="006D2720">
        <w:rPr>
          <w:rFonts w:ascii="Times New Roman" w:hAnsi="Times New Roman" w:cs="Times New Roman"/>
        </w:rPr>
        <w:t xml:space="preserve">Other </w:t>
      </w:r>
      <w:r w:rsidR="00ED152E" w:rsidRPr="006D2720">
        <w:rPr>
          <w:rFonts w:ascii="Times New Roman" w:hAnsi="Times New Roman" w:cs="Times New Roman"/>
        </w:rPr>
        <w:t>s</w:t>
      </w:r>
      <w:r w:rsidR="00315FC4" w:rsidRPr="006D2720">
        <w:rPr>
          <w:rFonts w:ascii="Times New Roman" w:hAnsi="Times New Roman" w:cs="Times New Roman"/>
        </w:rPr>
        <w:t>tate</w:t>
      </w:r>
      <w:r w:rsidR="00FA290C" w:rsidRPr="006D2720">
        <w:rPr>
          <w:rFonts w:ascii="Times New Roman" w:hAnsi="Times New Roman" w:cs="Times New Roman"/>
        </w:rPr>
        <w:t xml:space="preserve"> jurisdictions</w:t>
      </w:r>
      <w:r w:rsidR="00315FC4" w:rsidRPr="006D2720">
        <w:rPr>
          <w:rFonts w:ascii="Times New Roman" w:hAnsi="Times New Roman" w:cs="Times New Roman"/>
        </w:rPr>
        <w:t xml:space="preserve"> </w:t>
      </w:r>
      <w:r w:rsidRPr="006D2720">
        <w:rPr>
          <w:rFonts w:ascii="Times New Roman" w:hAnsi="Times New Roman" w:cs="Times New Roman"/>
        </w:rPr>
        <w:t>also provide exemptions for law enforcement agencies and activities</w:t>
      </w:r>
      <w:r w:rsidR="00315FC4" w:rsidRPr="006D2720">
        <w:rPr>
          <w:rFonts w:ascii="Times New Roman" w:hAnsi="Times New Roman" w:cs="Times New Roman"/>
        </w:rPr>
        <w:t xml:space="preserve">, including </w:t>
      </w:r>
      <w:r w:rsidR="00614884" w:rsidRPr="006D2720">
        <w:rPr>
          <w:rFonts w:ascii="Times New Roman" w:hAnsi="Times New Roman" w:cs="Times New Roman"/>
        </w:rPr>
        <w:t>NSW</w:t>
      </w:r>
      <w:r w:rsidR="00315FC4" w:rsidRPr="006D2720">
        <w:rPr>
          <w:rFonts w:ascii="Times New Roman" w:hAnsi="Times New Roman" w:cs="Times New Roman"/>
        </w:rPr>
        <w:t>, Victoria, and Queensland</w:t>
      </w:r>
      <w:r w:rsidRPr="006D2720">
        <w:rPr>
          <w:rFonts w:ascii="Times New Roman" w:hAnsi="Times New Roman" w:cs="Times New Roman"/>
        </w:rPr>
        <w:t>.</w:t>
      </w:r>
      <w:r w:rsidRPr="006D2720">
        <w:rPr>
          <w:rStyle w:val="FootnoteReference"/>
          <w:rFonts w:ascii="Times New Roman" w:hAnsi="Times New Roman" w:cs="Times New Roman"/>
        </w:rPr>
        <w:footnoteReference w:id="128"/>
      </w:r>
      <w:r w:rsidRPr="006D2720">
        <w:rPr>
          <w:rFonts w:ascii="Times New Roman" w:hAnsi="Times New Roman" w:cs="Times New Roman"/>
        </w:rPr>
        <w:t xml:space="preserve"> </w:t>
      </w:r>
      <w:r w:rsidR="00591549" w:rsidRPr="006D2720">
        <w:rPr>
          <w:rFonts w:ascii="Times New Roman" w:hAnsi="Times New Roman" w:cs="Times New Roman"/>
        </w:rPr>
        <w:t>In contrast</w:t>
      </w:r>
      <w:r w:rsidR="00315FC4" w:rsidRPr="006D2720">
        <w:rPr>
          <w:rFonts w:ascii="Times New Roman" w:hAnsi="Times New Roman" w:cs="Times New Roman"/>
        </w:rPr>
        <w:t xml:space="preserve">, </w:t>
      </w:r>
      <w:r w:rsidR="00FA290C" w:rsidRPr="006D2720">
        <w:rPr>
          <w:rFonts w:ascii="Times New Roman" w:hAnsi="Times New Roman" w:cs="Times New Roman"/>
        </w:rPr>
        <w:t xml:space="preserve">in the Commonwealth jurisdiction, </w:t>
      </w:r>
      <w:r w:rsidR="00315FC4" w:rsidRPr="006D2720">
        <w:rPr>
          <w:rFonts w:ascii="Times New Roman" w:hAnsi="Times New Roman" w:cs="Times New Roman"/>
        </w:rPr>
        <w:t xml:space="preserve">the </w:t>
      </w:r>
      <w:r w:rsidRPr="006D2720">
        <w:rPr>
          <w:rFonts w:ascii="Times New Roman" w:hAnsi="Times New Roman" w:cs="Times New Roman"/>
        </w:rPr>
        <w:t>Privacy Act does not have a general exemption for law enforcement activities</w:t>
      </w:r>
      <w:r w:rsidR="00315FC4" w:rsidRPr="006D2720">
        <w:rPr>
          <w:rFonts w:ascii="Times New Roman" w:hAnsi="Times New Roman" w:cs="Times New Roman"/>
        </w:rPr>
        <w:t>. However,</w:t>
      </w:r>
      <w:r w:rsidRPr="006D2720">
        <w:rPr>
          <w:rFonts w:ascii="Times New Roman" w:hAnsi="Times New Roman" w:cs="Times New Roman"/>
        </w:rPr>
        <w:t xml:space="preserve"> </w:t>
      </w:r>
      <w:r w:rsidR="00ED152E" w:rsidRPr="006D2720">
        <w:rPr>
          <w:rFonts w:ascii="Times New Roman" w:hAnsi="Times New Roman" w:cs="Times New Roman"/>
        </w:rPr>
        <w:t xml:space="preserve">if other legislation authorises certain activities, and compliance with privacy obligations would </w:t>
      </w:r>
      <w:r w:rsidR="00BD7304" w:rsidRPr="006D2720">
        <w:rPr>
          <w:rFonts w:ascii="Times New Roman" w:hAnsi="Times New Roman" w:cs="Times New Roman"/>
        </w:rPr>
        <w:t xml:space="preserve">impede </w:t>
      </w:r>
      <w:r w:rsidR="00ED152E" w:rsidRPr="006D2720">
        <w:rPr>
          <w:rFonts w:ascii="Times New Roman" w:hAnsi="Times New Roman" w:cs="Times New Roman"/>
        </w:rPr>
        <w:t xml:space="preserve">the </w:t>
      </w:r>
      <w:r w:rsidR="00BD7304" w:rsidRPr="006D2720">
        <w:rPr>
          <w:rFonts w:ascii="Times New Roman" w:hAnsi="Times New Roman" w:cs="Times New Roman"/>
        </w:rPr>
        <w:t xml:space="preserve">ability to </w:t>
      </w:r>
      <w:r w:rsidR="00ED152E" w:rsidRPr="006D2720">
        <w:rPr>
          <w:rFonts w:ascii="Times New Roman" w:hAnsi="Times New Roman" w:cs="Times New Roman"/>
        </w:rPr>
        <w:t>effective</w:t>
      </w:r>
      <w:r w:rsidR="00BD7304" w:rsidRPr="006D2720">
        <w:rPr>
          <w:rFonts w:ascii="Times New Roman" w:hAnsi="Times New Roman" w:cs="Times New Roman"/>
        </w:rPr>
        <w:t>ly</w:t>
      </w:r>
      <w:r w:rsidR="00ED152E" w:rsidRPr="006D2720">
        <w:rPr>
          <w:rFonts w:ascii="Times New Roman" w:hAnsi="Times New Roman" w:cs="Times New Roman"/>
        </w:rPr>
        <w:t xml:space="preserve"> carry out such lawful activities</w:t>
      </w:r>
      <w:r w:rsidR="00D91001" w:rsidRPr="006D2720">
        <w:rPr>
          <w:rFonts w:ascii="Times New Roman" w:hAnsi="Times New Roman" w:cs="Times New Roman"/>
        </w:rPr>
        <w:t>,</w:t>
      </w:r>
      <w:r w:rsidR="00F73C7F" w:rsidRPr="006D2720">
        <w:rPr>
          <w:rFonts w:ascii="Times New Roman" w:hAnsi="Times New Roman" w:cs="Times New Roman"/>
        </w:rPr>
        <w:t xml:space="preserve"> this may </w:t>
      </w:r>
      <w:r w:rsidR="00BD7304" w:rsidRPr="006D2720">
        <w:rPr>
          <w:rFonts w:ascii="Times New Roman" w:hAnsi="Times New Roman" w:cs="Times New Roman"/>
        </w:rPr>
        <w:t>limit the</w:t>
      </w:r>
      <w:r w:rsidR="00F73C7F" w:rsidRPr="006D2720">
        <w:rPr>
          <w:rFonts w:ascii="Times New Roman" w:hAnsi="Times New Roman" w:cs="Times New Roman"/>
        </w:rPr>
        <w:t xml:space="preserve"> operation of some </w:t>
      </w:r>
      <w:r w:rsidR="00071A91" w:rsidRPr="006D2720">
        <w:rPr>
          <w:rFonts w:ascii="Times New Roman" w:hAnsi="Times New Roman" w:cs="Times New Roman"/>
        </w:rPr>
        <w:t xml:space="preserve">of the federal privacy principles (the </w:t>
      </w:r>
      <w:r w:rsidR="00F73C7F" w:rsidRPr="006D2720">
        <w:rPr>
          <w:rFonts w:ascii="Times New Roman" w:hAnsi="Times New Roman" w:cs="Times New Roman"/>
        </w:rPr>
        <w:t>APPs</w:t>
      </w:r>
      <w:r w:rsidR="00071A91" w:rsidRPr="006D2720">
        <w:rPr>
          <w:rFonts w:ascii="Times New Roman" w:hAnsi="Times New Roman" w:cs="Times New Roman"/>
        </w:rPr>
        <w:t>)</w:t>
      </w:r>
      <w:r w:rsidR="00F73C7F" w:rsidRPr="006D2720">
        <w:rPr>
          <w:rFonts w:ascii="Times New Roman" w:hAnsi="Times New Roman" w:cs="Times New Roman"/>
        </w:rPr>
        <w:t xml:space="preserve">. </w:t>
      </w:r>
      <w:r w:rsidR="00ED152E" w:rsidRPr="006D2720">
        <w:rPr>
          <w:rFonts w:ascii="Times New Roman" w:hAnsi="Times New Roman" w:cs="Times New Roman"/>
        </w:rPr>
        <w:t xml:space="preserve"> </w:t>
      </w:r>
    </w:p>
    <w:p w14:paraId="721F1F6A" w14:textId="5889FCF7" w:rsidR="0083193C" w:rsidRPr="006D2720" w:rsidRDefault="005A5918" w:rsidP="00B61E43">
      <w:pPr>
        <w:rPr>
          <w:rFonts w:ascii="Times New Roman" w:hAnsi="Times New Roman" w:cs="Times New Roman"/>
          <w:b/>
          <w:bCs/>
          <w:i/>
          <w:iCs/>
        </w:rPr>
      </w:pPr>
      <w:r w:rsidRPr="006D2720">
        <w:rPr>
          <w:rFonts w:ascii="Times New Roman" w:hAnsi="Times New Roman" w:cs="Times New Roman"/>
          <w:b/>
          <w:bCs/>
          <w:i/>
          <w:iCs/>
        </w:rPr>
        <w:t>Public benefit e</w:t>
      </w:r>
      <w:r w:rsidR="0083193C" w:rsidRPr="006D2720">
        <w:rPr>
          <w:rFonts w:ascii="Times New Roman" w:hAnsi="Times New Roman" w:cs="Times New Roman"/>
          <w:b/>
          <w:bCs/>
          <w:i/>
          <w:iCs/>
        </w:rPr>
        <w:t>xemption</w:t>
      </w:r>
      <w:r w:rsidRPr="006D2720">
        <w:rPr>
          <w:rFonts w:ascii="Times New Roman" w:hAnsi="Times New Roman" w:cs="Times New Roman"/>
          <w:b/>
          <w:bCs/>
          <w:i/>
          <w:iCs/>
        </w:rPr>
        <w:t>s</w:t>
      </w:r>
    </w:p>
    <w:p w14:paraId="0F33B7D0" w14:textId="7EB6A6C2" w:rsidR="00FB7ECF" w:rsidRPr="006D2720" w:rsidRDefault="007E5DE4">
      <w:pPr>
        <w:pStyle w:val="Heading3"/>
        <w:rPr>
          <w:rFonts w:ascii="Times New Roman" w:hAnsi="Times New Roman" w:cs="Times New Roman"/>
        </w:rPr>
      </w:pPr>
      <w:r w:rsidRPr="006D2720">
        <w:rPr>
          <w:rFonts w:ascii="Times New Roman" w:hAnsi="Times New Roman" w:cs="Times New Roman"/>
        </w:rPr>
        <w:t>P</w:t>
      </w:r>
      <w:r w:rsidR="00900C91" w:rsidRPr="006D2720">
        <w:rPr>
          <w:rFonts w:ascii="Times New Roman" w:hAnsi="Times New Roman" w:cs="Times New Roman"/>
        </w:rPr>
        <w:t xml:space="preserve">ersonal information custodians </w:t>
      </w:r>
      <w:r w:rsidRPr="006D2720">
        <w:rPr>
          <w:rFonts w:ascii="Times New Roman" w:hAnsi="Times New Roman" w:cs="Times New Roman"/>
        </w:rPr>
        <w:t xml:space="preserve">can </w:t>
      </w:r>
      <w:r w:rsidR="00B61E43" w:rsidRPr="006D2720">
        <w:rPr>
          <w:rFonts w:ascii="Times New Roman" w:hAnsi="Times New Roman" w:cs="Times New Roman"/>
        </w:rPr>
        <w:t>apply to the Minister</w:t>
      </w:r>
      <w:r w:rsidR="004D5E01" w:rsidRPr="006D2720">
        <w:rPr>
          <w:rFonts w:ascii="Times New Roman" w:hAnsi="Times New Roman" w:cs="Times New Roman"/>
        </w:rPr>
        <w:t xml:space="preserve"> </w:t>
      </w:r>
      <w:r w:rsidR="00B61E43" w:rsidRPr="006D2720">
        <w:rPr>
          <w:rFonts w:ascii="Times New Roman" w:hAnsi="Times New Roman" w:cs="Times New Roman"/>
        </w:rPr>
        <w:t>for an exemption</w:t>
      </w:r>
      <w:r w:rsidR="00FD3265" w:rsidRPr="006D2720">
        <w:rPr>
          <w:rFonts w:ascii="Times New Roman" w:hAnsi="Times New Roman" w:cs="Times New Roman"/>
        </w:rPr>
        <w:t xml:space="preserve">. The exemption may relate to </w:t>
      </w:r>
      <w:r w:rsidR="00B61E43" w:rsidRPr="006D2720">
        <w:rPr>
          <w:rFonts w:ascii="Times New Roman" w:hAnsi="Times New Roman" w:cs="Times New Roman"/>
        </w:rPr>
        <w:t xml:space="preserve">any or all provisions of the </w:t>
      </w:r>
      <w:r w:rsidR="00071A91" w:rsidRPr="006D2720">
        <w:rPr>
          <w:rFonts w:ascii="Times New Roman" w:hAnsi="Times New Roman" w:cs="Times New Roman"/>
        </w:rPr>
        <w:t>PIPA</w:t>
      </w:r>
      <w:r w:rsidR="00FD3265" w:rsidRPr="006D2720">
        <w:rPr>
          <w:rFonts w:ascii="Times New Roman" w:hAnsi="Times New Roman" w:cs="Times New Roman"/>
        </w:rPr>
        <w:t xml:space="preserve">, and </w:t>
      </w:r>
      <w:r w:rsidR="002B5122" w:rsidRPr="006D2720">
        <w:rPr>
          <w:rFonts w:ascii="Times New Roman" w:hAnsi="Times New Roman" w:cs="Times New Roman"/>
        </w:rPr>
        <w:t xml:space="preserve">may allow a custodian to deal with personal information in a way not otherwise permitted by the PIPPs. </w:t>
      </w:r>
      <w:r w:rsidR="00FB7ECF" w:rsidRPr="006D2720">
        <w:rPr>
          <w:rFonts w:ascii="Times New Roman" w:hAnsi="Times New Roman" w:cs="Times New Roman"/>
        </w:rPr>
        <w:t>The application must specify the matters listed in section 13, including the provisions of the Act for which an exemption is being sought, the information that the application relates to, and reasons for seeking an exemption.</w:t>
      </w:r>
      <w:r w:rsidR="00FB7ECF" w:rsidRPr="006D2720">
        <w:rPr>
          <w:rStyle w:val="FootnoteReference"/>
          <w:rFonts w:ascii="Times New Roman" w:hAnsi="Times New Roman" w:cs="Times New Roman"/>
        </w:rPr>
        <w:footnoteReference w:id="129"/>
      </w:r>
    </w:p>
    <w:p w14:paraId="0302A4D7" w14:textId="4FC83AE5" w:rsidR="001F0087" w:rsidRPr="006D2720" w:rsidRDefault="00FB7ECF" w:rsidP="00FB7ECF">
      <w:pPr>
        <w:pStyle w:val="Heading3"/>
        <w:rPr>
          <w:rFonts w:ascii="Times New Roman" w:hAnsi="Times New Roman" w:cs="Times New Roman"/>
        </w:rPr>
      </w:pPr>
      <w:r w:rsidRPr="006D2720">
        <w:rPr>
          <w:rFonts w:ascii="Times New Roman" w:hAnsi="Times New Roman" w:cs="Times New Roman"/>
        </w:rPr>
        <w:t>Whether or not the exemption is granted is based on a balance of public benefit.</w:t>
      </w:r>
      <w:r w:rsidRPr="006D2720">
        <w:rPr>
          <w:rStyle w:val="FootnoteReference"/>
          <w:rFonts w:ascii="Times New Roman" w:hAnsi="Times New Roman" w:cs="Times New Roman"/>
        </w:rPr>
        <w:footnoteReference w:id="130"/>
      </w:r>
      <w:r w:rsidRPr="006D2720">
        <w:rPr>
          <w:rFonts w:ascii="Times New Roman" w:hAnsi="Times New Roman" w:cs="Times New Roman"/>
        </w:rPr>
        <w:t xml:space="preserve"> </w:t>
      </w:r>
      <w:r w:rsidR="00B8529D" w:rsidRPr="006D2720">
        <w:rPr>
          <w:rFonts w:ascii="Times New Roman" w:hAnsi="Times New Roman" w:cs="Times New Roman"/>
        </w:rPr>
        <w:t xml:space="preserve">The Minister </w:t>
      </w:r>
      <w:r w:rsidR="002C5F45" w:rsidRPr="006D2720">
        <w:rPr>
          <w:rFonts w:ascii="Times New Roman" w:hAnsi="Times New Roman" w:cs="Times New Roman"/>
        </w:rPr>
        <w:t>may approve an application ‘</w:t>
      </w:r>
      <w:r w:rsidR="00715519" w:rsidRPr="006D2720">
        <w:rPr>
          <w:rFonts w:ascii="Times New Roman" w:hAnsi="Times New Roman" w:cs="Times New Roman"/>
        </w:rPr>
        <w:t>if satisfied that the public benefit</w:t>
      </w:r>
      <w:r w:rsidR="00FB36FE" w:rsidRPr="006D2720">
        <w:rPr>
          <w:rFonts w:ascii="Times New Roman" w:hAnsi="Times New Roman" w:cs="Times New Roman"/>
        </w:rPr>
        <w:t xml:space="preserve"> [of an exemption</w:t>
      </w:r>
      <w:r w:rsidR="009A7E46" w:rsidRPr="006D2720">
        <w:rPr>
          <w:rFonts w:ascii="Times New Roman" w:hAnsi="Times New Roman" w:cs="Times New Roman"/>
        </w:rPr>
        <w:t>]</w:t>
      </w:r>
      <w:r w:rsidR="00715519" w:rsidRPr="006D2720">
        <w:rPr>
          <w:rFonts w:ascii="Times New Roman" w:hAnsi="Times New Roman" w:cs="Times New Roman"/>
        </w:rPr>
        <w:t xml:space="preserve"> outweighs to a substantial degree the public benefit from compliance with the personal information protection principles</w:t>
      </w:r>
      <w:r w:rsidR="00AB2328" w:rsidRPr="006D2720">
        <w:rPr>
          <w:rFonts w:ascii="Times New Roman" w:hAnsi="Times New Roman" w:cs="Times New Roman"/>
        </w:rPr>
        <w:t>’</w:t>
      </w:r>
      <w:r w:rsidR="00715519" w:rsidRPr="006D2720">
        <w:rPr>
          <w:rFonts w:ascii="Times New Roman" w:hAnsi="Times New Roman" w:cs="Times New Roman"/>
        </w:rPr>
        <w:t>.</w:t>
      </w:r>
      <w:r w:rsidR="00A15A9B" w:rsidRPr="006D2720">
        <w:rPr>
          <w:rStyle w:val="FootnoteReference"/>
          <w:rFonts w:ascii="Times New Roman" w:hAnsi="Times New Roman" w:cs="Times New Roman"/>
        </w:rPr>
        <w:footnoteReference w:id="131"/>
      </w:r>
      <w:r w:rsidR="00715519" w:rsidRPr="006D2720">
        <w:rPr>
          <w:rFonts w:ascii="Times New Roman" w:hAnsi="Times New Roman" w:cs="Times New Roman"/>
        </w:rPr>
        <w:t xml:space="preserve"> </w:t>
      </w:r>
      <w:r w:rsidR="001F6DDF" w:rsidRPr="006D2720">
        <w:rPr>
          <w:rFonts w:ascii="Times New Roman" w:hAnsi="Times New Roman" w:cs="Times New Roman"/>
        </w:rPr>
        <w:t>This</w:t>
      </w:r>
      <w:r w:rsidR="00BC563C" w:rsidRPr="006D2720">
        <w:rPr>
          <w:rFonts w:ascii="Times New Roman" w:hAnsi="Times New Roman" w:cs="Times New Roman"/>
        </w:rPr>
        <w:t xml:space="preserve"> </w:t>
      </w:r>
      <w:r w:rsidR="001F6DDF" w:rsidRPr="006D2720">
        <w:rPr>
          <w:rFonts w:ascii="Times New Roman" w:hAnsi="Times New Roman" w:cs="Times New Roman"/>
        </w:rPr>
        <w:t xml:space="preserve">may be </w:t>
      </w:r>
      <w:r w:rsidR="00BC563C" w:rsidRPr="006D2720">
        <w:rPr>
          <w:rFonts w:ascii="Times New Roman" w:hAnsi="Times New Roman" w:cs="Times New Roman"/>
        </w:rPr>
        <w:t>subject to conditions</w:t>
      </w:r>
      <w:r w:rsidR="00C60678" w:rsidRPr="006D2720">
        <w:rPr>
          <w:rFonts w:ascii="Times New Roman" w:hAnsi="Times New Roman" w:cs="Times New Roman"/>
        </w:rPr>
        <w:t xml:space="preserve">, if </w:t>
      </w:r>
      <w:r w:rsidR="00703D6A" w:rsidRPr="006D2720">
        <w:rPr>
          <w:rFonts w:ascii="Times New Roman" w:hAnsi="Times New Roman" w:cs="Times New Roman"/>
        </w:rPr>
        <w:t>the Minister</w:t>
      </w:r>
      <w:r w:rsidR="00BC563C" w:rsidRPr="006D2720">
        <w:rPr>
          <w:rFonts w:ascii="Times New Roman" w:hAnsi="Times New Roman" w:cs="Times New Roman"/>
        </w:rPr>
        <w:t xml:space="preserve"> consider</w:t>
      </w:r>
      <w:r w:rsidR="00703D6A" w:rsidRPr="006D2720">
        <w:rPr>
          <w:rFonts w:ascii="Times New Roman" w:hAnsi="Times New Roman" w:cs="Times New Roman"/>
        </w:rPr>
        <w:t>s</w:t>
      </w:r>
      <w:r w:rsidR="00BC563C" w:rsidRPr="006D2720">
        <w:rPr>
          <w:rFonts w:ascii="Times New Roman" w:hAnsi="Times New Roman" w:cs="Times New Roman"/>
        </w:rPr>
        <w:t xml:space="preserve"> </w:t>
      </w:r>
      <w:r w:rsidR="006C5772" w:rsidRPr="006D2720">
        <w:rPr>
          <w:rFonts w:ascii="Times New Roman" w:hAnsi="Times New Roman" w:cs="Times New Roman"/>
        </w:rPr>
        <w:t>it</w:t>
      </w:r>
      <w:r w:rsidR="004301AB" w:rsidRPr="006D2720">
        <w:rPr>
          <w:rFonts w:ascii="Times New Roman" w:hAnsi="Times New Roman" w:cs="Times New Roman"/>
        </w:rPr>
        <w:t xml:space="preserve"> </w:t>
      </w:r>
      <w:r w:rsidR="00BC563C" w:rsidRPr="006D2720">
        <w:rPr>
          <w:rFonts w:ascii="Times New Roman" w:hAnsi="Times New Roman" w:cs="Times New Roman"/>
        </w:rPr>
        <w:t>appropriate.</w:t>
      </w:r>
      <w:r w:rsidR="009F777C" w:rsidRPr="006D2720">
        <w:rPr>
          <w:rFonts w:ascii="Times New Roman" w:hAnsi="Times New Roman" w:cs="Times New Roman"/>
        </w:rPr>
        <w:t xml:space="preserve"> </w:t>
      </w:r>
      <w:r w:rsidR="00B25F11" w:rsidRPr="006D2720">
        <w:rPr>
          <w:rFonts w:ascii="Times New Roman" w:hAnsi="Times New Roman" w:cs="Times New Roman"/>
        </w:rPr>
        <w:t>Otherwise, if</w:t>
      </w:r>
      <w:r w:rsidR="009F777C" w:rsidRPr="006D2720">
        <w:rPr>
          <w:rFonts w:ascii="Times New Roman" w:hAnsi="Times New Roman" w:cs="Times New Roman"/>
        </w:rPr>
        <w:t xml:space="preserve"> not satisfied about the balance of public benefit, the Minister may refuse to </w:t>
      </w:r>
      <w:r w:rsidRPr="006D2720">
        <w:rPr>
          <w:rFonts w:ascii="Times New Roman" w:hAnsi="Times New Roman" w:cs="Times New Roman"/>
        </w:rPr>
        <w:t>grant the exemption</w:t>
      </w:r>
      <w:r w:rsidR="009F777C" w:rsidRPr="006D2720">
        <w:rPr>
          <w:rFonts w:ascii="Times New Roman" w:hAnsi="Times New Roman" w:cs="Times New Roman"/>
        </w:rPr>
        <w:t xml:space="preserve">. </w:t>
      </w:r>
    </w:p>
    <w:p w14:paraId="3343681B" w14:textId="4651E52F" w:rsidR="007E451B" w:rsidRPr="006D2720" w:rsidRDefault="004D5E01" w:rsidP="0066337D">
      <w:pPr>
        <w:pStyle w:val="Heading3"/>
        <w:rPr>
          <w:rFonts w:ascii="Times New Roman" w:hAnsi="Times New Roman" w:cs="Times New Roman"/>
        </w:rPr>
      </w:pPr>
      <w:r w:rsidRPr="006D2720">
        <w:rPr>
          <w:rFonts w:ascii="Times New Roman" w:hAnsi="Times New Roman" w:cs="Times New Roman"/>
        </w:rPr>
        <w:t xml:space="preserve">The Minister may also revoke an application if satisfied </w:t>
      </w:r>
      <w:r w:rsidR="0040624C" w:rsidRPr="006D2720">
        <w:rPr>
          <w:rFonts w:ascii="Times New Roman" w:hAnsi="Times New Roman" w:cs="Times New Roman"/>
        </w:rPr>
        <w:t>that the reasons for granting the exemption</w:t>
      </w:r>
      <w:r w:rsidR="006A716E" w:rsidRPr="006D2720">
        <w:rPr>
          <w:rFonts w:ascii="Times New Roman" w:hAnsi="Times New Roman" w:cs="Times New Roman"/>
        </w:rPr>
        <w:t xml:space="preserve"> no longer apply, or that the </w:t>
      </w:r>
      <w:r w:rsidR="00DE1516" w:rsidRPr="006D2720">
        <w:rPr>
          <w:rFonts w:ascii="Times New Roman" w:hAnsi="Times New Roman" w:cs="Times New Roman"/>
        </w:rPr>
        <w:t xml:space="preserve">balance of </w:t>
      </w:r>
      <w:r w:rsidR="006A716E" w:rsidRPr="006D2720">
        <w:rPr>
          <w:rFonts w:ascii="Times New Roman" w:hAnsi="Times New Roman" w:cs="Times New Roman"/>
        </w:rPr>
        <w:t xml:space="preserve">public benefit no longer substantially weighs in favour of the exemption. </w:t>
      </w:r>
      <w:r w:rsidR="006666DF" w:rsidRPr="006D2720">
        <w:rPr>
          <w:rFonts w:ascii="Times New Roman" w:hAnsi="Times New Roman" w:cs="Times New Roman"/>
        </w:rPr>
        <w:t xml:space="preserve">The applicant may also </w:t>
      </w:r>
      <w:r w:rsidR="00D55B48" w:rsidRPr="006D2720">
        <w:rPr>
          <w:rFonts w:ascii="Times New Roman" w:hAnsi="Times New Roman" w:cs="Times New Roman"/>
        </w:rPr>
        <w:t xml:space="preserve">themselves </w:t>
      </w:r>
      <w:r w:rsidR="006666DF" w:rsidRPr="006D2720">
        <w:rPr>
          <w:rFonts w:ascii="Times New Roman" w:hAnsi="Times New Roman" w:cs="Times New Roman"/>
        </w:rPr>
        <w:t>request an exemption be revoked.</w:t>
      </w:r>
      <w:r w:rsidR="00AD163E" w:rsidRPr="006D2720">
        <w:rPr>
          <w:rStyle w:val="FootnoteReference"/>
          <w:rFonts w:ascii="Times New Roman" w:hAnsi="Times New Roman" w:cs="Times New Roman"/>
        </w:rPr>
        <w:footnoteReference w:id="132"/>
      </w:r>
      <w:r w:rsidR="006666DF" w:rsidRPr="006D2720">
        <w:rPr>
          <w:rFonts w:ascii="Times New Roman" w:hAnsi="Times New Roman" w:cs="Times New Roman"/>
        </w:rPr>
        <w:t xml:space="preserve"> </w:t>
      </w:r>
      <w:r w:rsidR="006A716E" w:rsidRPr="006D2720">
        <w:rPr>
          <w:rFonts w:ascii="Times New Roman" w:hAnsi="Times New Roman" w:cs="Times New Roman"/>
        </w:rPr>
        <w:t xml:space="preserve">However, </w:t>
      </w:r>
      <w:r w:rsidR="00ED555A" w:rsidRPr="006D2720">
        <w:rPr>
          <w:rFonts w:ascii="Times New Roman" w:hAnsi="Times New Roman" w:cs="Times New Roman"/>
        </w:rPr>
        <w:t xml:space="preserve">these are merely permissive provisions </w:t>
      </w:r>
      <w:r w:rsidR="001C2F01" w:rsidRPr="006D2720">
        <w:rPr>
          <w:rFonts w:ascii="Times New Roman" w:hAnsi="Times New Roman" w:cs="Times New Roman"/>
        </w:rPr>
        <w:t>and do not place obligations</w:t>
      </w:r>
      <w:r w:rsidR="0089576E" w:rsidRPr="006D2720">
        <w:rPr>
          <w:rFonts w:ascii="Times New Roman" w:hAnsi="Times New Roman" w:cs="Times New Roman"/>
        </w:rPr>
        <w:t xml:space="preserve"> </w:t>
      </w:r>
      <w:r w:rsidR="00EE41D0" w:rsidRPr="006D2720">
        <w:rPr>
          <w:rFonts w:ascii="Times New Roman" w:hAnsi="Times New Roman" w:cs="Times New Roman"/>
        </w:rPr>
        <w:t>on the Minister</w:t>
      </w:r>
      <w:r w:rsidR="00736349" w:rsidRPr="006D2720">
        <w:rPr>
          <w:rFonts w:ascii="Times New Roman" w:hAnsi="Times New Roman" w:cs="Times New Roman"/>
        </w:rPr>
        <w:t>.</w:t>
      </w:r>
      <w:r w:rsidR="00EE41D0" w:rsidRPr="006D2720">
        <w:rPr>
          <w:rFonts w:ascii="Times New Roman" w:hAnsi="Times New Roman" w:cs="Times New Roman"/>
        </w:rPr>
        <w:t xml:space="preserve"> </w:t>
      </w:r>
      <w:r w:rsidR="003C466B" w:rsidRPr="006D2720">
        <w:rPr>
          <w:rFonts w:ascii="Times New Roman" w:hAnsi="Times New Roman" w:cs="Times New Roman"/>
        </w:rPr>
        <w:t xml:space="preserve">The PIPA also does not provide for </w:t>
      </w:r>
      <w:r w:rsidR="002354D1" w:rsidRPr="006D2720">
        <w:rPr>
          <w:rFonts w:ascii="Times New Roman" w:hAnsi="Times New Roman" w:cs="Times New Roman"/>
        </w:rPr>
        <w:t xml:space="preserve">any </w:t>
      </w:r>
      <w:r w:rsidR="0089576E" w:rsidRPr="006D2720">
        <w:rPr>
          <w:rFonts w:ascii="Times New Roman" w:hAnsi="Times New Roman" w:cs="Times New Roman"/>
        </w:rPr>
        <w:t xml:space="preserve">application process </w:t>
      </w:r>
      <w:r w:rsidR="002354D1" w:rsidRPr="006D2720">
        <w:rPr>
          <w:rFonts w:ascii="Times New Roman" w:hAnsi="Times New Roman" w:cs="Times New Roman"/>
        </w:rPr>
        <w:t>for revocation</w:t>
      </w:r>
      <w:r w:rsidR="00977A75" w:rsidRPr="006D2720">
        <w:rPr>
          <w:rFonts w:ascii="Times New Roman" w:hAnsi="Times New Roman" w:cs="Times New Roman"/>
        </w:rPr>
        <w:t xml:space="preserve">. </w:t>
      </w:r>
    </w:p>
    <w:p w14:paraId="223A1597" w14:textId="4EB07AB7" w:rsidR="00753237" w:rsidRPr="006D2720" w:rsidRDefault="00715519" w:rsidP="0066337D">
      <w:pPr>
        <w:pStyle w:val="Heading3"/>
        <w:rPr>
          <w:rFonts w:ascii="Times New Roman" w:hAnsi="Times New Roman" w:cs="Times New Roman"/>
        </w:rPr>
      </w:pPr>
      <w:r w:rsidRPr="006D2720">
        <w:rPr>
          <w:rFonts w:ascii="Times New Roman" w:hAnsi="Times New Roman" w:cs="Times New Roman"/>
        </w:rPr>
        <w:t>Any determination</w:t>
      </w:r>
      <w:r w:rsidR="00FF71A9" w:rsidRPr="006D2720">
        <w:rPr>
          <w:rFonts w:ascii="Times New Roman" w:hAnsi="Times New Roman" w:cs="Times New Roman"/>
        </w:rPr>
        <w:t xml:space="preserve"> (whether an approval or a refusal)</w:t>
      </w:r>
      <w:r w:rsidRPr="006D2720">
        <w:rPr>
          <w:rFonts w:ascii="Times New Roman" w:hAnsi="Times New Roman" w:cs="Times New Roman"/>
        </w:rPr>
        <w:t xml:space="preserve"> </w:t>
      </w:r>
      <w:r w:rsidR="00977A75" w:rsidRPr="006D2720">
        <w:rPr>
          <w:rFonts w:ascii="Times New Roman" w:hAnsi="Times New Roman" w:cs="Times New Roman"/>
        </w:rPr>
        <w:t xml:space="preserve">or revocation has </w:t>
      </w:r>
      <w:r w:rsidRPr="006D2720">
        <w:rPr>
          <w:rFonts w:ascii="Times New Roman" w:hAnsi="Times New Roman" w:cs="Times New Roman"/>
        </w:rPr>
        <w:t>to be published in the Gazette.</w:t>
      </w:r>
      <w:r w:rsidR="00285516" w:rsidRPr="006D2720">
        <w:rPr>
          <w:rStyle w:val="FootnoteReference"/>
          <w:rFonts w:ascii="Times New Roman" w:hAnsi="Times New Roman" w:cs="Times New Roman"/>
        </w:rPr>
        <w:footnoteReference w:id="133"/>
      </w:r>
      <w:r w:rsidRPr="006D2720">
        <w:rPr>
          <w:rFonts w:ascii="Times New Roman" w:hAnsi="Times New Roman" w:cs="Times New Roman"/>
        </w:rPr>
        <w:t xml:space="preserve"> </w:t>
      </w:r>
      <w:r w:rsidR="008C2DCD" w:rsidRPr="006D2720">
        <w:rPr>
          <w:rFonts w:ascii="Times New Roman" w:hAnsi="Times New Roman" w:cs="Times New Roman"/>
        </w:rPr>
        <w:t>While the Gazette</w:t>
      </w:r>
      <w:r w:rsidR="00EF081E" w:rsidRPr="006D2720">
        <w:rPr>
          <w:rFonts w:ascii="Times New Roman" w:hAnsi="Times New Roman" w:cs="Times New Roman"/>
        </w:rPr>
        <w:t xml:space="preserve"> can be searched by the public</w:t>
      </w:r>
      <w:r w:rsidR="008C2DCD" w:rsidRPr="006D2720">
        <w:rPr>
          <w:rFonts w:ascii="Times New Roman" w:hAnsi="Times New Roman" w:cs="Times New Roman"/>
        </w:rPr>
        <w:t xml:space="preserve">, it is not possible to limit the search to only where an exemption has been granted. </w:t>
      </w:r>
      <w:r w:rsidR="004F02D1" w:rsidRPr="006D2720">
        <w:rPr>
          <w:rFonts w:ascii="Times New Roman" w:hAnsi="Times New Roman" w:cs="Times New Roman"/>
        </w:rPr>
        <w:t>There is</w:t>
      </w:r>
      <w:r w:rsidR="00B42120" w:rsidRPr="006D2720">
        <w:rPr>
          <w:rFonts w:ascii="Times New Roman" w:hAnsi="Times New Roman" w:cs="Times New Roman"/>
        </w:rPr>
        <w:t xml:space="preserve"> also</w:t>
      </w:r>
      <w:r w:rsidR="004F02D1" w:rsidRPr="006D2720">
        <w:rPr>
          <w:rFonts w:ascii="Times New Roman" w:hAnsi="Times New Roman" w:cs="Times New Roman"/>
        </w:rPr>
        <w:t xml:space="preserve"> no </w:t>
      </w:r>
      <w:r w:rsidR="00CE76C6" w:rsidRPr="006D2720">
        <w:rPr>
          <w:rFonts w:ascii="Times New Roman" w:hAnsi="Times New Roman" w:cs="Times New Roman"/>
        </w:rPr>
        <w:t>easily accessible list of exemptions</w:t>
      </w:r>
      <w:r w:rsidR="00535C71" w:rsidRPr="006D2720">
        <w:rPr>
          <w:rFonts w:ascii="Times New Roman" w:hAnsi="Times New Roman" w:cs="Times New Roman"/>
        </w:rPr>
        <w:t xml:space="preserve"> currently in operation</w:t>
      </w:r>
      <w:r w:rsidR="00CE76C6" w:rsidRPr="006D2720">
        <w:rPr>
          <w:rFonts w:ascii="Times New Roman" w:hAnsi="Times New Roman" w:cs="Times New Roman"/>
        </w:rPr>
        <w:t xml:space="preserve">. </w:t>
      </w:r>
      <w:r w:rsidR="00A213D5" w:rsidRPr="006D2720">
        <w:rPr>
          <w:rFonts w:ascii="Times New Roman" w:hAnsi="Times New Roman" w:cs="Times New Roman"/>
        </w:rPr>
        <w:t>An examination of the Gazet</w:t>
      </w:r>
      <w:r w:rsidR="001B0914" w:rsidRPr="006D2720">
        <w:rPr>
          <w:rFonts w:ascii="Times New Roman" w:hAnsi="Times New Roman" w:cs="Times New Roman"/>
        </w:rPr>
        <w:t xml:space="preserve">te suggests there have been </w:t>
      </w:r>
      <w:r w:rsidR="00A213D5" w:rsidRPr="006D2720">
        <w:rPr>
          <w:rFonts w:ascii="Times New Roman" w:hAnsi="Times New Roman" w:cs="Times New Roman"/>
        </w:rPr>
        <w:t xml:space="preserve">11 public benefit exemptions published </w:t>
      </w:r>
      <w:r w:rsidR="00333A6E" w:rsidRPr="006D2720">
        <w:rPr>
          <w:rFonts w:ascii="Times New Roman" w:hAnsi="Times New Roman" w:cs="Times New Roman"/>
        </w:rPr>
        <w:t xml:space="preserve">between </w:t>
      </w:r>
      <w:r w:rsidR="00A213D5" w:rsidRPr="006D2720">
        <w:rPr>
          <w:rFonts w:ascii="Times New Roman" w:hAnsi="Times New Roman" w:cs="Times New Roman"/>
        </w:rPr>
        <w:t>2008</w:t>
      </w:r>
      <w:r w:rsidR="00333A6E" w:rsidRPr="006D2720">
        <w:rPr>
          <w:rFonts w:ascii="Times New Roman" w:hAnsi="Times New Roman" w:cs="Times New Roman"/>
        </w:rPr>
        <w:t xml:space="preserve"> and 2020</w:t>
      </w:r>
      <w:r w:rsidR="00071A91" w:rsidRPr="006D2720">
        <w:rPr>
          <w:rFonts w:ascii="Times New Roman" w:hAnsi="Times New Roman" w:cs="Times New Roman"/>
        </w:rPr>
        <w:t xml:space="preserve"> as follows</w:t>
      </w:r>
      <w:r w:rsidR="008556E2" w:rsidRPr="006D2720">
        <w:rPr>
          <w:rFonts w:ascii="Times New Roman" w:hAnsi="Times New Roman" w:cs="Times New Roman"/>
        </w:rPr>
        <w:t xml:space="preserve">: </w:t>
      </w:r>
      <w:r w:rsidR="004411A2" w:rsidRPr="006D2720">
        <w:rPr>
          <w:rFonts w:ascii="Times New Roman" w:hAnsi="Times New Roman" w:cs="Times New Roman"/>
        </w:rPr>
        <w:t>two</w:t>
      </w:r>
      <w:r w:rsidR="001B0914" w:rsidRPr="006D2720">
        <w:rPr>
          <w:rFonts w:ascii="Times New Roman" w:hAnsi="Times New Roman" w:cs="Times New Roman"/>
        </w:rPr>
        <w:t xml:space="preserve"> </w:t>
      </w:r>
      <w:r w:rsidR="00A213D5" w:rsidRPr="006D2720">
        <w:rPr>
          <w:rFonts w:ascii="Times New Roman" w:hAnsi="Times New Roman" w:cs="Times New Roman"/>
        </w:rPr>
        <w:t xml:space="preserve">in April 2011, </w:t>
      </w:r>
      <w:r w:rsidR="004411A2" w:rsidRPr="006D2720">
        <w:rPr>
          <w:rFonts w:ascii="Times New Roman" w:hAnsi="Times New Roman" w:cs="Times New Roman"/>
        </w:rPr>
        <w:t xml:space="preserve">one </w:t>
      </w:r>
      <w:r w:rsidR="00A213D5" w:rsidRPr="006D2720">
        <w:rPr>
          <w:rFonts w:ascii="Times New Roman" w:hAnsi="Times New Roman" w:cs="Times New Roman"/>
        </w:rPr>
        <w:t xml:space="preserve">in February 2019, and </w:t>
      </w:r>
      <w:r w:rsidR="004411A2" w:rsidRPr="006D2720">
        <w:rPr>
          <w:rFonts w:ascii="Times New Roman" w:hAnsi="Times New Roman" w:cs="Times New Roman"/>
        </w:rPr>
        <w:t xml:space="preserve">eight </w:t>
      </w:r>
      <w:r w:rsidR="00A213D5" w:rsidRPr="006D2720">
        <w:rPr>
          <w:rFonts w:ascii="Times New Roman" w:hAnsi="Times New Roman" w:cs="Times New Roman"/>
        </w:rPr>
        <w:t>in November 2020.</w:t>
      </w:r>
      <w:r w:rsidR="00A90F18" w:rsidRPr="006D2720">
        <w:rPr>
          <w:rStyle w:val="FootnoteReference"/>
          <w:rFonts w:ascii="Times New Roman" w:hAnsi="Times New Roman" w:cs="Times New Roman"/>
        </w:rPr>
        <w:footnoteReference w:id="134"/>
      </w:r>
      <w:r w:rsidR="006E0C3C" w:rsidRPr="006D2720">
        <w:rPr>
          <w:rFonts w:ascii="Times New Roman" w:hAnsi="Times New Roman" w:cs="Times New Roman"/>
        </w:rPr>
        <w:t xml:space="preserve"> </w:t>
      </w:r>
      <w:r w:rsidR="00764E05" w:rsidRPr="006D2720">
        <w:rPr>
          <w:rFonts w:ascii="Times New Roman" w:hAnsi="Times New Roman" w:cs="Times New Roman"/>
        </w:rPr>
        <w:t>As an example</w:t>
      </w:r>
      <w:r w:rsidR="00064C6A" w:rsidRPr="006D2720">
        <w:rPr>
          <w:rFonts w:ascii="Times New Roman" w:hAnsi="Times New Roman" w:cs="Times New Roman"/>
        </w:rPr>
        <w:t>, on 25 November 2020</w:t>
      </w:r>
      <w:r w:rsidR="00F45F72" w:rsidRPr="006D2720">
        <w:rPr>
          <w:rFonts w:ascii="Times New Roman" w:hAnsi="Times New Roman" w:cs="Times New Roman"/>
        </w:rPr>
        <w:t>,</w:t>
      </w:r>
      <w:r w:rsidR="00064C6A" w:rsidRPr="006D2720">
        <w:rPr>
          <w:rFonts w:ascii="Times New Roman" w:hAnsi="Times New Roman" w:cs="Times New Roman"/>
        </w:rPr>
        <w:t xml:space="preserve"> ex</w:t>
      </w:r>
      <w:r w:rsidR="00232F8F" w:rsidRPr="006D2720">
        <w:rPr>
          <w:rFonts w:ascii="Times New Roman" w:hAnsi="Times New Roman" w:cs="Times New Roman"/>
        </w:rPr>
        <w:t>e</w:t>
      </w:r>
      <w:r w:rsidR="00064C6A" w:rsidRPr="006D2720">
        <w:rPr>
          <w:rFonts w:ascii="Times New Roman" w:hAnsi="Times New Roman" w:cs="Times New Roman"/>
        </w:rPr>
        <w:t>mp</w:t>
      </w:r>
      <w:r w:rsidR="00232F8F" w:rsidRPr="006D2720">
        <w:rPr>
          <w:rFonts w:ascii="Times New Roman" w:hAnsi="Times New Roman" w:cs="Times New Roman"/>
        </w:rPr>
        <w:t>t</w:t>
      </w:r>
      <w:r w:rsidR="00064C6A" w:rsidRPr="006D2720">
        <w:rPr>
          <w:rFonts w:ascii="Times New Roman" w:hAnsi="Times New Roman" w:cs="Times New Roman"/>
        </w:rPr>
        <w:t xml:space="preserve">ions were gazetted </w:t>
      </w:r>
      <w:r w:rsidR="00426127" w:rsidRPr="006D2720">
        <w:rPr>
          <w:rFonts w:ascii="Times New Roman" w:hAnsi="Times New Roman" w:cs="Times New Roman"/>
        </w:rPr>
        <w:t xml:space="preserve">for </w:t>
      </w:r>
      <w:r w:rsidR="00483D86" w:rsidRPr="006D2720">
        <w:rPr>
          <w:rFonts w:ascii="Times New Roman" w:hAnsi="Times New Roman" w:cs="Times New Roman"/>
        </w:rPr>
        <w:t>information relevant to a civil claim against the State of Tasmania</w:t>
      </w:r>
      <w:r w:rsidR="00426127" w:rsidRPr="006D2720">
        <w:rPr>
          <w:rFonts w:ascii="Times New Roman" w:hAnsi="Times New Roman" w:cs="Times New Roman"/>
        </w:rPr>
        <w:t xml:space="preserve"> </w:t>
      </w:r>
      <w:r w:rsidR="007528BB" w:rsidRPr="006D2720">
        <w:rPr>
          <w:rFonts w:ascii="Times New Roman" w:hAnsi="Times New Roman" w:cs="Times New Roman"/>
        </w:rPr>
        <w:t xml:space="preserve">and </w:t>
      </w:r>
      <w:r w:rsidR="00426127" w:rsidRPr="006D2720">
        <w:rPr>
          <w:rFonts w:ascii="Times New Roman" w:hAnsi="Times New Roman" w:cs="Times New Roman"/>
        </w:rPr>
        <w:t xml:space="preserve">held by </w:t>
      </w:r>
      <w:r w:rsidR="004411A2" w:rsidRPr="006D2720">
        <w:rPr>
          <w:rFonts w:ascii="Times New Roman" w:hAnsi="Times New Roman" w:cs="Times New Roman"/>
        </w:rPr>
        <w:t xml:space="preserve">nine </w:t>
      </w:r>
      <w:r w:rsidR="00C856CE" w:rsidRPr="006D2720">
        <w:rPr>
          <w:rFonts w:ascii="Times New Roman" w:hAnsi="Times New Roman" w:cs="Times New Roman"/>
        </w:rPr>
        <w:t>government departments</w:t>
      </w:r>
      <w:r w:rsidR="00426127" w:rsidRPr="006D2720">
        <w:rPr>
          <w:rFonts w:ascii="Times New Roman" w:hAnsi="Times New Roman" w:cs="Times New Roman"/>
        </w:rPr>
        <w:t>.</w:t>
      </w:r>
      <w:r w:rsidR="00BA56E7" w:rsidRPr="006D2720">
        <w:rPr>
          <w:rStyle w:val="FootnoteReference"/>
          <w:rFonts w:ascii="Times New Roman" w:hAnsi="Times New Roman" w:cs="Times New Roman"/>
        </w:rPr>
        <w:footnoteReference w:id="135"/>
      </w:r>
      <w:r w:rsidR="004F02D1" w:rsidRPr="006D2720">
        <w:rPr>
          <w:rFonts w:ascii="Times New Roman" w:hAnsi="Times New Roman" w:cs="Times New Roman"/>
        </w:rPr>
        <w:t xml:space="preserve"> </w:t>
      </w:r>
    </w:p>
    <w:p w14:paraId="4481F3B3" w14:textId="41B1E78B" w:rsidR="00DD54FB" w:rsidRPr="006D2720" w:rsidRDefault="00DD54FB" w:rsidP="00927AD5">
      <w:pPr>
        <w:pStyle w:val="Heading3"/>
        <w:rPr>
          <w:rFonts w:ascii="Times New Roman" w:hAnsi="Times New Roman" w:cs="Times New Roman"/>
        </w:rPr>
      </w:pPr>
      <w:r w:rsidRPr="006D2720">
        <w:rPr>
          <w:rFonts w:ascii="Times New Roman" w:hAnsi="Times New Roman" w:cs="Times New Roman"/>
        </w:rPr>
        <w:t>Other</w:t>
      </w:r>
      <w:r w:rsidR="00DF135E" w:rsidRPr="006D2720">
        <w:rPr>
          <w:rFonts w:ascii="Times New Roman" w:hAnsi="Times New Roman" w:cs="Times New Roman"/>
        </w:rPr>
        <w:t xml:space="preserve"> Australian</w:t>
      </w:r>
      <w:r w:rsidRPr="006D2720">
        <w:rPr>
          <w:rFonts w:ascii="Times New Roman" w:hAnsi="Times New Roman" w:cs="Times New Roman"/>
        </w:rPr>
        <w:t xml:space="preserve"> jurisdictions</w:t>
      </w:r>
      <w:r w:rsidR="00DF135E" w:rsidRPr="006D2720">
        <w:rPr>
          <w:rFonts w:ascii="Times New Roman" w:hAnsi="Times New Roman" w:cs="Times New Roman"/>
        </w:rPr>
        <w:t xml:space="preserve"> such as </w:t>
      </w:r>
      <w:r w:rsidR="00614884" w:rsidRPr="006D2720">
        <w:rPr>
          <w:rFonts w:ascii="Times New Roman" w:hAnsi="Times New Roman" w:cs="Times New Roman"/>
        </w:rPr>
        <w:t>NSW</w:t>
      </w:r>
      <w:r w:rsidR="00DF135E" w:rsidRPr="006D2720">
        <w:rPr>
          <w:rFonts w:ascii="Times New Roman" w:hAnsi="Times New Roman" w:cs="Times New Roman"/>
        </w:rPr>
        <w:t>,</w:t>
      </w:r>
      <w:r w:rsidR="0020697B" w:rsidRPr="006D2720">
        <w:rPr>
          <w:rStyle w:val="FootnoteReference"/>
          <w:rFonts w:ascii="Times New Roman" w:hAnsi="Times New Roman" w:cs="Times New Roman"/>
        </w:rPr>
        <w:footnoteReference w:id="136"/>
      </w:r>
      <w:r w:rsidR="00DF135E" w:rsidRPr="006D2720">
        <w:rPr>
          <w:rFonts w:ascii="Times New Roman" w:hAnsi="Times New Roman" w:cs="Times New Roman"/>
        </w:rPr>
        <w:t xml:space="preserve"> Victoria,</w:t>
      </w:r>
      <w:r w:rsidR="0020697B" w:rsidRPr="006D2720">
        <w:rPr>
          <w:rStyle w:val="FootnoteReference"/>
          <w:rFonts w:ascii="Times New Roman" w:hAnsi="Times New Roman" w:cs="Times New Roman"/>
        </w:rPr>
        <w:footnoteReference w:id="137"/>
      </w:r>
      <w:r w:rsidR="00DF135E" w:rsidRPr="006D2720">
        <w:rPr>
          <w:rFonts w:ascii="Times New Roman" w:hAnsi="Times New Roman" w:cs="Times New Roman"/>
        </w:rPr>
        <w:t xml:space="preserve"> and Queensland</w:t>
      </w:r>
      <w:r w:rsidR="0020697B" w:rsidRPr="006D2720">
        <w:rPr>
          <w:rStyle w:val="FootnoteReference"/>
          <w:rFonts w:ascii="Times New Roman" w:hAnsi="Times New Roman" w:cs="Times New Roman"/>
        </w:rPr>
        <w:footnoteReference w:id="138"/>
      </w:r>
      <w:r w:rsidR="0020697B" w:rsidRPr="006D2720">
        <w:rPr>
          <w:rFonts w:ascii="Times New Roman" w:hAnsi="Times New Roman" w:cs="Times New Roman"/>
        </w:rPr>
        <w:t xml:space="preserve"> </w:t>
      </w:r>
      <w:r w:rsidRPr="006D2720">
        <w:rPr>
          <w:rFonts w:ascii="Times New Roman" w:hAnsi="Times New Roman" w:cs="Times New Roman"/>
        </w:rPr>
        <w:t xml:space="preserve"> also </w:t>
      </w:r>
      <w:r w:rsidR="00BA43DB" w:rsidRPr="006D2720">
        <w:rPr>
          <w:rFonts w:ascii="Times New Roman" w:hAnsi="Times New Roman" w:cs="Times New Roman"/>
        </w:rPr>
        <w:t xml:space="preserve">provide </w:t>
      </w:r>
      <w:r w:rsidRPr="006D2720">
        <w:rPr>
          <w:rFonts w:ascii="Times New Roman" w:hAnsi="Times New Roman" w:cs="Times New Roman"/>
        </w:rPr>
        <w:t xml:space="preserve">for </w:t>
      </w:r>
      <w:r w:rsidR="00F45F72" w:rsidRPr="006D2720">
        <w:rPr>
          <w:rFonts w:ascii="Times New Roman" w:hAnsi="Times New Roman" w:cs="Times New Roman"/>
        </w:rPr>
        <w:t xml:space="preserve">similar </w:t>
      </w:r>
      <w:r w:rsidRPr="006D2720">
        <w:rPr>
          <w:rFonts w:ascii="Times New Roman" w:hAnsi="Times New Roman" w:cs="Times New Roman"/>
        </w:rPr>
        <w:t>exemptions on the basis of the public interest.</w:t>
      </w:r>
      <w:r w:rsidR="0020697B" w:rsidRPr="006D2720">
        <w:rPr>
          <w:rFonts w:ascii="Times New Roman" w:hAnsi="Times New Roman" w:cs="Times New Roman"/>
        </w:rPr>
        <w:t xml:space="preserve"> </w:t>
      </w:r>
      <w:r w:rsidR="00071A91" w:rsidRPr="006D2720">
        <w:rPr>
          <w:rFonts w:ascii="Times New Roman" w:hAnsi="Times New Roman" w:cs="Times New Roman"/>
        </w:rPr>
        <w:t>The respective parliaments i</w:t>
      </w:r>
      <w:r w:rsidR="0020697B" w:rsidRPr="006D2720">
        <w:rPr>
          <w:rFonts w:ascii="Times New Roman" w:hAnsi="Times New Roman" w:cs="Times New Roman"/>
        </w:rPr>
        <w:t xml:space="preserve">n the latter two jurisdictions, </w:t>
      </w:r>
      <w:r w:rsidR="00927AD5" w:rsidRPr="006D2720">
        <w:rPr>
          <w:rFonts w:ascii="Times New Roman" w:hAnsi="Times New Roman" w:cs="Times New Roman"/>
        </w:rPr>
        <w:t xml:space="preserve">also </w:t>
      </w:r>
      <w:r w:rsidR="0020697B" w:rsidRPr="006D2720">
        <w:rPr>
          <w:rFonts w:ascii="Times New Roman" w:hAnsi="Times New Roman" w:cs="Times New Roman"/>
        </w:rPr>
        <w:t>ha</w:t>
      </w:r>
      <w:r w:rsidR="00071A91" w:rsidRPr="006D2720">
        <w:rPr>
          <w:rFonts w:ascii="Times New Roman" w:hAnsi="Times New Roman" w:cs="Times New Roman"/>
        </w:rPr>
        <w:t>ve the</w:t>
      </w:r>
      <w:r w:rsidR="0020697B" w:rsidRPr="006D2720">
        <w:rPr>
          <w:rFonts w:ascii="Times New Roman" w:hAnsi="Times New Roman" w:cs="Times New Roman"/>
        </w:rPr>
        <w:t xml:space="preserve"> power to disallow an </w:t>
      </w:r>
      <w:r w:rsidR="000149A9" w:rsidRPr="006D2720">
        <w:rPr>
          <w:rFonts w:ascii="Times New Roman" w:hAnsi="Times New Roman" w:cs="Times New Roman"/>
        </w:rPr>
        <w:t>exemption.</w:t>
      </w:r>
      <w:r w:rsidR="000149A9" w:rsidRPr="006D2720">
        <w:rPr>
          <w:rStyle w:val="FootnoteReference"/>
          <w:rFonts w:ascii="Times New Roman" w:hAnsi="Times New Roman" w:cs="Times New Roman"/>
        </w:rPr>
        <w:footnoteReference w:id="139"/>
      </w:r>
    </w:p>
    <w:p w14:paraId="7855D6D8" w14:textId="0DA8FDD5" w:rsidR="009428AA" w:rsidRPr="006D2720" w:rsidRDefault="001A4264" w:rsidP="0064654A">
      <w:pPr>
        <w:pStyle w:val="Heading3"/>
        <w:rPr>
          <w:rFonts w:ascii="Times New Roman" w:hAnsi="Times New Roman" w:cs="Times New Roman"/>
        </w:rPr>
      </w:pPr>
      <w:r w:rsidRPr="006D2720">
        <w:rPr>
          <w:rFonts w:ascii="Times New Roman" w:hAnsi="Times New Roman" w:cs="Times New Roman"/>
        </w:rPr>
        <w:t>The</w:t>
      </w:r>
      <w:r w:rsidR="00C35A69" w:rsidRPr="006D2720">
        <w:rPr>
          <w:rFonts w:ascii="Times New Roman" w:hAnsi="Times New Roman" w:cs="Times New Roman"/>
        </w:rPr>
        <w:t xml:space="preserve"> </w:t>
      </w:r>
      <w:r w:rsidR="0008233C" w:rsidRPr="006D2720">
        <w:rPr>
          <w:rFonts w:ascii="Times New Roman" w:hAnsi="Times New Roman" w:cs="Times New Roman"/>
        </w:rPr>
        <w:t xml:space="preserve">Commonwealth Privacy Act also </w:t>
      </w:r>
      <w:r w:rsidR="00C35A69" w:rsidRPr="006D2720">
        <w:rPr>
          <w:rFonts w:ascii="Times New Roman" w:hAnsi="Times New Roman" w:cs="Times New Roman"/>
        </w:rPr>
        <w:t xml:space="preserve">provides </w:t>
      </w:r>
      <w:r w:rsidR="0008233C" w:rsidRPr="006D2720">
        <w:rPr>
          <w:rFonts w:ascii="Times New Roman" w:hAnsi="Times New Roman" w:cs="Times New Roman"/>
        </w:rPr>
        <w:t>for public interest determinations</w:t>
      </w:r>
      <w:r w:rsidR="000918AE" w:rsidRPr="006D2720">
        <w:rPr>
          <w:rFonts w:ascii="Times New Roman" w:hAnsi="Times New Roman" w:cs="Times New Roman"/>
        </w:rPr>
        <w:t xml:space="preserve"> which excuse</w:t>
      </w:r>
      <w:r w:rsidR="008628E8" w:rsidRPr="006D2720">
        <w:rPr>
          <w:rFonts w:ascii="Times New Roman" w:hAnsi="Times New Roman" w:cs="Times New Roman"/>
        </w:rPr>
        <w:t xml:space="preserve"> breaches of</w:t>
      </w:r>
      <w:r w:rsidR="000918AE" w:rsidRPr="006D2720">
        <w:rPr>
          <w:rFonts w:ascii="Times New Roman" w:hAnsi="Times New Roman" w:cs="Times New Roman"/>
        </w:rPr>
        <w:t xml:space="preserve"> privacy</w:t>
      </w:r>
      <w:r w:rsidR="009C01D4" w:rsidRPr="006D2720">
        <w:rPr>
          <w:rFonts w:ascii="Times New Roman" w:hAnsi="Times New Roman" w:cs="Times New Roman"/>
        </w:rPr>
        <w:t xml:space="preserve">, either where it may occur </w:t>
      </w:r>
      <w:r w:rsidR="00071A91" w:rsidRPr="006D2720">
        <w:rPr>
          <w:rFonts w:ascii="Times New Roman" w:hAnsi="Times New Roman" w:cs="Times New Roman"/>
        </w:rPr>
        <w:t xml:space="preserve">in the future </w:t>
      </w:r>
      <w:r w:rsidR="009C01D4" w:rsidRPr="006D2720">
        <w:rPr>
          <w:rFonts w:ascii="Times New Roman" w:hAnsi="Times New Roman" w:cs="Times New Roman"/>
        </w:rPr>
        <w:t xml:space="preserve">or </w:t>
      </w:r>
      <w:r w:rsidR="00D865F2" w:rsidRPr="006D2720">
        <w:rPr>
          <w:rFonts w:ascii="Times New Roman" w:hAnsi="Times New Roman" w:cs="Times New Roman"/>
          <w:i/>
          <w:iCs/>
        </w:rPr>
        <w:t>after</w:t>
      </w:r>
      <w:r w:rsidR="00D865F2" w:rsidRPr="006D2720">
        <w:rPr>
          <w:rFonts w:ascii="Times New Roman" w:hAnsi="Times New Roman" w:cs="Times New Roman"/>
        </w:rPr>
        <w:t xml:space="preserve"> they have </w:t>
      </w:r>
      <w:r w:rsidR="0005660F" w:rsidRPr="006D2720">
        <w:rPr>
          <w:rFonts w:ascii="Times New Roman" w:hAnsi="Times New Roman" w:cs="Times New Roman"/>
        </w:rPr>
        <w:t xml:space="preserve">already </w:t>
      </w:r>
      <w:r w:rsidR="005F0581" w:rsidRPr="006D2720">
        <w:rPr>
          <w:rFonts w:ascii="Times New Roman" w:hAnsi="Times New Roman" w:cs="Times New Roman"/>
        </w:rPr>
        <w:t>occurred</w:t>
      </w:r>
      <w:r w:rsidR="00D62A9E" w:rsidRPr="006D2720">
        <w:rPr>
          <w:rFonts w:ascii="Times New Roman" w:hAnsi="Times New Roman" w:cs="Times New Roman"/>
        </w:rPr>
        <w:t>.</w:t>
      </w:r>
      <w:r w:rsidR="009428AA" w:rsidRPr="006D2720">
        <w:rPr>
          <w:rFonts w:ascii="Times New Roman" w:hAnsi="Times New Roman" w:cs="Times New Roman"/>
        </w:rPr>
        <w:t xml:space="preserve"> </w:t>
      </w:r>
      <w:r w:rsidR="00F62936" w:rsidRPr="006D2720">
        <w:rPr>
          <w:rFonts w:ascii="Times New Roman" w:hAnsi="Times New Roman" w:cs="Times New Roman"/>
        </w:rPr>
        <w:t>Where an entity</w:t>
      </w:r>
      <w:r w:rsidR="004F12E3" w:rsidRPr="006D2720">
        <w:rPr>
          <w:rFonts w:ascii="Times New Roman" w:hAnsi="Times New Roman" w:cs="Times New Roman"/>
        </w:rPr>
        <w:t>’</w:t>
      </w:r>
      <w:r w:rsidR="00063AFB" w:rsidRPr="006D2720">
        <w:rPr>
          <w:rFonts w:ascii="Times New Roman" w:hAnsi="Times New Roman" w:cs="Times New Roman"/>
        </w:rPr>
        <w:t>s acts or practices</w:t>
      </w:r>
      <w:r w:rsidR="00F62936" w:rsidRPr="006D2720">
        <w:rPr>
          <w:rFonts w:ascii="Times New Roman" w:hAnsi="Times New Roman" w:cs="Times New Roman"/>
        </w:rPr>
        <w:t xml:space="preserve"> may breach</w:t>
      </w:r>
      <w:r w:rsidR="00B23BFA" w:rsidRPr="006D2720">
        <w:rPr>
          <w:rFonts w:ascii="Times New Roman" w:hAnsi="Times New Roman" w:cs="Times New Roman"/>
        </w:rPr>
        <w:t>,</w:t>
      </w:r>
      <w:r w:rsidR="00F62936" w:rsidRPr="006D2720">
        <w:rPr>
          <w:rFonts w:ascii="Times New Roman" w:hAnsi="Times New Roman" w:cs="Times New Roman"/>
        </w:rPr>
        <w:t xml:space="preserve"> or </w:t>
      </w:r>
      <w:r w:rsidR="00D6247D" w:rsidRPr="006D2720">
        <w:rPr>
          <w:rFonts w:ascii="Times New Roman" w:hAnsi="Times New Roman" w:cs="Times New Roman"/>
        </w:rPr>
        <w:t xml:space="preserve">have </w:t>
      </w:r>
      <w:r w:rsidR="00F62936" w:rsidRPr="006D2720">
        <w:rPr>
          <w:rFonts w:ascii="Times New Roman" w:hAnsi="Times New Roman" w:cs="Times New Roman"/>
        </w:rPr>
        <w:t>breached</w:t>
      </w:r>
      <w:r w:rsidR="00B23BFA" w:rsidRPr="006D2720">
        <w:rPr>
          <w:rFonts w:ascii="Times New Roman" w:hAnsi="Times New Roman" w:cs="Times New Roman"/>
        </w:rPr>
        <w:t>,</w:t>
      </w:r>
      <w:r w:rsidR="00F62936" w:rsidRPr="006D2720">
        <w:rPr>
          <w:rFonts w:ascii="Times New Roman" w:hAnsi="Times New Roman" w:cs="Times New Roman"/>
        </w:rPr>
        <w:t xml:space="preserve"> a privacy </w:t>
      </w:r>
      <w:r w:rsidR="00227732" w:rsidRPr="006D2720">
        <w:rPr>
          <w:rFonts w:ascii="Times New Roman" w:hAnsi="Times New Roman" w:cs="Times New Roman"/>
        </w:rPr>
        <w:t>obligation</w:t>
      </w:r>
      <w:r w:rsidR="007F4B3F" w:rsidRPr="006D2720">
        <w:rPr>
          <w:rFonts w:ascii="Times New Roman" w:hAnsi="Times New Roman" w:cs="Times New Roman"/>
        </w:rPr>
        <w:t xml:space="preserve">, the </w:t>
      </w:r>
      <w:r w:rsidR="001929A1" w:rsidRPr="006D2720">
        <w:rPr>
          <w:rFonts w:ascii="Times New Roman" w:hAnsi="Times New Roman" w:cs="Times New Roman"/>
        </w:rPr>
        <w:t>OAIC</w:t>
      </w:r>
      <w:r w:rsidR="007F4B3F" w:rsidRPr="006D2720">
        <w:rPr>
          <w:rFonts w:ascii="Times New Roman" w:hAnsi="Times New Roman" w:cs="Times New Roman"/>
        </w:rPr>
        <w:t xml:space="preserve"> may make a public interest determination</w:t>
      </w:r>
      <w:r w:rsidR="00881B72" w:rsidRPr="006D2720">
        <w:rPr>
          <w:rFonts w:ascii="Times New Roman" w:hAnsi="Times New Roman" w:cs="Times New Roman"/>
        </w:rPr>
        <w:t xml:space="preserve"> </w:t>
      </w:r>
      <w:r w:rsidR="001026E6" w:rsidRPr="006D2720">
        <w:rPr>
          <w:rFonts w:ascii="Times New Roman" w:hAnsi="Times New Roman" w:cs="Times New Roman"/>
        </w:rPr>
        <w:t xml:space="preserve">if </w:t>
      </w:r>
      <w:r w:rsidR="00071A91" w:rsidRPr="006D2720">
        <w:rPr>
          <w:rFonts w:ascii="Times New Roman" w:hAnsi="Times New Roman" w:cs="Times New Roman"/>
        </w:rPr>
        <w:t xml:space="preserve">it is </w:t>
      </w:r>
      <w:r w:rsidR="007D677C" w:rsidRPr="006D2720">
        <w:rPr>
          <w:rFonts w:ascii="Times New Roman" w:hAnsi="Times New Roman" w:cs="Times New Roman"/>
        </w:rPr>
        <w:t>satisfied that the</w:t>
      </w:r>
      <w:r w:rsidR="00E44F96" w:rsidRPr="006D2720">
        <w:rPr>
          <w:rFonts w:ascii="Times New Roman" w:hAnsi="Times New Roman" w:cs="Times New Roman"/>
        </w:rPr>
        <w:t xml:space="preserve"> public interest in the </w:t>
      </w:r>
      <w:r w:rsidR="00881B72" w:rsidRPr="006D2720">
        <w:rPr>
          <w:rFonts w:ascii="Times New Roman" w:hAnsi="Times New Roman" w:cs="Times New Roman"/>
        </w:rPr>
        <w:t xml:space="preserve">act or practice </w:t>
      </w:r>
      <w:r w:rsidR="00E44F96" w:rsidRPr="006D2720">
        <w:rPr>
          <w:rFonts w:ascii="Times New Roman" w:hAnsi="Times New Roman" w:cs="Times New Roman"/>
        </w:rPr>
        <w:t xml:space="preserve">substantially outweighs the public interest in adhering to </w:t>
      </w:r>
      <w:r w:rsidR="009428AA" w:rsidRPr="006D2720">
        <w:rPr>
          <w:rFonts w:ascii="Times New Roman" w:hAnsi="Times New Roman" w:cs="Times New Roman"/>
        </w:rPr>
        <w:t>the privacy</w:t>
      </w:r>
      <w:r w:rsidR="00227732" w:rsidRPr="006D2720">
        <w:rPr>
          <w:rFonts w:ascii="Times New Roman" w:hAnsi="Times New Roman" w:cs="Times New Roman"/>
        </w:rPr>
        <w:t xml:space="preserve"> obligation</w:t>
      </w:r>
      <w:r w:rsidR="00AF7722" w:rsidRPr="006D2720">
        <w:rPr>
          <w:rFonts w:ascii="Times New Roman" w:hAnsi="Times New Roman" w:cs="Times New Roman"/>
        </w:rPr>
        <w:t>.</w:t>
      </w:r>
      <w:r w:rsidR="00AF7722" w:rsidRPr="006D2720">
        <w:rPr>
          <w:rStyle w:val="FootnoteReference"/>
          <w:rFonts w:ascii="Times New Roman" w:hAnsi="Times New Roman" w:cs="Times New Roman"/>
        </w:rPr>
        <w:footnoteReference w:id="140"/>
      </w:r>
      <w:r w:rsidR="000918AE" w:rsidRPr="006D2720">
        <w:rPr>
          <w:rFonts w:ascii="Times New Roman" w:hAnsi="Times New Roman" w:cs="Times New Roman"/>
        </w:rPr>
        <w:t xml:space="preserve"> </w:t>
      </w:r>
      <w:r w:rsidR="00773C48" w:rsidRPr="006D2720">
        <w:rPr>
          <w:rFonts w:ascii="Times New Roman" w:hAnsi="Times New Roman" w:cs="Times New Roman"/>
        </w:rPr>
        <w:t xml:space="preserve">For as long as the determination is in force, </w:t>
      </w:r>
      <w:r w:rsidR="0090777F" w:rsidRPr="006D2720">
        <w:rPr>
          <w:rFonts w:ascii="Times New Roman" w:hAnsi="Times New Roman" w:cs="Times New Roman"/>
        </w:rPr>
        <w:t xml:space="preserve">acts or practices that would otherwise contravene </w:t>
      </w:r>
      <w:r w:rsidR="00A10A2F" w:rsidRPr="006D2720">
        <w:rPr>
          <w:rFonts w:ascii="Times New Roman" w:hAnsi="Times New Roman" w:cs="Times New Roman"/>
        </w:rPr>
        <w:t xml:space="preserve">privacy </w:t>
      </w:r>
      <w:r w:rsidR="0090777F" w:rsidRPr="006D2720">
        <w:rPr>
          <w:rFonts w:ascii="Times New Roman" w:hAnsi="Times New Roman" w:cs="Times New Roman"/>
        </w:rPr>
        <w:t xml:space="preserve">obligations are not taken to be breaches of the </w:t>
      </w:r>
      <w:r w:rsidR="00071A91" w:rsidRPr="006D2720">
        <w:rPr>
          <w:rFonts w:ascii="Times New Roman" w:hAnsi="Times New Roman" w:cs="Times New Roman"/>
        </w:rPr>
        <w:t xml:space="preserve">Privacy </w:t>
      </w:r>
      <w:r w:rsidR="0090777F" w:rsidRPr="006D2720">
        <w:rPr>
          <w:rFonts w:ascii="Times New Roman" w:hAnsi="Times New Roman" w:cs="Times New Roman"/>
        </w:rPr>
        <w:t>Act</w:t>
      </w:r>
      <w:r w:rsidR="004730B4" w:rsidRPr="006D2720">
        <w:rPr>
          <w:rFonts w:ascii="Times New Roman" w:hAnsi="Times New Roman" w:cs="Times New Roman"/>
        </w:rPr>
        <w:t>.</w:t>
      </w:r>
      <w:r w:rsidR="00E12D21" w:rsidRPr="006D2720">
        <w:rPr>
          <w:rStyle w:val="FootnoteReference"/>
          <w:rFonts w:ascii="Times New Roman" w:hAnsi="Times New Roman" w:cs="Times New Roman"/>
        </w:rPr>
        <w:footnoteReference w:id="141"/>
      </w:r>
    </w:p>
    <w:p w14:paraId="7102C5D5" w14:textId="4187FAF8" w:rsidR="004F5581" w:rsidRPr="006D2720" w:rsidRDefault="00487DF5" w:rsidP="0066337D">
      <w:pPr>
        <w:pStyle w:val="Heading3"/>
        <w:rPr>
          <w:rFonts w:ascii="Times New Roman" w:hAnsi="Times New Roman" w:cs="Times New Roman"/>
        </w:rPr>
      </w:pPr>
      <w:r w:rsidRPr="006D2720">
        <w:rPr>
          <w:rFonts w:ascii="Times New Roman" w:hAnsi="Times New Roman" w:cs="Times New Roman"/>
        </w:rPr>
        <w:t xml:space="preserve">The </w:t>
      </w:r>
      <w:r w:rsidR="007626A9" w:rsidRPr="006D2720">
        <w:rPr>
          <w:rFonts w:ascii="Times New Roman" w:hAnsi="Times New Roman" w:cs="Times New Roman"/>
        </w:rPr>
        <w:t xml:space="preserve">Australian Information </w:t>
      </w:r>
      <w:r w:rsidRPr="006D2720">
        <w:rPr>
          <w:rFonts w:ascii="Times New Roman" w:hAnsi="Times New Roman" w:cs="Times New Roman"/>
        </w:rPr>
        <w:t xml:space="preserve">Commissioner may make a determination </w:t>
      </w:r>
      <w:r w:rsidR="0064654A" w:rsidRPr="006D2720">
        <w:rPr>
          <w:rFonts w:ascii="Times New Roman" w:hAnsi="Times New Roman" w:cs="Times New Roman"/>
        </w:rPr>
        <w:t xml:space="preserve">that </w:t>
      </w:r>
      <w:r w:rsidR="005A76DA" w:rsidRPr="006D2720">
        <w:rPr>
          <w:rFonts w:ascii="Times New Roman" w:hAnsi="Times New Roman" w:cs="Times New Roman"/>
        </w:rPr>
        <w:t xml:space="preserve">applies to all entities subject to the APPs. </w:t>
      </w:r>
      <w:r w:rsidR="001929A1" w:rsidRPr="006D2720">
        <w:rPr>
          <w:rFonts w:ascii="Times New Roman" w:hAnsi="Times New Roman" w:cs="Times New Roman"/>
        </w:rPr>
        <w:t xml:space="preserve">The mechanisms for </w:t>
      </w:r>
      <w:r w:rsidR="004124D9" w:rsidRPr="006D2720">
        <w:rPr>
          <w:rFonts w:ascii="Times New Roman" w:hAnsi="Times New Roman" w:cs="Times New Roman"/>
        </w:rPr>
        <w:t>relevant</w:t>
      </w:r>
      <w:r w:rsidR="001929A1" w:rsidRPr="006D2720">
        <w:rPr>
          <w:rFonts w:ascii="Times New Roman" w:hAnsi="Times New Roman" w:cs="Times New Roman"/>
        </w:rPr>
        <w:t xml:space="preserve"> process</w:t>
      </w:r>
      <w:r w:rsidR="004124D9" w:rsidRPr="006D2720">
        <w:rPr>
          <w:rFonts w:ascii="Times New Roman" w:hAnsi="Times New Roman" w:cs="Times New Roman"/>
        </w:rPr>
        <w:t>es</w:t>
      </w:r>
      <w:r w:rsidR="00640298" w:rsidRPr="006D2720">
        <w:rPr>
          <w:rFonts w:ascii="Times New Roman" w:hAnsi="Times New Roman" w:cs="Times New Roman"/>
        </w:rPr>
        <w:t xml:space="preserve"> are set out in the </w:t>
      </w:r>
      <w:r w:rsidR="00071A91" w:rsidRPr="006D2720">
        <w:rPr>
          <w:rFonts w:ascii="Times New Roman" w:hAnsi="Times New Roman" w:cs="Times New Roman"/>
        </w:rPr>
        <w:t xml:space="preserve">Privacy </w:t>
      </w:r>
      <w:r w:rsidR="00640298" w:rsidRPr="006D2720">
        <w:rPr>
          <w:rFonts w:ascii="Times New Roman" w:hAnsi="Times New Roman" w:cs="Times New Roman"/>
        </w:rPr>
        <w:t>Act.</w:t>
      </w:r>
      <w:r w:rsidR="009C60B7" w:rsidRPr="006D2720">
        <w:rPr>
          <w:rStyle w:val="FootnoteReference"/>
          <w:rFonts w:ascii="Times New Roman" w:hAnsi="Times New Roman" w:cs="Times New Roman"/>
        </w:rPr>
        <w:footnoteReference w:id="142"/>
      </w:r>
      <w:r w:rsidR="009C60B7" w:rsidRPr="006D2720">
        <w:rPr>
          <w:rFonts w:ascii="Times New Roman" w:hAnsi="Times New Roman" w:cs="Times New Roman"/>
        </w:rPr>
        <w:t xml:space="preserve"> </w:t>
      </w:r>
      <w:r w:rsidR="00B71C90" w:rsidRPr="006D2720">
        <w:rPr>
          <w:rFonts w:ascii="Times New Roman" w:hAnsi="Times New Roman" w:cs="Times New Roman"/>
        </w:rPr>
        <w:t xml:space="preserve">Where an urgent decision is needed, the Act also allows </w:t>
      </w:r>
      <w:r w:rsidR="004124D9" w:rsidRPr="006D2720">
        <w:rPr>
          <w:rFonts w:ascii="Times New Roman" w:hAnsi="Times New Roman" w:cs="Times New Roman"/>
        </w:rPr>
        <w:t xml:space="preserve">the Minister to make a </w:t>
      </w:r>
      <w:r w:rsidR="009C60B7" w:rsidRPr="006D2720">
        <w:rPr>
          <w:rFonts w:ascii="Times New Roman" w:hAnsi="Times New Roman" w:cs="Times New Roman"/>
        </w:rPr>
        <w:t>temporary determination</w:t>
      </w:r>
      <w:r w:rsidR="004124D9" w:rsidRPr="006D2720">
        <w:rPr>
          <w:rFonts w:ascii="Times New Roman" w:hAnsi="Times New Roman" w:cs="Times New Roman"/>
        </w:rPr>
        <w:t>,</w:t>
      </w:r>
      <w:r w:rsidR="000426C8" w:rsidRPr="006D2720">
        <w:rPr>
          <w:rStyle w:val="FootnoteReference"/>
          <w:rFonts w:ascii="Times New Roman" w:hAnsi="Times New Roman" w:cs="Times New Roman"/>
        </w:rPr>
        <w:footnoteReference w:id="143"/>
      </w:r>
      <w:r w:rsidR="008852AE" w:rsidRPr="006D2720">
        <w:rPr>
          <w:rFonts w:ascii="Times New Roman" w:hAnsi="Times New Roman" w:cs="Times New Roman"/>
        </w:rPr>
        <w:t xml:space="preserve"> </w:t>
      </w:r>
      <w:r w:rsidR="0064654A" w:rsidRPr="006D2720">
        <w:rPr>
          <w:rFonts w:ascii="Times New Roman" w:hAnsi="Times New Roman" w:cs="Times New Roman"/>
        </w:rPr>
        <w:t xml:space="preserve">including </w:t>
      </w:r>
      <w:r w:rsidR="004124D9" w:rsidRPr="006D2720">
        <w:rPr>
          <w:rFonts w:ascii="Times New Roman" w:hAnsi="Times New Roman" w:cs="Times New Roman"/>
        </w:rPr>
        <w:t>o</w:t>
      </w:r>
      <w:r w:rsidR="008C79B6" w:rsidRPr="006D2720">
        <w:rPr>
          <w:rFonts w:ascii="Times New Roman" w:hAnsi="Times New Roman" w:cs="Times New Roman"/>
        </w:rPr>
        <w:t xml:space="preserve">n the Commissioner’s own </w:t>
      </w:r>
      <w:r w:rsidR="00C45215" w:rsidRPr="006D2720">
        <w:rPr>
          <w:rFonts w:ascii="Times New Roman" w:hAnsi="Times New Roman" w:cs="Times New Roman"/>
        </w:rPr>
        <w:t>initiative</w:t>
      </w:r>
      <w:r w:rsidR="006C75C1" w:rsidRPr="006D2720">
        <w:rPr>
          <w:rFonts w:ascii="Times New Roman" w:hAnsi="Times New Roman" w:cs="Times New Roman"/>
        </w:rPr>
        <w:t xml:space="preserve"> (without an application)</w:t>
      </w:r>
      <w:r w:rsidR="008C79B6" w:rsidRPr="006D2720">
        <w:rPr>
          <w:rFonts w:ascii="Times New Roman" w:hAnsi="Times New Roman" w:cs="Times New Roman"/>
        </w:rPr>
        <w:t>.</w:t>
      </w:r>
      <w:r w:rsidR="008C79B6" w:rsidRPr="006D2720">
        <w:rPr>
          <w:rStyle w:val="FootnoteReference"/>
          <w:rFonts w:ascii="Times New Roman" w:hAnsi="Times New Roman" w:cs="Times New Roman"/>
        </w:rPr>
        <w:footnoteReference w:id="144"/>
      </w:r>
      <w:r w:rsidR="00640298" w:rsidRPr="006D2720">
        <w:rPr>
          <w:rFonts w:ascii="Times New Roman" w:hAnsi="Times New Roman" w:cs="Times New Roman"/>
        </w:rPr>
        <w:t xml:space="preserve"> </w:t>
      </w:r>
      <w:r w:rsidR="0070146D" w:rsidRPr="006D2720">
        <w:rPr>
          <w:rFonts w:ascii="Times New Roman" w:hAnsi="Times New Roman" w:cs="Times New Roman"/>
        </w:rPr>
        <w:t xml:space="preserve">The </w:t>
      </w:r>
      <w:r w:rsidR="00920465" w:rsidRPr="006D2720">
        <w:rPr>
          <w:rFonts w:ascii="Times New Roman" w:hAnsi="Times New Roman" w:cs="Times New Roman"/>
        </w:rPr>
        <w:t>OAIC</w:t>
      </w:r>
      <w:r w:rsidR="0070146D" w:rsidRPr="006D2720">
        <w:rPr>
          <w:rFonts w:ascii="Times New Roman" w:hAnsi="Times New Roman" w:cs="Times New Roman"/>
        </w:rPr>
        <w:t xml:space="preserve"> maintains a </w:t>
      </w:r>
      <w:r w:rsidR="00FF0C45" w:rsidRPr="006D2720">
        <w:rPr>
          <w:rFonts w:ascii="Times New Roman" w:hAnsi="Times New Roman" w:cs="Times New Roman"/>
        </w:rPr>
        <w:t>register of public interest determinations</w:t>
      </w:r>
      <w:r w:rsidR="004530BF" w:rsidRPr="006D2720">
        <w:rPr>
          <w:rFonts w:ascii="Times New Roman" w:hAnsi="Times New Roman" w:cs="Times New Roman"/>
        </w:rPr>
        <w:t>.</w:t>
      </w:r>
      <w:r w:rsidR="004530BF" w:rsidRPr="006D2720">
        <w:rPr>
          <w:rStyle w:val="FootnoteReference"/>
          <w:rFonts w:ascii="Times New Roman" w:hAnsi="Times New Roman" w:cs="Times New Roman"/>
        </w:rPr>
        <w:footnoteReference w:id="145"/>
      </w:r>
      <w:r w:rsidR="00CB2636" w:rsidRPr="006D2720">
        <w:rPr>
          <w:rFonts w:ascii="Times New Roman" w:hAnsi="Times New Roman" w:cs="Times New Roman"/>
        </w:rPr>
        <w:t xml:space="preserve"> There have been </w:t>
      </w:r>
      <w:r w:rsidR="002C7BFB" w:rsidRPr="006D2720">
        <w:rPr>
          <w:rFonts w:ascii="Times New Roman" w:hAnsi="Times New Roman" w:cs="Times New Roman"/>
        </w:rPr>
        <w:t xml:space="preserve">eight </w:t>
      </w:r>
      <w:r w:rsidR="00CB2636" w:rsidRPr="006D2720">
        <w:rPr>
          <w:rFonts w:ascii="Times New Roman" w:hAnsi="Times New Roman" w:cs="Times New Roman"/>
        </w:rPr>
        <w:t xml:space="preserve">since </w:t>
      </w:r>
      <w:r w:rsidR="003E3027" w:rsidRPr="006D2720">
        <w:rPr>
          <w:rFonts w:ascii="Times New Roman" w:hAnsi="Times New Roman" w:cs="Times New Roman"/>
        </w:rPr>
        <w:t xml:space="preserve">2015, with </w:t>
      </w:r>
      <w:r w:rsidR="002C7BFB" w:rsidRPr="006D2720">
        <w:rPr>
          <w:rFonts w:ascii="Times New Roman" w:hAnsi="Times New Roman" w:cs="Times New Roman"/>
        </w:rPr>
        <w:t xml:space="preserve">five </w:t>
      </w:r>
      <w:r w:rsidR="003E3027" w:rsidRPr="006D2720">
        <w:rPr>
          <w:rFonts w:ascii="Times New Roman" w:hAnsi="Times New Roman" w:cs="Times New Roman"/>
        </w:rPr>
        <w:t>currently in effect.</w:t>
      </w:r>
    </w:p>
    <w:p w14:paraId="7ED9100B" w14:textId="47EC1E85" w:rsidR="0047265B" w:rsidRPr="006D2720" w:rsidRDefault="004410D9" w:rsidP="00B61E43">
      <w:pPr>
        <w:rPr>
          <w:rFonts w:ascii="Times New Roman" w:hAnsi="Times New Roman" w:cs="Times New Roman"/>
          <w:b/>
          <w:bCs/>
          <w:i/>
          <w:iCs/>
        </w:rPr>
      </w:pPr>
      <w:r w:rsidRPr="006D2720">
        <w:rPr>
          <w:rFonts w:ascii="Times New Roman" w:hAnsi="Times New Roman" w:cs="Times New Roman"/>
          <w:b/>
          <w:bCs/>
          <w:i/>
          <w:iCs/>
        </w:rPr>
        <w:t>Emergency declarations</w:t>
      </w:r>
    </w:p>
    <w:p w14:paraId="13AEE13D" w14:textId="64DBFBBC" w:rsidR="000F424D" w:rsidRPr="006D2720" w:rsidRDefault="00850D00" w:rsidP="00907AB9">
      <w:pPr>
        <w:pStyle w:val="Heading3"/>
        <w:rPr>
          <w:rFonts w:ascii="Times New Roman" w:hAnsi="Times New Roman" w:cs="Times New Roman"/>
        </w:rPr>
      </w:pPr>
      <w:r w:rsidRPr="006D2720">
        <w:rPr>
          <w:rFonts w:ascii="Times New Roman" w:hAnsi="Times New Roman" w:cs="Times New Roman"/>
        </w:rPr>
        <w:t xml:space="preserve">The </w:t>
      </w:r>
      <w:r w:rsidR="00FA290C" w:rsidRPr="006D2720">
        <w:rPr>
          <w:rFonts w:ascii="Times New Roman" w:hAnsi="Times New Roman" w:cs="Times New Roman"/>
        </w:rPr>
        <w:t xml:space="preserve">Tasmanian </w:t>
      </w:r>
      <w:r w:rsidR="00104034" w:rsidRPr="006D2720">
        <w:rPr>
          <w:rFonts w:ascii="Times New Roman" w:hAnsi="Times New Roman" w:cs="Times New Roman"/>
        </w:rPr>
        <w:t xml:space="preserve">PIPA does not expressly provide </w:t>
      </w:r>
      <w:r w:rsidR="006F50C1" w:rsidRPr="006D2720">
        <w:rPr>
          <w:rFonts w:ascii="Times New Roman" w:hAnsi="Times New Roman" w:cs="Times New Roman"/>
        </w:rPr>
        <w:t xml:space="preserve">any general exceptions relating to responding to emergency situations. </w:t>
      </w:r>
      <w:r w:rsidR="00C40E4A" w:rsidRPr="006D2720">
        <w:rPr>
          <w:rFonts w:ascii="Times New Roman" w:hAnsi="Times New Roman" w:cs="Times New Roman"/>
        </w:rPr>
        <w:t xml:space="preserve">However, </w:t>
      </w:r>
      <w:r w:rsidR="000F424D" w:rsidRPr="006D2720">
        <w:rPr>
          <w:rFonts w:ascii="Times New Roman" w:hAnsi="Times New Roman" w:cs="Times New Roman"/>
        </w:rPr>
        <w:t>this</w:t>
      </w:r>
      <w:r w:rsidR="00A97C7D" w:rsidRPr="006D2720">
        <w:rPr>
          <w:rFonts w:ascii="Times New Roman" w:hAnsi="Times New Roman" w:cs="Times New Roman"/>
        </w:rPr>
        <w:t xml:space="preserve"> situation</w:t>
      </w:r>
      <w:r w:rsidR="000F424D" w:rsidRPr="006D2720">
        <w:rPr>
          <w:rFonts w:ascii="Times New Roman" w:hAnsi="Times New Roman" w:cs="Times New Roman"/>
        </w:rPr>
        <w:t xml:space="preserve"> is addressed </w:t>
      </w:r>
      <w:r w:rsidR="00071A91" w:rsidRPr="006D2720">
        <w:rPr>
          <w:rFonts w:ascii="Times New Roman" w:hAnsi="Times New Roman" w:cs="Times New Roman"/>
        </w:rPr>
        <w:t>under</w:t>
      </w:r>
      <w:r w:rsidR="000F424D" w:rsidRPr="006D2720">
        <w:rPr>
          <w:rFonts w:ascii="Times New Roman" w:hAnsi="Times New Roman" w:cs="Times New Roman"/>
        </w:rPr>
        <w:t xml:space="preserve"> federal law.</w:t>
      </w:r>
    </w:p>
    <w:p w14:paraId="38DF4E9C" w14:textId="0EB17195" w:rsidR="00104034" w:rsidRPr="006D2720" w:rsidRDefault="001667F0" w:rsidP="0066337D">
      <w:pPr>
        <w:pStyle w:val="Heading3"/>
        <w:rPr>
          <w:rFonts w:ascii="Times New Roman" w:hAnsi="Times New Roman" w:cs="Times New Roman"/>
        </w:rPr>
      </w:pPr>
      <w:r w:rsidRPr="006D2720">
        <w:rPr>
          <w:rFonts w:ascii="Times New Roman" w:hAnsi="Times New Roman" w:cs="Times New Roman"/>
        </w:rPr>
        <w:t xml:space="preserve">Part VIA of the </w:t>
      </w:r>
      <w:r w:rsidR="00D1183C" w:rsidRPr="006D2720">
        <w:rPr>
          <w:rFonts w:ascii="Times New Roman" w:hAnsi="Times New Roman" w:cs="Times New Roman"/>
        </w:rPr>
        <w:t xml:space="preserve">Commonwealth Privacy Act </w:t>
      </w:r>
      <w:r w:rsidR="006950DA" w:rsidRPr="006D2720">
        <w:rPr>
          <w:rFonts w:ascii="Times New Roman" w:hAnsi="Times New Roman" w:cs="Times New Roman"/>
        </w:rPr>
        <w:t>allows</w:t>
      </w:r>
      <w:r w:rsidR="00104034" w:rsidRPr="006D2720">
        <w:rPr>
          <w:rFonts w:ascii="Times New Roman" w:hAnsi="Times New Roman" w:cs="Times New Roman"/>
        </w:rPr>
        <w:t xml:space="preserve"> for the Prime Minister or Minister to make an emergency declaration. The declaration has the general effect of overriding </w:t>
      </w:r>
      <w:r w:rsidR="002553A2" w:rsidRPr="006D2720">
        <w:rPr>
          <w:rFonts w:ascii="Times New Roman" w:hAnsi="Times New Roman" w:cs="Times New Roman"/>
        </w:rPr>
        <w:t>otherwise-applicable</w:t>
      </w:r>
      <w:r w:rsidR="00104034" w:rsidRPr="006D2720">
        <w:rPr>
          <w:rFonts w:ascii="Times New Roman" w:hAnsi="Times New Roman" w:cs="Times New Roman"/>
        </w:rPr>
        <w:t xml:space="preserve"> privacy requirements for the purpose of responding to emergencies or disasters</w:t>
      </w:r>
      <w:r w:rsidR="000C3300" w:rsidRPr="006D2720">
        <w:rPr>
          <w:rFonts w:ascii="Times New Roman" w:hAnsi="Times New Roman" w:cs="Times New Roman"/>
        </w:rPr>
        <w:t>. This includes</w:t>
      </w:r>
      <w:r w:rsidR="00104034" w:rsidRPr="006D2720">
        <w:rPr>
          <w:rFonts w:ascii="Times New Roman" w:hAnsi="Times New Roman" w:cs="Times New Roman"/>
        </w:rPr>
        <w:t xml:space="preserve"> allowing all entities subject to the </w:t>
      </w:r>
      <w:r w:rsidR="00F05F8C" w:rsidRPr="006D2720">
        <w:rPr>
          <w:rFonts w:ascii="Times New Roman" w:hAnsi="Times New Roman" w:cs="Times New Roman"/>
        </w:rPr>
        <w:t xml:space="preserve">Commonwealth </w:t>
      </w:r>
      <w:r w:rsidR="004D0796" w:rsidRPr="006D2720">
        <w:rPr>
          <w:rFonts w:ascii="Times New Roman" w:hAnsi="Times New Roman" w:cs="Times New Roman"/>
        </w:rPr>
        <w:t>APPs</w:t>
      </w:r>
      <w:r w:rsidR="00104034" w:rsidRPr="006D2720">
        <w:rPr>
          <w:rFonts w:ascii="Times New Roman" w:hAnsi="Times New Roman" w:cs="Times New Roman"/>
        </w:rPr>
        <w:t xml:space="preserve"> </w:t>
      </w:r>
      <w:r w:rsidR="006950DA" w:rsidRPr="006D2720">
        <w:rPr>
          <w:rFonts w:ascii="Times New Roman" w:hAnsi="Times New Roman" w:cs="Times New Roman"/>
        </w:rPr>
        <w:t>to handle personal information without the consent of the person concerned</w:t>
      </w:r>
      <w:r w:rsidR="000C77A9" w:rsidRPr="006D2720">
        <w:rPr>
          <w:rFonts w:ascii="Times New Roman" w:hAnsi="Times New Roman" w:cs="Times New Roman"/>
        </w:rPr>
        <w:t>.</w:t>
      </w:r>
      <w:r w:rsidR="00132E1D" w:rsidRPr="006D2720">
        <w:rPr>
          <w:rFonts w:ascii="Times New Roman" w:hAnsi="Times New Roman" w:cs="Times New Roman"/>
        </w:rPr>
        <w:t xml:space="preserve"> </w:t>
      </w:r>
      <w:r w:rsidR="00104034" w:rsidRPr="006D2720">
        <w:rPr>
          <w:rFonts w:ascii="Times New Roman" w:hAnsi="Times New Roman" w:cs="Times New Roman"/>
        </w:rPr>
        <w:t xml:space="preserve">Entities are also protected against breaches of secrecy provisions in other legislation and obligations of confidence </w:t>
      </w:r>
      <w:r w:rsidR="00F86845" w:rsidRPr="006D2720">
        <w:rPr>
          <w:rFonts w:ascii="Times New Roman" w:hAnsi="Times New Roman" w:cs="Times New Roman"/>
        </w:rPr>
        <w:t xml:space="preserve">that </w:t>
      </w:r>
      <w:r w:rsidR="00377703" w:rsidRPr="006D2720">
        <w:rPr>
          <w:rFonts w:ascii="Times New Roman" w:hAnsi="Times New Roman" w:cs="Times New Roman"/>
        </w:rPr>
        <w:t>exist</w:t>
      </w:r>
      <w:r w:rsidR="00F86845" w:rsidRPr="006D2720">
        <w:rPr>
          <w:rFonts w:ascii="Times New Roman" w:hAnsi="Times New Roman" w:cs="Times New Roman"/>
        </w:rPr>
        <w:t xml:space="preserve"> in general law</w:t>
      </w:r>
      <w:r w:rsidR="00104034" w:rsidRPr="006D2720">
        <w:rPr>
          <w:rFonts w:ascii="Times New Roman" w:hAnsi="Times New Roman" w:cs="Times New Roman"/>
        </w:rPr>
        <w:t>.</w:t>
      </w:r>
      <w:r w:rsidR="006F50C1" w:rsidRPr="006D2720">
        <w:rPr>
          <w:rStyle w:val="FootnoteReference"/>
          <w:rFonts w:ascii="Times New Roman" w:hAnsi="Times New Roman" w:cs="Times New Roman"/>
        </w:rPr>
        <w:footnoteReference w:id="146"/>
      </w:r>
      <w:r w:rsidR="00104034" w:rsidRPr="006D2720">
        <w:rPr>
          <w:rFonts w:ascii="Times New Roman" w:hAnsi="Times New Roman" w:cs="Times New Roman"/>
        </w:rPr>
        <w:t xml:space="preserve"> </w:t>
      </w:r>
      <w:r w:rsidR="00333A6E" w:rsidRPr="006D2720">
        <w:rPr>
          <w:rFonts w:ascii="Times New Roman" w:hAnsi="Times New Roman" w:cs="Times New Roman"/>
        </w:rPr>
        <w:t xml:space="preserve">An example of a </w:t>
      </w:r>
      <w:r w:rsidR="00132E1D" w:rsidRPr="006D2720">
        <w:rPr>
          <w:rFonts w:ascii="Times New Roman" w:hAnsi="Times New Roman" w:cs="Times New Roman"/>
        </w:rPr>
        <w:t xml:space="preserve">recent declaration was in January 2020 to respond to </w:t>
      </w:r>
      <w:r w:rsidR="002E6850" w:rsidRPr="006D2720">
        <w:rPr>
          <w:rFonts w:ascii="Times New Roman" w:hAnsi="Times New Roman" w:cs="Times New Roman"/>
        </w:rPr>
        <w:t xml:space="preserve">that summer’s </w:t>
      </w:r>
      <w:r w:rsidR="00D81EFA" w:rsidRPr="006D2720">
        <w:rPr>
          <w:rFonts w:ascii="Times New Roman" w:hAnsi="Times New Roman" w:cs="Times New Roman"/>
        </w:rPr>
        <w:t xml:space="preserve">bushfire </w:t>
      </w:r>
      <w:r w:rsidR="002E6850" w:rsidRPr="006D2720">
        <w:rPr>
          <w:rFonts w:ascii="Times New Roman" w:hAnsi="Times New Roman" w:cs="Times New Roman"/>
        </w:rPr>
        <w:t>crisis.</w:t>
      </w:r>
      <w:r w:rsidR="002E6850" w:rsidRPr="006D2720">
        <w:rPr>
          <w:rStyle w:val="FootnoteReference"/>
          <w:rFonts w:ascii="Times New Roman" w:hAnsi="Times New Roman" w:cs="Times New Roman"/>
        </w:rPr>
        <w:footnoteReference w:id="147"/>
      </w:r>
      <w:r w:rsidR="000B53A7" w:rsidRPr="006D2720">
        <w:rPr>
          <w:rFonts w:ascii="Times New Roman" w:hAnsi="Times New Roman" w:cs="Times New Roman"/>
        </w:rPr>
        <w:t xml:space="preserve"> </w:t>
      </w:r>
    </w:p>
    <w:p w14:paraId="485BA23E" w14:textId="49B3A353" w:rsidR="009B18B3" w:rsidRPr="006D2720" w:rsidRDefault="000B53A7" w:rsidP="0066337D">
      <w:pPr>
        <w:pStyle w:val="Heading3"/>
        <w:rPr>
          <w:rFonts w:ascii="Times New Roman" w:hAnsi="Times New Roman" w:cs="Times New Roman"/>
        </w:rPr>
      </w:pPr>
      <w:bookmarkStart w:id="239" w:name="_Ref129273415"/>
      <w:r w:rsidRPr="006D2720">
        <w:rPr>
          <w:rFonts w:ascii="Times New Roman" w:hAnsi="Times New Roman" w:cs="Times New Roman"/>
        </w:rPr>
        <w:t xml:space="preserve">The </w:t>
      </w:r>
      <w:r w:rsidR="00D4253E" w:rsidRPr="006D2720">
        <w:rPr>
          <w:rFonts w:ascii="Times New Roman" w:hAnsi="Times New Roman" w:cs="Times New Roman"/>
        </w:rPr>
        <w:t xml:space="preserve">Royal Commission into National </w:t>
      </w:r>
      <w:r w:rsidR="00B443D2" w:rsidRPr="006D2720">
        <w:rPr>
          <w:rFonts w:ascii="Times New Roman" w:hAnsi="Times New Roman" w:cs="Times New Roman"/>
        </w:rPr>
        <w:t>Natural Disaster Arrangements recommended that all Australian governments should ensure that personal information of individuals affected by a natural disaster is able to be appropriately shared between all levels of government, agencies, insurers, charities</w:t>
      </w:r>
      <w:r w:rsidR="00640298" w:rsidRPr="006D2720">
        <w:rPr>
          <w:rFonts w:ascii="Times New Roman" w:hAnsi="Times New Roman" w:cs="Times New Roman"/>
        </w:rPr>
        <w:t>,</w:t>
      </w:r>
      <w:r w:rsidR="00B443D2" w:rsidRPr="006D2720">
        <w:rPr>
          <w:rFonts w:ascii="Times New Roman" w:hAnsi="Times New Roman" w:cs="Times New Roman"/>
        </w:rPr>
        <w:t xml:space="preserve"> and organisations delivering recovery services</w:t>
      </w:r>
      <w:r w:rsidR="00B51AEE" w:rsidRPr="006D2720">
        <w:rPr>
          <w:rFonts w:ascii="Times New Roman" w:hAnsi="Times New Roman" w:cs="Times New Roman"/>
        </w:rPr>
        <w:t xml:space="preserve">. </w:t>
      </w:r>
      <w:r w:rsidR="00355324" w:rsidRPr="006D2720">
        <w:rPr>
          <w:rFonts w:ascii="Times New Roman" w:hAnsi="Times New Roman" w:cs="Times New Roman"/>
        </w:rPr>
        <w:t>However</w:t>
      </w:r>
      <w:r w:rsidR="00B51AEE" w:rsidRPr="006D2720">
        <w:rPr>
          <w:rFonts w:ascii="Times New Roman" w:hAnsi="Times New Roman" w:cs="Times New Roman"/>
        </w:rPr>
        <w:t xml:space="preserve">, this must account for </w:t>
      </w:r>
      <w:r w:rsidR="00B443D2" w:rsidRPr="006D2720">
        <w:rPr>
          <w:rFonts w:ascii="Times New Roman" w:hAnsi="Times New Roman" w:cs="Times New Roman"/>
        </w:rPr>
        <w:t>all necessary safeguards to ensure the sharing is only for recovery purposes.</w:t>
      </w:r>
      <w:r w:rsidR="00B443D2" w:rsidRPr="006D2720">
        <w:rPr>
          <w:rStyle w:val="FootnoteReference"/>
          <w:rFonts w:ascii="Times New Roman" w:hAnsi="Times New Roman" w:cs="Times New Roman"/>
        </w:rPr>
        <w:footnoteReference w:id="148"/>
      </w:r>
      <w:bookmarkEnd w:id="239"/>
      <w:r w:rsidR="00602601" w:rsidRPr="006D272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91"/>
        <w:gridCol w:w="8525"/>
      </w:tblGrid>
      <w:tr w:rsidR="00B65CA0" w:rsidRPr="000B0DF0" w14:paraId="5E337D74" w14:textId="77777777" w:rsidTr="009E533A">
        <w:tc>
          <w:tcPr>
            <w:tcW w:w="0" w:type="auto"/>
            <w:gridSpan w:val="2"/>
            <w:shd w:val="clear" w:color="auto" w:fill="A6A6A6" w:themeFill="background1" w:themeFillShade="A6"/>
          </w:tcPr>
          <w:p w14:paraId="20FDA354" w14:textId="77777777" w:rsidR="006B4C1F" w:rsidRPr="000B0DF0" w:rsidRDefault="006B4C1F" w:rsidP="005C0CF4">
            <w:pPr>
              <w:rPr>
                <w:rFonts w:ascii="Times New Roman" w:hAnsi="Times New Roman" w:cs="Times New Roman"/>
                <w:b/>
                <w:bCs/>
                <w:sz w:val="22"/>
                <w:szCs w:val="22"/>
              </w:rPr>
            </w:pPr>
          </w:p>
          <w:p w14:paraId="38BA25E4" w14:textId="77777777" w:rsidR="006B4C1F" w:rsidRPr="000B0DF0" w:rsidRDefault="006B4C1F" w:rsidP="005C0CF4">
            <w:pPr>
              <w:rPr>
                <w:rFonts w:ascii="Times New Roman" w:hAnsi="Times New Roman" w:cs="Times New Roman"/>
                <w:b/>
                <w:bCs/>
                <w:sz w:val="22"/>
                <w:szCs w:val="22"/>
              </w:rPr>
            </w:pPr>
            <w:r w:rsidRPr="000B0DF0">
              <w:rPr>
                <w:rFonts w:ascii="Times New Roman" w:hAnsi="Times New Roman" w:cs="Times New Roman"/>
                <w:b/>
                <w:bCs/>
                <w:sz w:val="22"/>
                <w:szCs w:val="22"/>
              </w:rPr>
              <w:t>Questions:</w:t>
            </w:r>
          </w:p>
          <w:p w14:paraId="016BEC5C" w14:textId="0374F3D0" w:rsidR="006B4C1F" w:rsidRPr="000B0DF0" w:rsidRDefault="006B4C1F" w:rsidP="005C0CF4">
            <w:pPr>
              <w:rPr>
                <w:rFonts w:ascii="Times New Roman" w:hAnsi="Times New Roman" w:cs="Times New Roman"/>
                <w:b/>
                <w:bCs/>
                <w:sz w:val="22"/>
                <w:szCs w:val="22"/>
              </w:rPr>
            </w:pPr>
          </w:p>
        </w:tc>
      </w:tr>
      <w:tr w:rsidR="00B65CA0" w:rsidRPr="000B0DF0" w14:paraId="6A42E5C0" w14:textId="77777777" w:rsidTr="006B4C1F">
        <w:tc>
          <w:tcPr>
            <w:tcW w:w="0" w:type="auto"/>
          </w:tcPr>
          <w:p w14:paraId="2B43D072" w14:textId="0D0CF2DF"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2.1</w:t>
            </w:r>
          </w:p>
        </w:tc>
        <w:tc>
          <w:tcPr>
            <w:tcW w:w="0" w:type="auto"/>
          </w:tcPr>
          <w:p w14:paraId="63A08159" w14:textId="2914090E"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Are there Tasmanian public sector agencies or organisations not sufficiently covered by the PIPA</w:t>
            </w:r>
            <w:r w:rsidR="00333A6E" w:rsidRPr="000B0DF0">
              <w:rPr>
                <w:rFonts w:ascii="Times New Roman" w:hAnsi="Times New Roman" w:cs="Times New Roman"/>
                <w:sz w:val="22"/>
                <w:szCs w:val="22"/>
              </w:rPr>
              <w:t>,</w:t>
            </w:r>
            <w:r w:rsidRPr="000B0DF0">
              <w:rPr>
                <w:rFonts w:ascii="Times New Roman" w:hAnsi="Times New Roman" w:cs="Times New Roman"/>
                <w:sz w:val="22"/>
                <w:szCs w:val="22"/>
              </w:rPr>
              <w:t xml:space="preserve"> or which should otherwise be included in the definition of ‘personal information custodian’?</w:t>
            </w:r>
          </w:p>
        </w:tc>
      </w:tr>
      <w:tr w:rsidR="00B65CA0" w:rsidRPr="000B0DF0" w14:paraId="0515B00D" w14:textId="77777777" w:rsidTr="006B4C1F">
        <w:tc>
          <w:tcPr>
            <w:tcW w:w="0" w:type="auto"/>
          </w:tcPr>
          <w:p w14:paraId="52FE08D9" w14:textId="1726DFDF"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2.2</w:t>
            </w:r>
          </w:p>
        </w:tc>
        <w:tc>
          <w:tcPr>
            <w:tcW w:w="0" w:type="auto"/>
          </w:tcPr>
          <w:p w14:paraId="76A6458B" w14:textId="33DDF7C3"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Should non-government organisations, such as for-profit businesses, charities, or political parties registered in Tasmania, be subject to privacy regulation in addition to any obligations under the Privacy Act?</w:t>
            </w:r>
          </w:p>
        </w:tc>
      </w:tr>
      <w:tr w:rsidR="00B65CA0" w:rsidRPr="000B0DF0" w14:paraId="1CA184D7" w14:textId="77777777" w:rsidTr="006B4C1F">
        <w:tc>
          <w:tcPr>
            <w:tcW w:w="0" w:type="auto"/>
          </w:tcPr>
          <w:p w14:paraId="60C2D1A2" w14:textId="3A1F7DB7" w:rsidR="002775B9" w:rsidRPr="000B0DF0" w:rsidRDefault="006B4C1F"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2.3</w:t>
            </w:r>
          </w:p>
        </w:tc>
        <w:tc>
          <w:tcPr>
            <w:tcW w:w="0" w:type="auto"/>
          </w:tcPr>
          <w:p w14:paraId="2CF129CA" w14:textId="44E6CB8E"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To what extent are government contractors appropriately subject to obligations under the PIPA? Should there be additional obligations on Tasmanian government agencies entering into contracts with private bodies to ensure that privacy obligations are able to be enforced against the contractor?</w:t>
            </w:r>
          </w:p>
        </w:tc>
      </w:tr>
      <w:tr w:rsidR="00B65CA0" w:rsidRPr="000B0DF0" w14:paraId="69C7B394" w14:textId="77777777" w:rsidTr="006B4C1F">
        <w:tc>
          <w:tcPr>
            <w:tcW w:w="0" w:type="auto"/>
          </w:tcPr>
          <w:p w14:paraId="4B6816D8" w14:textId="6782A9C1" w:rsidR="002775B9" w:rsidRPr="000B0DF0" w:rsidRDefault="006B4C1F"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2.4</w:t>
            </w:r>
          </w:p>
        </w:tc>
        <w:tc>
          <w:tcPr>
            <w:tcW w:w="0" w:type="auto"/>
          </w:tcPr>
          <w:p w14:paraId="73414417" w14:textId="20D38856"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Should the definition of ‘personal information’ be changed? Should it be consistent with the definition in the Privacy Act, or with the definition of personal data in the European Union’s GDPR?</w:t>
            </w:r>
          </w:p>
        </w:tc>
      </w:tr>
      <w:tr w:rsidR="00B65CA0" w:rsidRPr="000B0DF0" w14:paraId="6D927E00" w14:textId="77777777" w:rsidTr="006B4C1F">
        <w:tc>
          <w:tcPr>
            <w:tcW w:w="0" w:type="auto"/>
          </w:tcPr>
          <w:p w14:paraId="4BAD9FEF" w14:textId="4AD85999" w:rsidR="002775B9" w:rsidRPr="000B0DF0" w:rsidRDefault="006B4C1F"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2.5</w:t>
            </w:r>
          </w:p>
        </w:tc>
        <w:tc>
          <w:tcPr>
            <w:tcW w:w="0" w:type="auto"/>
          </w:tcPr>
          <w:p w14:paraId="5EDD6831" w14:textId="658C4A05"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Are the other categories of information, including health and other forms of sensitive information suitable?</w:t>
            </w:r>
          </w:p>
        </w:tc>
      </w:tr>
      <w:tr w:rsidR="00B65CA0" w:rsidRPr="000B0DF0" w14:paraId="712DF69F" w14:textId="77777777" w:rsidTr="00344310">
        <w:trPr>
          <w:trHeight w:val="90"/>
        </w:trPr>
        <w:tc>
          <w:tcPr>
            <w:tcW w:w="0" w:type="auto"/>
          </w:tcPr>
          <w:p w14:paraId="7D67F754" w14:textId="26BB49E8" w:rsidR="002775B9" w:rsidRPr="000B0DF0" w:rsidRDefault="006B4C1F"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2.6</w:t>
            </w:r>
          </w:p>
        </w:tc>
        <w:tc>
          <w:tcPr>
            <w:tcW w:w="0" w:type="auto"/>
          </w:tcPr>
          <w:p w14:paraId="1888511F" w14:textId="25D2B638" w:rsidR="002775B9" w:rsidRPr="000B0DF0" w:rsidRDefault="002775B9" w:rsidP="005C0CF4">
            <w:pPr>
              <w:spacing w:before="60" w:after="60"/>
              <w:rPr>
                <w:rFonts w:ascii="Times New Roman" w:hAnsi="Times New Roman" w:cs="Times New Roman"/>
                <w:sz w:val="22"/>
                <w:szCs w:val="22"/>
              </w:rPr>
            </w:pPr>
            <w:r w:rsidRPr="000B0DF0">
              <w:rPr>
                <w:rFonts w:ascii="Times New Roman" w:hAnsi="Times New Roman" w:cs="Times New Roman"/>
                <w:sz w:val="22"/>
                <w:szCs w:val="22"/>
              </w:rPr>
              <w:t>Are the exceptions, including the process for declaring and publishing public benefit exemptions, suitable?</w:t>
            </w:r>
          </w:p>
        </w:tc>
      </w:tr>
    </w:tbl>
    <w:p w14:paraId="194E671A" w14:textId="77777777" w:rsidR="002775B9" w:rsidRPr="006D2720" w:rsidRDefault="002775B9" w:rsidP="005C0CF4">
      <w:pPr>
        <w:rPr>
          <w:rFonts w:ascii="Times New Roman" w:hAnsi="Times New Roman" w:cs="Times New Roman"/>
        </w:rPr>
      </w:pPr>
    </w:p>
    <w:p w14:paraId="3C130B0E" w14:textId="281A42BA" w:rsidR="0064050C" w:rsidRPr="006D2720" w:rsidRDefault="0064050C" w:rsidP="0064050C">
      <w:pPr>
        <w:pStyle w:val="Heading2"/>
        <w:rPr>
          <w:rFonts w:ascii="Times New Roman" w:hAnsi="Times New Roman" w:cs="Times New Roman"/>
        </w:rPr>
      </w:pPr>
      <w:bookmarkStart w:id="240" w:name="_Toc77846287"/>
      <w:bookmarkStart w:id="241" w:name="_Toc77846339"/>
      <w:bookmarkStart w:id="242" w:name="_Toc77846391"/>
      <w:bookmarkStart w:id="243" w:name="_Toc77846551"/>
      <w:bookmarkStart w:id="244" w:name="_Toc77933342"/>
      <w:bookmarkStart w:id="245" w:name="_Toc77846288"/>
      <w:bookmarkStart w:id="246" w:name="_Toc77846340"/>
      <w:bookmarkStart w:id="247" w:name="_Toc77846392"/>
      <w:bookmarkStart w:id="248" w:name="_Toc77846552"/>
      <w:bookmarkStart w:id="249" w:name="_Toc77933343"/>
      <w:bookmarkStart w:id="250" w:name="_Toc91832000"/>
      <w:bookmarkStart w:id="251" w:name="_Ref129273428"/>
      <w:bookmarkStart w:id="252" w:name="_Ref129287400"/>
      <w:bookmarkStart w:id="253" w:name="_Ref129354363"/>
      <w:bookmarkStart w:id="254" w:name="_Toc130540434"/>
      <w:bookmarkEnd w:id="240"/>
      <w:bookmarkEnd w:id="241"/>
      <w:bookmarkEnd w:id="242"/>
      <w:bookmarkEnd w:id="243"/>
      <w:bookmarkEnd w:id="244"/>
      <w:bookmarkEnd w:id="245"/>
      <w:bookmarkEnd w:id="246"/>
      <w:bookmarkEnd w:id="247"/>
      <w:bookmarkEnd w:id="248"/>
      <w:bookmarkEnd w:id="249"/>
      <w:r w:rsidRPr="006D2720">
        <w:rPr>
          <w:rFonts w:ascii="Times New Roman" w:hAnsi="Times New Roman" w:cs="Times New Roman"/>
        </w:rPr>
        <w:t>Personal Information Protection Principles</w:t>
      </w:r>
      <w:bookmarkEnd w:id="250"/>
      <w:bookmarkEnd w:id="251"/>
      <w:bookmarkEnd w:id="252"/>
      <w:bookmarkEnd w:id="253"/>
      <w:bookmarkEnd w:id="254"/>
    </w:p>
    <w:p w14:paraId="56515108" w14:textId="2B0767F9" w:rsidR="003A1D22" w:rsidRPr="006D2720" w:rsidRDefault="00E94B8F" w:rsidP="00CA1A69">
      <w:pPr>
        <w:pStyle w:val="Heading2"/>
        <w:numPr>
          <w:ilvl w:val="0"/>
          <w:numId w:val="0"/>
        </w:numPr>
        <w:rPr>
          <w:rFonts w:ascii="Times New Roman" w:hAnsi="Times New Roman" w:cs="Times New Roman"/>
          <w:i/>
          <w:iCs/>
        </w:rPr>
      </w:pPr>
      <w:bookmarkStart w:id="255" w:name="_Toc91832001"/>
      <w:bookmarkStart w:id="256" w:name="_Toc130540435"/>
      <w:r w:rsidRPr="006D2720">
        <w:rPr>
          <w:rFonts w:ascii="Times New Roman" w:hAnsi="Times New Roman" w:cs="Times New Roman"/>
          <w:i/>
          <w:iCs/>
        </w:rPr>
        <w:t>The PIPPs in comparison with other jurisdictions</w:t>
      </w:r>
      <w:bookmarkEnd w:id="255"/>
      <w:bookmarkEnd w:id="256"/>
    </w:p>
    <w:p w14:paraId="3A87242B" w14:textId="0D3B0A7B" w:rsidR="00386071" w:rsidRPr="006D2720" w:rsidRDefault="0037040E" w:rsidP="0066337D">
      <w:pPr>
        <w:pStyle w:val="Heading3"/>
        <w:rPr>
          <w:rFonts w:ascii="Times New Roman" w:hAnsi="Times New Roman" w:cs="Times New Roman"/>
        </w:rPr>
      </w:pPr>
      <w:r w:rsidRPr="006D2720">
        <w:rPr>
          <w:rFonts w:ascii="Times New Roman" w:hAnsi="Times New Roman" w:cs="Times New Roman"/>
        </w:rPr>
        <w:t xml:space="preserve">The </w:t>
      </w:r>
      <w:r w:rsidR="000D2AE0" w:rsidRPr="006D2720">
        <w:rPr>
          <w:rFonts w:ascii="Times New Roman" w:hAnsi="Times New Roman" w:cs="Times New Roman"/>
        </w:rPr>
        <w:t xml:space="preserve">PIPA sets out </w:t>
      </w:r>
      <w:r w:rsidR="003B15CB" w:rsidRPr="006D2720">
        <w:rPr>
          <w:rFonts w:ascii="Times New Roman" w:hAnsi="Times New Roman" w:cs="Times New Roman"/>
        </w:rPr>
        <w:t xml:space="preserve">ten </w:t>
      </w:r>
      <w:r w:rsidR="00573647" w:rsidRPr="006D2720">
        <w:rPr>
          <w:rFonts w:ascii="Times New Roman" w:hAnsi="Times New Roman" w:cs="Times New Roman"/>
        </w:rPr>
        <w:t>Personal Information Privacy Principles (</w:t>
      </w:r>
      <w:r w:rsidR="003B15CB" w:rsidRPr="006D2720">
        <w:rPr>
          <w:rFonts w:ascii="Times New Roman" w:hAnsi="Times New Roman" w:cs="Times New Roman"/>
        </w:rPr>
        <w:t>‘</w:t>
      </w:r>
      <w:r w:rsidR="00573647" w:rsidRPr="006D2720">
        <w:rPr>
          <w:rFonts w:ascii="Times New Roman" w:hAnsi="Times New Roman" w:cs="Times New Roman"/>
        </w:rPr>
        <w:t>PIPPs</w:t>
      </w:r>
      <w:r w:rsidR="003B15CB" w:rsidRPr="006D2720">
        <w:rPr>
          <w:rFonts w:ascii="Times New Roman" w:hAnsi="Times New Roman" w:cs="Times New Roman"/>
        </w:rPr>
        <w:t>’</w:t>
      </w:r>
      <w:r w:rsidR="00573647" w:rsidRPr="006D2720">
        <w:rPr>
          <w:rFonts w:ascii="Times New Roman" w:hAnsi="Times New Roman" w:cs="Times New Roman"/>
        </w:rPr>
        <w:t>)</w:t>
      </w:r>
      <w:r w:rsidR="00C75025" w:rsidRPr="006D2720">
        <w:rPr>
          <w:rFonts w:ascii="Times New Roman" w:hAnsi="Times New Roman" w:cs="Times New Roman"/>
        </w:rPr>
        <w:t xml:space="preserve">. Each is considered in turn </w:t>
      </w:r>
      <w:r w:rsidR="00C14F63" w:rsidRPr="006D2720">
        <w:rPr>
          <w:rFonts w:ascii="Times New Roman" w:hAnsi="Times New Roman" w:cs="Times New Roman"/>
        </w:rPr>
        <w:t xml:space="preserve">below. As discussed </w:t>
      </w:r>
      <w:r w:rsidR="00372C26" w:rsidRPr="006D2720">
        <w:rPr>
          <w:rFonts w:ascii="Times New Roman" w:hAnsi="Times New Roman" w:cs="Times New Roman"/>
        </w:rPr>
        <w:t>above at</w:t>
      </w:r>
      <w:r w:rsidR="002D41B4" w:rsidRPr="006D2720">
        <w:rPr>
          <w:rFonts w:ascii="Times New Roman" w:hAnsi="Times New Roman" w:cs="Times New Roman"/>
        </w:rPr>
        <w:t xml:space="preserve"> [</w:t>
      </w:r>
      <w:r w:rsidR="002D41B4" w:rsidRPr="006D2720">
        <w:rPr>
          <w:rFonts w:ascii="Times New Roman" w:hAnsi="Times New Roman" w:cs="Times New Roman"/>
        </w:rPr>
        <w:fldChar w:fldCharType="begin"/>
      </w:r>
      <w:r w:rsidR="002D41B4" w:rsidRPr="006D2720">
        <w:rPr>
          <w:rFonts w:ascii="Times New Roman" w:hAnsi="Times New Roman" w:cs="Times New Roman"/>
        </w:rPr>
        <w:instrText xml:space="preserve"> REF _Ref129289679 \r \h </w:instrText>
      </w:r>
      <w:r w:rsidR="006D2720">
        <w:rPr>
          <w:rFonts w:ascii="Times New Roman" w:hAnsi="Times New Roman" w:cs="Times New Roman"/>
        </w:rPr>
        <w:instrText xml:space="preserve"> \* MERGEFORMAT </w:instrText>
      </w:r>
      <w:r w:rsidR="002D41B4" w:rsidRPr="006D2720">
        <w:rPr>
          <w:rFonts w:ascii="Times New Roman" w:hAnsi="Times New Roman" w:cs="Times New Roman"/>
        </w:rPr>
      </w:r>
      <w:r w:rsidR="002D41B4" w:rsidRPr="006D2720">
        <w:rPr>
          <w:rFonts w:ascii="Times New Roman" w:hAnsi="Times New Roman" w:cs="Times New Roman"/>
        </w:rPr>
        <w:fldChar w:fldCharType="separate"/>
      </w:r>
      <w:r w:rsidR="00E66B60">
        <w:rPr>
          <w:rFonts w:ascii="Times New Roman" w:hAnsi="Times New Roman" w:cs="Times New Roman"/>
        </w:rPr>
        <w:t>2.2.9</w:t>
      </w:r>
      <w:r w:rsidR="002D41B4" w:rsidRPr="006D2720">
        <w:rPr>
          <w:rFonts w:ascii="Times New Roman" w:hAnsi="Times New Roman" w:cs="Times New Roman"/>
        </w:rPr>
        <w:fldChar w:fldCharType="end"/>
      </w:r>
      <w:r w:rsidR="002D41B4" w:rsidRPr="006D2720">
        <w:rPr>
          <w:rFonts w:ascii="Times New Roman" w:hAnsi="Times New Roman" w:cs="Times New Roman"/>
        </w:rPr>
        <w:t>]–[</w:t>
      </w:r>
      <w:r w:rsidR="002D41B4" w:rsidRPr="006D2720">
        <w:rPr>
          <w:rFonts w:ascii="Times New Roman" w:hAnsi="Times New Roman" w:cs="Times New Roman"/>
        </w:rPr>
        <w:fldChar w:fldCharType="begin"/>
      </w:r>
      <w:r w:rsidR="002D41B4" w:rsidRPr="006D2720">
        <w:rPr>
          <w:rFonts w:ascii="Times New Roman" w:hAnsi="Times New Roman" w:cs="Times New Roman"/>
        </w:rPr>
        <w:instrText xml:space="preserve"> REF _Ref129289697 \r \h </w:instrText>
      </w:r>
      <w:r w:rsidR="006D2720">
        <w:rPr>
          <w:rFonts w:ascii="Times New Roman" w:hAnsi="Times New Roman" w:cs="Times New Roman"/>
        </w:rPr>
        <w:instrText xml:space="preserve"> \* MERGEFORMAT </w:instrText>
      </w:r>
      <w:r w:rsidR="002D41B4" w:rsidRPr="006D2720">
        <w:rPr>
          <w:rFonts w:ascii="Times New Roman" w:hAnsi="Times New Roman" w:cs="Times New Roman"/>
        </w:rPr>
      </w:r>
      <w:r w:rsidR="002D41B4" w:rsidRPr="006D2720">
        <w:rPr>
          <w:rFonts w:ascii="Times New Roman" w:hAnsi="Times New Roman" w:cs="Times New Roman"/>
        </w:rPr>
        <w:fldChar w:fldCharType="separate"/>
      </w:r>
      <w:r w:rsidR="00E66B60">
        <w:rPr>
          <w:rFonts w:ascii="Times New Roman" w:hAnsi="Times New Roman" w:cs="Times New Roman"/>
        </w:rPr>
        <w:t>2.2.13</w:t>
      </w:r>
      <w:r w:rsidR="002D41B4" w:rsidRPr="006D2720">
        <w:rPr>
          <w:rFonts w:ascii="Times New Roman" w:hAnsi="Times New Roman" w:cs="Times New Roman"/>
        </w:rPr>
        <w:fldChar w:fldCharType="end"/>
      </w:r>
      <w:r w:rsidR="002D41B4" w:rsidRPr="006D2720">
        <w:rPr>
          <w:rFonts w:ascii="Times New Roman" w:hAnsi="Times New Roman" w:cs="Times New Roman"/>
        </w:rPr>
        <w:t>]</w:t>
      </w:r>
      <w:r w:rsidR="00372C26" w:rsidRPr="006D2720">
        <w:rPr>
          <w:rFonts w:ascii="Times New Roman" w:hAnsi="Times New Roman" w:cs="Times New Roman"/>
        </w:rPr>
        <w:t xml:space="preserve">, </w:t>
      </w:r>
      <w:r w:rsidR="00C14F63" w:rsidRPr="006D2720">
        <w:rPr>
          <w:rFonts w:ascii="Times New Roman" w:hAnsi="Times New Roman" w:cs="Times New Roman"/>
        </w:rPr>
        <w:t xml:space="preserve">the </w:t>
      </w:r>
      <w:r w:rsidR="00B4677C" w:rsidRPr="006D2720">
        <w:rPr>
          <w:rFonts w:ascii="Times New Roman" w:hAnsi="Times New Roman" w:cs="Times New Roman"/>
        </w:rPr>
        <w:t>APPs (</w:t>
      </w:r>
      <w:r w:rsidR="00735DDB" w:rsidRPr="006D2720">
        <w:rPr>
          <w:rFonts w:ascii="Times New Roman" w:hAnsi="Times New Roman" w:cs="Times New Roman"/>
        </w:rPr>
        <w:t>Australian Privacy Principles</w:t>
      </w:r>
      <w:r w:rsidR="00B4677C" w:rsidRPr="006D2720">
        <w:rPr>
          <w:rFonts w:ascii="Times New Roman" w:hAnsi="Times New Roman" w:cs="Times New Roman"/>
        </w:rPr>
        <w:t>)</w:t>
      </w:r>
      <w:r w:rsidR="00735DDB" w:rsidRPr="006D2720">
        <w:rPr>
          <w:rFonts w:ascii="Times New Roman" w:hAnsi="Times New Roman" w:cs="Times New Roman"/>
        </w:rPr>
        <w:t xml:space="preserve"> </w:t>
      </w:r>
      <w:r w:rsidR="00FA290C" w:rsidRPr="006D2720">
        <w:rPr>
          <w:rFonts w:ascii="Times New Roman" w:hAnsi="Times New Roman" w:cs="Times New Roman"/>
        </w:rPr>
        <w:t xml:space="preserve">under the </w:t>
      </w:r>
      <w:r w:rsidR="003F2EA9" w:rsidRPr="006D2720">
        <w:rPr>
          <w:rFonts w:ascii="Times New Roman" w:hAnsi="Times New Roman" w:cs="Times New Roman"/>
        </w:rPr>
        <w:t xml:space="preserve">Commonwealth </w:t>
      </w:r>
      <w:r w:rsidR="00777A08" w:rsidRPr="006D2720">
        <w:rPr>
          <w:rFonts w:ascii="Times New Roman" w:hAnsi="Times New Roman" w:cs="Times New Roman"/>
        </w:rPr>
        <w:t>Privacy Act</w:t>
      </w:r>
      <w:r w:rsidR="007465BA" w:rsidRPr="006D2720">
        <w:rPr>
          <w:rFonts w:ascii="Times New Roman" w:hAnsi="Times New Roman" w:cs="Times New Roman"/>
        </w:rPr>
        <w:t xml:space="preserve"> </w:t>
      </w:r>
      <w:r w:rsidR="00C14F63" w:rsidRPr="006D2720">
        <w:rPr>
          <w:rFonts w:ascii="Times New Roman" w:hAnsi="Times New Roman" w:cs="Times New Roman"/>
        </w:rPr>
        <w:t xml:space="preserve">were developed with the intention that they could serve as a model for other Australian jurisdictions to follow. </w:t>
      </w:r>
      <w:r w:rsidR="00387C63" w:rsidRPr="006D2720">
        <w:rPr>
          <w:rFonts w:ascii="Times New Roman" w:hAnsi="Times New Roman" w:cs="Times New Roman"/>
        </w:rPr>
        <w:t>Given the importance of c</w:t>
      </w:r>
      <w:r w:rsidR="00C14F63" w:rsidRPr="006D2720">
        <w:rPr>
          <w:rFonts w:ascii="Times New Roman" w:hAnsi="Times New Roman" w:cs="Times New Roman"/>
        </w:rPr>
        <w:t xml:space="preserve">onsistency across Australian jurisdictions as </w:t>
      </w:r>
      <w:r w:rsidR="00387C63" w:rsidRPr="006D2720">
        <w:rPr>
          <w:rFonts w:ascii="Times New Roman" w:hAnsi="Times New Roman" w:cs="Times New Roman"/>
        </w:rPr>
        <w:t xml:space="preserve">a </w:t>
      </w:r>
      <w:r w:rsidR="00C14F63" w:rsidRPr="006D2720">
        <w:rPr>
          <w:rFonts w:ascii="Times New Roman" w:hAnsi="Times New Roman" w:cs="Times New Roman"/>
        </w:rPr>
        <w:t>potentially useful aim for any reform to privacy laws in Tasmania</w:t>
      </w:r>
      <w:r w:rsidR="007D41D7" w:rsidRPr="006D2720">
        <w:rPr>
          <w:rFonts w:ascii="Times New Roman" w:hAnsi="Times New Roman" w:cs="Times New Roman"/>
        </w:rPr>
        <w:t>, t</w:t>
      </w:r>
      <w:r w:rsidR="00C14F63" w:rsidRPr="006D2720">
        <w:rPr>
          <w:rFonts w:ascii="Times New Roman" w:hAnsi="Times New Roman" w:cs="Times New Roman"/>
        </w:rPr>
        <w:t xml:space="preserve">he Commonwealth </w:t>
      </w:r>
      <w:r w:rsidR="003F2EA9" w:rsidRPr="006D2720">
        <w:rPr>
          <w:rFonts w:ascii="Times New Roman" w:hAnsi="Times New Roman" w:cs="Times New Roman"/>
        </w:rPr>
        <w:t>APPs</w:t>
      </w:r>
      <w:r w:rsidR="00C14F63" w:rsidRPr="006D2720">
        <w:rPr>
          <w:rFonts w:ascii="Times New Roman" w:hAnsi="Times New Roman" w:cs="Times New Roman"/>
        </w:rPr>
        <w:t xml:space="preserve"> are presented as a point of comparison</w:t>
      </w:r>
      <w:r w:rsidR="003F2EA9" w:rsidRPr="006D2720">
        <w:rPr>
          <w:rFonts w:ascii="Times New Roman" w:hAnsi="Times New Roman" w:cs="Times New Roman"/>
        </w:rPr>
        <w:t xml:space="preserve"> and, where relevant, any </w:t>
      </w:r>
      <w:r w:rsidR="00C14F63" w:rsidRPr="006D2720">
        <w:rPr>
          <w:rFonts w:ascii="Times New Roman" w:hAnsi="Times New Roman" w:cs="Times New Roman"/>
        </w:rPr>
        <w:t xml:space="preserve">substantial </w:t>
      </w:r>
      <w:r w:rsidR="00C75025" w:rsidRPr="006D2720">
        <w:rPr>
          <w:rFonts w:ascii="Times New Roman" w:hAnsi="Times New Roman" w:cs="Times New Roman"/>
        </w:rPr>
        <w:t>differences with privacy legislation</w:t>
      </w:r>
      <w:r w:rsidR="003F2EA9" w:rsidRPr="006D2720">
        <w:rPr>
          <w:rFonts w:ascii="Times New Roman" w:hAnsi="Times New Roman" w:cs="Times New Roman"/>
        </w:rPr>
        <w:t xml:space="preserve"> in other states or territories </w:t>
      </w:r>
      <w:r w:rsidR="00C14F63" w:rsidRPr="006D2720">
        <w:rPr>
          <w:rFonts w:ascii="Times New Roman" w:hAnsi="Times New Roman" w:cs="Times New Roman"/>
        </w:rPr>
        <w:t>are also</w:t>
      </w:r>
      <w:r w:rsidR="003F2EA9" w:rsidRPr="006D2720">
        <w:rPr>
          <w:rFonts w:ascii="Times New Roman" w:hAnsi="Times New Roman" w:cs="Times New Roman"/>
        </w:rPr>
        <w:t xml:space="preserve"> noted</w:t>
      </w:r>
      <w:r w:rsidR="0067329A" w:rsidRPr="006D2720">
        <w:rPr>
          <w:rFonts w:ascii="Times New Roman" w:hAnsi="Times New Roman" w:cs="Times New Roman"/>
        </w:rPr>
        <w:t>.</w:t>
      </w:r>
      <w:r w:rsidR="00573647" w:rsidRPr="006D2720">
        <w:rPr>
          <w:rFonts w:ascii="Times New Roman" w:hAnsi="Times New Roman" w:cs="Times New Roman"/>
        </w:rPr>
        <w:t xml:space="preserve"> </w:t>
      </w:r>
    </w:p>
    <w:p w14:paraId="644D579F" w14:textId="7B9744F8" w:rsidR="00C75025" w:rsidRPr="006D2720" w:rsidRDefault="00D462BE" w:rsidP="008E61ED">
      <w:pPr>
        <w:rPr>
          <w:rFonts w:ascii="Times New Roman" w:hAnsi="Times New Roman" w:cs="Times New Roman"/>
          <w:b/>
          <w:bCs/>
          <w:i/>
          <w:iCs/>
        </w:rPr>
      </w:pPr>
      <w:r w:rsidRPr="006D2720">
        <w:rPr>
          <w:rFonts w:ascii="Times New Roman" w:hAnsi="Times New Roman" w:cs="Times New Roman"/>
          <w:b/>
          <w:bCs/>
          <w:i/>
          <w:iCs/>
        </w:rPr>
        <w:t>Collection</w:t>
      </w:r>
    </w:p>
    <w:p w14:paraId="4E2104C3" w14:textId="400C6069" w:rsidR="00C47E00" w:rsidRPr="006D2720" w:rsidRDefault="00191C1D" w:rsidP="00CA1A69">
      <w:pPr>
        <w:pStyle w:val="Heading3"/>
        <w:rPr>
          <w:rFonts w:ascii="Times New Roman" w:hAnsi="Times New Roman" w:cs="Times New Roman"/>
        </w:rPr>
      </w:pPr>
      <w:bookmarkStart w:id="257" w:name="_Ref90324529"/>
      <w:r w:rsidRPr="006D2720">
        <w:rPr>
          <w:rFonts w:ascii="Times New Roman" w:hAnsi="Times New Roman" w:cs="Times New Roman"/>
        </w:rPr>
        <w:t xml:space="preserve">Under Tasmanian law, </w:t>
      </w:r>
      <w:r w:rsidR="00A3695C" w:rsidRPr="006D2720">
        <w:rPr>
          <w:rFonts w:ascii="Times New Roman" w:hAnsi="Times New Roman" w:cs="Times New Roman"/>
        </w:rPr>
        <w:t xml:space="preserve">PIPP 1 </w:t>
      </w:r>
      <w:r w:rsidR="001E1438" w:rsidRPr="006D2720">
        <w:rPr>
          <w:rFonts w:ascii="Times New Roman" w:hAnsi="Times New Roman" w:cs="Times New Roman"/>
        </w:rPr>
        <w:t>restricts</w:t>
      </w:r>
      <w:r w:rsidR="00A3695C" w:rsidRPr="006D2720">
        <w:rPr>
          <w:rFonts w:ascii="Times New Roman" w:hAnsi="Times New Roman" w:cs="Times New Roman"/>
        </w:rPr>
        <w:t xml:space="preserve"> the collection of personal information</w:t>
      </w:r>
      <w:r w:rsidR="00D235CC" w:rsidRPr="006D2720">
        <w:rPr>
          <w:rFonts w:ascii="Times New Roman" w:hAnsi="Times New Roman" w:cs="Times New Roman"/>
        </w:rPr>
        <w:t>. It</w:t>
      </w:r>
      <w:r w:rsidR="00A3695C" w:rsidRPr="006D2720">
        <w:rPr>
          <w:rFonts w:ascii="Times New Roman" w:hAnsi="Times New Roman" w:cs="Times New Roman"/>
        </w:rPr>
        <w:t xml:space="preserve"> </w:t>
      </w:r>
      <w:r w:rsidR="00D235CC" w:rsidRPr="006D2720">
        <w:rPr>
          <w:rFonts w:ascii="Times New Roman" w:hAnsi="Times New Roman" w:cs="Times New Roman"/>
        </w:rPr>
        <w:t xml:space="preserve">requires </w:t>
      </w:r>
      <w:r w:rsidR="00F93F5C" w:rsidRPr="006D2720">
        <w:rPr>
          <w:rFonts w:ascii="Times New Roman" w:hAnsi="Times New Roman" w:cs="Times New Roman"/>
        </w:rPr>
        <w:t>that the</w:t>
      </w:r>
      <w:r w:rsidR="00A3695C" w:rsidRPr="006D2720">
        <w:rPr>
          <w:rFonts w:ascii="Times New Roman" w:hAnsi="Times New Roman" w:cs="Times New Roman"/>
        </w:rPr>
        <w:t xml:space="preserve"> collection </w:t>
      </w:r>
      <w:r w:rsidR="00F93F5C" w:rsidRPr="006D2720">
        <w:rPr>
          <w:rFonts w:ascii="Times New Roman" w:hAnsi="Times New Roman" w:cs="Times New Roman"/>
        </w:rPr>
        <w:t>is</w:t>
      </w:r>
      <w:r w:rsidR="00A3695C" w:rsidRPr="006D2720">
        <w:rPr>
          <w:rFonts w:ascii="Times New Roman" w:hAnsi="Times New Roman" w:cs="Times New Roman"/>
        </w:rPr>
        <w:t xml:space="preserve"> by lawful means,</w:t>
      </w:r>
      <w:r w:rsidR="001129B7" w:rsidRPr="006D2720">
        <w:rPr>
          <w:rFonts w:ascii="Times New Roman" w:hAnsi="Times New Roman" w:cs="Times New Roman"/>
        </w:rPr>
        <w:t xml:space="preserve"> </w:t>
      </w:r>
      <w:r w:rsidR="00F93F5C" w:rsidRPr="006D2720">
        <w:rPr>
          <w:rFonts w:ascii="Times New Roman" w:hAnsi="Times New Roman" w:cs="Times New Roman"/>
        </w:rPr>
        <w:t>is</w:t>
      </w:r>
      <w:r w:rsidR="001129B7" w:rsidRPr="006D2720">
        <w:rPr>
          <w:rFonts w:ascii="Times New Roman" w:hAnsi="Times New Roman" w:cs="Times New Roman"/>
        </w:rPr>
        <w:t xml:space="preserve"> necessary for one or more of the custodian’s functions or activities</w:t>
      </w:r>
      <w:r w:rsidR="00F93F5C" w:rsidRPr="006D2720">
        <w:rPr>
          <w:rFonts w:ascii="Times New Roman" w:hAnsi="Times New Roman" w:cs="Times New Roman"/>
        </w:rPr>
        <w:t xml:space="preserve">, and that </w:t>
      </w:r>
      <w:r w:rsidR="00A3695C" w:rsidRPr="006D2720">
        <w:rPr>
          <w:rFonts w:ascii="Times New Roman" w:hAnsi="Times New Roman" w:cs="Times New Roman"/>
        </w:rPr>
        <w:t xml:space="preserve">notice </w:t>
      </w:r>
      <w:r w:rsidR="00F93F5C" w:rsidRPr="006D2720">
        <w:rPr>
          <w:rFonts w:ascii="Times New Roman" w:hAnsi="Times New Roman" w:cs="Times New Roman"/>
        </w:rPr>
        <w:t xml:space="preserve">is </w:t>
      </w:r>
      <w:r w:rsidR="00A3695C" w:rsidRPr="006D2720">
        <w:rPr>
          <w:rFonts w:ascii="Times New Roman" w:hAnsi="Times New Roman" w:cs="Times New Roman"/>
        </w:rPr>
        <w:t>given to the person whose information is involved.</w:t>
      </w:r>
      <w:r w:rsidR="00A3695C" w:rsidRPr="006D2720">
        <w:rPr>
          <w:rStyle w:val="FootnoteReference"/>
          <w:rFonts w:ascii="Times New Roman" w:hAnsi="Times New Roman" w:cs="Times New Roman"/>
        </w:rPr>
        <w:footnoteReference w:id="149"/>
      </w:r>
      <w:r w:rsidR="00A3695C" w:rsidRPr="006D2720">
        <w:rPr>
          <w:rFonts w:ascii="Times New Roman" w:hAnsi="Times New Roman" w:cs="Times New Roman"/>
        </w:rPr>
        <w:t xml:space="preserve"> </w:t>
      </w:r>
      <w:r w:rsidR="00AB6965" w:rsidRPr="006D2720">
        <w:rPr>
          <w:rFonts w:ascii="Times New Roman" w:hAnsi="Times New Roman" w:cs="Times New Roman"/>
        </w:rPr>
        <w:t xml:space="preserve">The PIPA does not define how </w:t>
      </w:r>
      <w:r w:rsidR="00C47E00" w:rsidRPr="006D2720">
        <w:rPr>
          <w:rFonts w:ascii="Times New Roman" w:hAnsi="Times New Roman" w:cs="Times New Roman"/>
        </w:rPr>
        <w:t xml:space="preserve">a custodian’s functions or activities </w:t>
      </w:r>
      <w:r w:rsidR="007656D1" w:rsidRPr="006D2720">
        <w:rPr>
          <w:rFonts w:ascii="Times New Roman" w:hAnsi="Times New Roman" w:cs="Times New Roman"/>
        </w:rPr>
        <w:t>are</w:t>
      </w:r>
      <w:r w:rsidR="00C47E00" w:rsidRPr="006D2720">
        <w:rPr>
          <w:rFonts w:ascii="Times New Roman" w:hAnsi="Times New Roman" w:cs="Times New Roman"/>
        </w:rPr>
        <w:t xml:space="preserve"> determined.</w:t>
      </w:r>
      <w:bookmarkEnd w:id="257"/>
      <w:r w:rsidR="00C47E00" w:rsidRPr="006D2720">
        <w:rPr>
          <w:rFonts w:ascii="Times New Roman" w:hAnsi="Times New Roman" w:cs="Times New Roman"/>
        </w:rPr>
        <w:t xml:space="preserve"> </w:t>
      </w:r>
    </w:p>
    <w:p w14:paraId="2194E05C" w14:textId="7A145B03" w:rsidR="00F0304B" w:rsidRPr="006D2720" w:rsidRDefault="00191C1D" w:rsidP="001C06E3">
      <w:pPr>
        <w:pStyle w:val="Heading3"/>
        <w:rPr>
          <w:rFonts w:ascii="Times New Roman" w:hAnsi="Times New Roman" w:cs="Times New Roman"/>
        </w:rPr>
      </w:pPr>
      <w:r w:rsidRPr="006D2720">
        <w:rPr>
          <w:rFonts w:ascii="Times New Roman" w:hAnsi="Times New Roman" w:cs="Times New Roman"/>
        </w:rPr>
        <w:t>Under</w:t>
      </w:r>
      <w:r w:rsidR="002A0703" w:rsidRPr="006D2720">
        <w:rPr>
          <w:rFonts w:ascii="Times New Roman" w:hAnsi="Times New Roman" w:cs="Times New Roman"/>
        </w:rPr>
        <w:t xml:space="preserve"> the Commonwealth Privacy Act, </w:t>
      </w:r>
      <w:bookmarkStart w:id="258" w:name="_Ref91753508"/>
      <w:r w:rsidR="00A90023" w:rsidRPr="006D2720">
        <w:rPr>
          <w:rFonts w:ascii="Times New Roman" w:hAnsi="Times New Roman" w:cs="Times New Roman"/>
        </w:rPr>
        <w:t>APP 3</w:t>
      </w:r>
      <w:r w:rsidR="003F5138" w:rsidRPr="006D2720">
        <w:rPr>
          <w:rFonts w:ascii="Times New Roman" w:hAnsi="Times New Roman" w:cs="Times New Roman"/>
        </w:rPr>
        <w:t xml:space="preserve"> </w:t>
      </w:r>
      <w:r w:rsidR="002A0703" w:rsidRPr="006D2720">
        <w:rPr>
          <w:rFonts w:ascii="Times New Roman" w:hAnsi="Times New Roman" w:cs="Times New Roman"/>
        </w:rPr>
        <w:t xml:space="preserve">governs </w:t>
      </w:r>
      <w:r w:rsidR="00327A8A" w:rsidRPr="006D2720">
        <w:rPr>
          <w:rFonts w:ascii="Times New Roman" w:hAnsi="Times New Roman" w:cs="Times New Roman"/>
        </w:rPr>
        <w:t xml:space="preserve">the </w:t>
      </w:r>
      <w:r w:rsidR="003F5138" w:rsidRPr="006D2720">
        <w:rPr>
          <w:rFonts w:ascii="Times New Roman" w:hAnsi="Times New Roman" w:cs="Times New Roman"/>
        </w:rPr>
        <w:t>collection of solicited personal information</w:t>
      </w:r>
      <w:r w:rsidR="002A0703" w:rsidRPr="006D2720">
        <w:rPr>
          <w:rFonts w:ascii="Times New Roman" w:hAnsi="Times New Roman" w:cs="Times New Roman"/>
        </w:rPr>
        <w:t xml:space="preserve">. Under </w:t>
      </w:r>
      <w:r w:rsidR="00D04FDA" w:rsidRPr="006D2720">
        <w:rPr>
          <w:rFonts w:ascii="Times New Roman" w:hAnsi="Times New Roman" w:cs="Times New Roman"/>
        </w:rPr>
        <w:t>APP 3</w:t>
      </w:r>
      <w:r w:rsidR="002A0703" w:rsidRPr="006D2720">
        <w:rPr>
          <w:rFonts w:ascii="Times New Roman" w:hAnsi="Times New Roman" w:cs="Times New Roman"/>
        </w:rPr>
        <w:t>,</w:t>
      </w:r>
      <w:r w:rsidR="003F5138" w:rsidRPr="006D2720">
        <w:rPr>
          <w:rFonts w:ascii="Times New Roman" w:hAnsi="Times New Roman" w:cs="Times New Roman"/>
        </w:rPr>
        <w:t xml:space="preserve"> </w:t>
      </w:r>
      <w:r w:rsidR="00D545F7" w:rsidRPr="006D2720">
        <w:rPr>
          <w:rFonts w:ascii="Times New Roman" w:hAnsi="Times New Roman" w:cs="Times New Roman"/>
        </w:rPr>
        <w:t xml:space="preserve">government agencies </w:t>
      </w:r>
      <w:r w:rsidR="003C3B0E" w:rsidRPr="006D2720">
        <w:rPr>
          <w:rFonts w:ascii="Times New Roman" w:hAnsi="Times New Roman" w:cs="Times New Roman"/>
        </w:rPr>
        <w:t xml:space="preserve">can collect </w:t>
      </w:r>
      <w:r w:rsidR="00D545F7" w:rsidRPr="006D2720">
        <w:rPr>
          <w:rFonts w:ascii="Times New Roman" w:hAnsi="Times New Roman" w:cs="Times New Roman"/>
        </w:rPr>
        <w:t xml:space="preserve">personal information </w:t>
      </w:r>
      <w:r w:rsidR="002E5862" w:rsidRPr="006D2720">
        <w:rPr>
          <w:rFonts w:ascii="Times New Roman" w:hAnsi="Times New Roman" w:cs="Times New Roman"/>
        </w:rPr>
        <w:t xml:space="preserve">in two scenarios. First, </w:t>
      </w:r>
      <w:r w:rsidR="00D545F7" w:rsidRPr="006D2720">
        <w:rPr>
          <w:rFonts w:ascii="Times New Roman" w:hAnsi="Times New Roman" w:cs="Times New Roman"/>
        </w:rPr>
        <w:t>where i</w:t>
      </w:r>
      <w:r w:rsidR="009E1366" w:rsidRPr="006D2720">
        <w:rPr>
          <w:rFonts w:ascii="Times New Roman" w:hAnsi="Times New Roman" w:cs="Times New Roman"/>
        </w:rPr>
        <w:t xml:space="preserve">t is </w:t>
      </w:r>
      <w:r w:rsidR="009E1366" w:rsidRPr="006D2720">
        <w:rPr>
          <w:rFonts w:ascii="Times New Roman" w:hAnsi="Times New Roman" w:cs="Times New Roman"/>
          <w:i/>
          <w:iCs/>
        </w:rPr>
        <w:t xml:space="preserve">reasonably </w:t>
      </w:r>
      <w:r w:rsidR="009E1366" w:rsidRPr="006D2720">
        <w:rPr>
          <w:rFonts w:ascii="Times New Roman" w:hAnsi="Times New Roman" w:cs="Times New Roman"/>
        </w:rPr>
        <w:t>necessary</w:t>
      </w:r>
      <w:r w:rsidR="00C67C82" w:rsidRPr="006D2720">
        <w:rPr>
          <w:rFonts w:ascii="Times New Roman" w:hAnsi="Times New Roman" w:cs="Times New Roman"/>
        </w:rPr>
        <w:t xml:space="preserve"> </w:t>
      </w:r>
      <w:r w:rsidR="00BE1158" w:rsidRPr="006D2720">
        <w:rPr>
          <w:rFonts w:ascii="Times New Roman" w:hAnsi="Times New Roman" w:cs="Times New Roman"/>
        </w:rPr>
        <w:t>for one or more of the agenc</w:t>
      </w:r>
      <w:r w:rsidR="00740EB4" w:rsidRPr="006D2720">
        <w:rPr>
          <w:rFonts w:ascii="Times New Roman" w:hAnsi="Times New Roman" w:cs="Times New Roman"/>
        </w:rPr>
        <w:t>y</w:t>
      </w:r>
      <w:r w:rsidR="00BE1158" w:rsidRPr="006D2720">
        <w:rPr>
          <w:rFonts w:ascii="Times New Roman" w:hAnsi="Times New Roman" w:cs="Times New Roman"/>
        </w:rPr>
        <w:t>’</w:t>
      </w:r>
      <w:r w:rsidR="00D66E47" w:rsidRPr="006D2720">
        <w:rPr>
          <w:rFonts w:ascii="Times New Roman" w:hAnsi="Times New Roman" w:cs="Times New Roman"/>
        </w:rPr>
        <w:t>s</w:t>
      </w:r>
      <w:r w:rsidR="00BE1158" w:rsidRPr="006D2720">
        <w:rPr>
          <w:rFonts w:ascii="Times New Roman" w:hAnsi="Times New Roman" w:cs="Times New Roman"/>
        </w:rPr>
        <w:t xml:space="preserve"> functions, taking into account </w:t>
      </w:r>
      <w:r w:rsidR="009B3CC5" w:rsidRPr="006D2720">
        <w:rPr>
          <w:rFonts w:ascii="Times New Roman" w:hAnsi="Times New Roman" w:cs="Times New Roman"/>
        </w:rPr>
        <w:t xml:space="preserve">how it impacts </w:t>
      </w:r>
      <w:r w:rsidR="00BE1158" w:rsidRPr="006D2720">
        <w:rPr>
          <w:rFonts w:ascii="Times New Roman" w:hAnsi="Times New Roman" w:cs="Times New Roman"/>
        </w:rPr>
        <w:t>the person affected</w:t>
      </w:r>
      <w:r w:rsidR="002E5862" w:rsidRPr="006D2720">
        <w:rPr>
          <w:rFonts w:ascii="Times New Roman" w:hAnsi="Times New Roman" w:cs="Times New Roman"/>
        </w:rPr>
        <w:t xml:space="preserve">. Alternatively, </w:t>
      </w:r>
      <w:r w:rsidR="00BE1158" w:rsidRPr="006D2720">
        <w:rPr>
          <w:rFonts w:ascii="Times New Roman" w:hAnsi="Times New Roman" w:cs="Times New Roman"/>
        </w:rPr>
        <w:t>where the information is</w:t>
      </w:r>
      <w:r w:rsidR="009E1366" w:rsidRPr="006D2720">
        <w:rPr>
          <w:rFonts w:ascii="Times New Roman" w:hAnsi="Times New Roman" w:cs="Times New Roman"/>
          <w:i/>
          <w:iCs/>
        </w:rPr>
        <w:t xml:space="preserve"> directly related to</w:t>
      </w:r>
      <w:r w:rsidR="00F8529A" w:rsidRPr="006D2720">
        <w:rPr>
          <w:rFonts w:ascii="Times New Roman" w:hAnsi="Times New Roman" w:cs="Times New Roman"/>
        </w:rPr>
        <w:t xml:space="preserve"> </w:t>
      </w:r>
      <w:r w:rsidR="009E1366" w:rsidRPr="006D2720">
        <w:rPr>
          <w:rFonts w:ascii="Times New Roman" w:hAnsi="Times New Roman" w:cs="Times New Roman"/>
        </w:rPr>
        <w:t>one or more of the agenc</w:t>
      </w:r>
      <w:r w:rsidR="00304639" w:rsidRPr="006D2720">
        <w:rPr>
          <w:rFonts w:ascii="Times New Roman" w:hAnsi="Times New Roman" w:cs="Times New Roman"/>
        </w:rPr>
        <w:t>y’s</w:t>
      </w:r>
      <w:r w:rsidR="009E1366" w:rsidRPr="006D2720">
        <w:rPr>
          <w:rFonts w:ascii="Times New Roman" w:hAnsi="Times New Roman" w:cs="Times New Roman"/>
        </w:rPr>
        <w:t xml:space="preserve"> functions</w:t>
      </w:r>
      <w:r w:rsidR="001129B7" w:rsidRPr="006D2720">
        <w:rPr>
          <w:rFonts w:ascii="Times New Roman" w:hAnsi="Times New Roman" w:cs="Times New Roman"/>
        </w:rPr>
        <w:t>.</w:t>
      </w:r>
      <w:bookmarkStart w:id="259" w:name="_Ref91753014"/>
      <w:r w:rsidR="00F0304B" w:rsidRPr="006D2720">
        <w:rPr>
          <w:rStyle w:val="FootnoteReference"/>
          <w:rFonts w:ascii="Times New Roman" w:hAnsi="Times New Roman" w:cs="Times New Roman"/>
        </w:rPr>
        <w:footnoteReference w:id="150"/>
      </w:r>
      <w:bookmarkEnd w:id="259"/>
      <w:r w:rsidR="001129B7" w:rsidRPr="006D2720">
        <w:rPr>
          <w:rFonts w:ascii="Times New Roman" w:hAnsi="Times New Roman" w:cs="Times New Roman"/>
        </w:rPr>
        <w:t xml:space="preserve"> </w:t>
      </w:r>
      <w:r w:rsidR="00AD27D7" w:rsidRPr="006D2720">
        <w:rPr>
          <w:rFonts w:ascii="Times New Roman" w:hAnsi="Times New Roman" w:cs="Times New Roman"/>
        </w:rPr>
        <w:t>Guidance on APP 3 notes that s</w:t>
      </w:r>
      <w:r w:rsidR="00061F86" w:rsidRPr="006D2720">
        <w:rPr>
          <w:rFonts w:ascii="Times New Roman" w:hAnsi="Times New Roman" w:cs="Times New Roman"/>
        </w:rPr>
        <w:t>uch functions</w:t>
      </w:r>
      <w:r w:rsidR="00F0304B" w:rsidRPr="006D2720">
        <w:rPr>
          <w:rFonts w:ascii="Times New Roman" w:hAnsi="Times New Roman" w:cs="Times New Roman"/>
        </w:rPr>
        <w:t xml:space="preserve"> </w:t>
      </w:r>
      <w:r w:rsidR="00061F86" w:rsidRPr="006D2720">
        <w:rPr>
          <w:rFonts w:ascii="Times New Roman" w:hAnsi="Times New Roman" w:cs="Times New Roman"/>
        </w:rPr>
        <w:t xml:space="preserve">are identified </w:t>
      </w:r>
      <w:r w:rsidR="00F0304B" w:rsidRPr="006D2720">
        <w:rPr>
          <w:rFonts w:ascii="Times New Roman" w:hAnsi="Times New Roman" w:cs="Times New Roman"/>
        </w:rPr>
        <w:t>through reference to the legal instruments which confer or describe the agency’s functions.</w:t>
      </w:r>
      <w:r w:rsidR="00F0304B" w:rsidRPr="006D2720">
        <w:rPr>
          <w:rStyle w:val="FootnoteReference"/>
          <w:rFonts w:ascii="Times New Roman" w:hAnsi="Times New Roman" w:cs="Times New Roman"/>
        </w:rPr>
        <w:footnoteReference w:id="151"/>
      </w:r>
      <w:r w:rsidR="00F0304B" w:rsidRPr="006D2720">
        <w:rPr>
          <w:rFonts w:ascii="Times New Roman" w:hAnsi="Times New Roman" w:cs="Times New Roman"/>
        </w:rPr>
        <w:t xml:space="preserve"> Activities must be incidental or otherwise closely related to those functions.</w:t>
      </w:r>
      <w:bookmarkEnd w:id="258"/>
    </w:p>
    <w:p w14:paraId="1D2270A3" w14:textId="4009AA69" w:rsidR="000018AA" w:rsidRPr="006D2720" w:rsidRDefault="00304639" w:rsidP="000018AA">
      <w:pPr>
        <w:pStyle w:val="Heading3"/>
        <w:rPr>
          <w:rFonts w:ascii="Times New Roman" w:hAnsi="Times New Roman" w:cs="Times New Roman"/>
        </w:rPr>
      </w:pPr>
      <w:bookmarkStart w:id="260" w:name="_Ref91827059"/>
      <w:r w:rsidRPr="006D2720">
        <w:rPr>
          <w:rFonts w:ascii="Times New Roman" w:hAnsi="Times New Roman" w:cs="Times New Roman"/>
        </w:rPr>
        <w:t>The PIPA</w:t>
      </w:r>
      <w:r w:rsidR="00845208" w:rsidRPr="006D2720">
        <w:rPr>
          <w:rFonts w:ascii="Times New Roman" w:hAnsi="Times New Roman" w:cs="Times New Roman"/>
        </w:rPr>
        <w:t xml:space="preserve"> provides for the</w:t>
      </w:r>
      <w:r w:rsidRPr="006D2720">
        <w:rPr>
          <w:rFonts w:ascii="Times New Roman" w:hAnsi="Times New Roman" w:cs="Times New Roman"/>
        </w:rPr>
        <w:t xml:space="preserve"> collection of personal information where necessary, while APP 3 includes the requirement of reasonableness in considering what is necessary. Further, </w:t>
      </w:r>
      <w:r w:rsidR="00DC2760" w:rsidRPr="006D2720">
        <w:rPr>
          <w:rFonts w:ascii="Times New Roman" w:hAnsi="Times New Roman" w:cs="Times New Roman"/>
        </w:rPr>
        <w:t>the</w:t>
      </w:r>
      <w:r w:rsidR="00724513" w:rsidRPr="006D2720">
        <w:rPr>
          <w:rFonts w:ascii="Times New Roman" w:hAnsi="Times New Roman" w:cs="Times New Roman"/>
        </w:rPr>
        <w:t xml:space="preserve"> PIPA mandates collection by lawful means, </w:t>
      </w:r>
      <w:r w:rsidRPr="006D2720">
        <w:rPr>
          <w:rFonts w:ascii="Times New Roman" w:hAnsi="Times New Roman" w:cs="Times New Roman"/>
        </w:rPr>
        <w:t xml:space="preserve">whereas </w:t>
      </w:r>
      <w:r w:rsidR="00724513" w:rsidRPr="006D2720">
        <w:rPr>
          <w:rFonts w:ascii="Times New Roman" w:hAnsi="Times New Roman" w:cs="Times New Roman"/>
        </w:rPr>
        <w:t>APP 3 requires that</w:t>
      </w:r>
      <w:r w:rsidR="002B5D3E" w:rsidRPr="006D2720">
        <w:rPr>
          <w:rFonts w:ascii="Times New Roman" w:hAnsi="Times New Roman" w:cs="Times New Roman"/>
        </w:rPr>
        <w:t xml:space="preserve"> a</w:t>
      </w:r>
      <w:r w:rsidR="001129B7" w:rsidRPr="006D2720">
        <w:rPr>
          <w:rFonts w:ascii="Times New Roman" w:hAnsi="Times New Roman" w:cs="Times New Roman"/>
        </w:rPr>
        <w:t xml:space="preserve">ny collection must be </w:t>
      </w:r>
      <w:r w:rsidR="00A3695C" w:rsidRPr="006D2720">
        <w:rPr>
          <w:rFonts w:ascii="Times New Roman" w:hAnsi="Times New Roman" w:cs="Times New Roman"/>
        </w:rPr>
        <w:t xml:space="preserve">by </w:t>
      </w:r>
      <w:r w:rsidR="001129B7" w:rsidRPr="006D2720">
        <w:rPr>
          <w:rFonts w:ascii="Times New Roman" w:hAnsi="Times New Roman" w:cs="Times New Roman"/>
        </w:rPr>
        <w:t xml:space="preserve">both </w:t>
      </w:r>
      <w:r w:rsidR="00B50073" w:rsidRPr="006D2720">
        <w:rPr>
          <w:rFonts w:ascii="Times New Roman" w:hAnsi="Times New Roman" w:cs="Times New Roman"/>
        </w:rPr>
        <w:t xml:space="preserve">lawful </w:t>
      </w:r>
      <w:r w:rsidR="00B50073" w:rsidRPr="006D2720">
        <w:rPr>
          <w:rFonts w:ascii="Times New Roman" w:hAnsi="Times New Roman" w:cs="Times New Roman"/>
          <w:i/>
          <w:iCs/>
        </w:rPr>
        <w:t>and fair</w:t>
      </w:r>
      <w:r w:rsidR="00B50073" w:rsidRPr="006D2720">
        <w:rPr>
          <w:rFonts w:ascii="Times New Roman" w:hAnsi="Times New Roman" w:cs="Times New Roman"/>
        </w:rPr>
        <w:t xml:space="preserve"> means</w:t>
      </w:r>
      <w:r w:rsidR="00C47E00" w:rsidRPr="006D2720">
        <w:rPr>
          <w:rFonts w:ascii="Times New Roman" w:hAnsi="Times New Roman" w:cs="Times New Roman"/>
        </w:rPr>
        <w:t>, which may preclude intimidation, deception</w:t>
      </w:r>
      <w:r w:rsidR="008F3C17" w:rsidRPr="006D2720">
        <w:rPr>
          <w:rFonts w:ascii="Times New Roman" w:hAnsi="Times New Roman" w:cs="Times New Roman"/>
        </w:rPr>
        <w:t>,</w:t>
      </w:r>
      <w:r w:rsidR="00C47E00" w:rsidRPr="006D2720">
        <w:rPr>
          <w:rFonts w:ascii="Times New Roman" w:hAnsi="Times New Roman" w:cs="Times New Roman"/>
        </w:rPr>
        <w:t xml:space="preserve"> or unreasonably intrusive measures</w:t>
      </w:r>
      <w:r w:rsidR="008F3C17" w:rsidRPr="006D2720">
        <w:rPr>
          <w:rFonts w:ascii="Times New Roman" w:hAnsi="Times New Roman" w:cs="Times New Roman"/>
        </w:rPr>
        <w:t>—even if they are technically lawful</w:t>
      </w:r>
      <w:r w:rsidR="00B50073" w:rsidRPr="006D2720">
        <w:rPr>
          <w:rFonts w:ascii="Times New Roman" w:hAnsi="Times New Roman" w:cs="Times New Roman"/>
        </w:rPr>
        <w:t>.</w:t>
      </w:r>
      <w:r w:rsidR="00C47E00" w:rsidRPr="006D2720">
        <w:rPr>
          <w:rStyle w:val="FootnoteReference"/>
          <w:rFonts w:ascii="Times New Roman" w:hAnsi="Times New Roman" w:cs="Times New Roman"/>
        </w:rPr>
        <w:footnoteReference w:id="152"/>
      </w:r>
      <w:bookmarkEnd w:id="260"/>
      <w:r w:rsidR="00B50073" w:rsidRPr="006D2720">
        <w:rPr>
          <w:rFonts w:ascii="Times New Roman" w:hAnsi="Times New Roman" w:cs="Times New Roman"/>
        </w:rPr>
        <w:t xml:space="preserve"> </w:t>
      </w:r>
    </w:p>
    <w:p w14:paraId="2037C2CE" w14:textId="0DAC156C" w:rsidR="00CD0EF4" w:rsidRPr="006D2720" w:rsidRDefault="000018AA" w:rsidP="00B2642B">
      <w:pPr>
        <w:pStyle w:val="Heading3"/>
        <w:rPr>
          <w:rFonts w:ascii="Times New Roman" w:hAnsi="Times New Roman" w:cs="Times New Roman"/>
        </w:rPr>
      </w:pPr>
      <w:r w:rsidRPr="006D2720">
        <w:rPr>
          <w:rFonts w:ascii="Times New Roman" w:hAnsi="Times New Roman" w:cs="Times New Roman"/>
        </w:rPr>
        <w:t>Regarding notice, APP 5 on notification of the collection of personal information</w:t>
      </w:r>
      <w:r w:rsidR="00845208" w:rsidRPr="006D2720">
        <w:rPr>
          <w:rFonts w:ascii="Times New Roman" w:hAnsi="Times New Roman" w:cs="Times New Roman"/>
        </w:rPr>
        <w:t>,</w:t>
      </w:r>
      <w:r w:rsidRPr="006D2720">
        <w:rPr>
          <w:rFonts w:ascii="Times New Roman" w:hAnsi="Times New Roman" w:cs="Times New Roman"/>
        </w:rPr>
        <w:t xml:space="preserve"> requires that notice of the circumstances of the collection </w:t>
      </w:r>
      <w:r w:rsidR="0031108B" w:rsidRPr="006D2720">
        <w:rPr>
          <w:rFonts w:ascii="Times New Roman" w:hAnsi="Times New Roman" w:cs="Times New Roman"/>
        </w:rPr>
        <w:t>must</w:t>
      </w:r>
      <w:r w:rsidRPr="006D2720">
        <w:rPr>
          <w:rFonts w:ascii="Times New Roman" w:hAnsi="Times New Roman" w:cs="Times New Roman"/>
        </w:rPr>
        <w:t xml:space="preserve"> be provided prior to collection</w:t>
      </w:r>
      <w:r w:rsidR="00C17A8B" w:rsidRPr="006D2720">
        <w:rPr>
          <w:rFonts w:ascii="Times New Roman" w:hAnsi="Times New Roman" w:cs="Times New Roman"/>
        </w:rPr>
        <w:t>,</w:t>
      </w:r>
      <w:r w:rsidRPr="006D2720">
        <w:rPr>
          <w:rFonts w:ascii="Times New Roman" w:hAnsi="Times New Roman" w:cs="Times New Roman"/>
        </w:rPr>
        <w:t xml:space="preserve"> unless it is not practicable to inform them before or during collection.</w:t>
      </w:r>
    </w:p>
    <w:p w14:paraId="085C25A2" w14:textId="49FA9C2E" w:rsidR="00446C1E" w:rsidRPr="006D2720" w:rsidRDefault="00EE39CD" w:rsidP="00CA1A69">
      <w:pPr>
        <w:pStyle w:val="Heading3"/>
        <w:rPr>
          <w:rFonts w:ascii="Times New Roman" w:hAnsi="Times New Roman" w:cs="Times New Roman"/>
        </w:rPr>
      </w:pPr>
      <w:bookmarkStart w:id="261" w:name="_Toc91536537"/>
      <w:bookmarkEnd w:id="261"/>
      <w:r w:rsidRPr="006D2720">
        <w:rPr>
          <w:rFonts w:ascii="Times New Roman" w:hAnsi="Times New Roman" w:cs="Times New Roman"/>
        </w:rPr>
        <w:t xml:space="preserve">APP 5 </w:t>
      </w:r>
      <w:r w:rsidR="0031108B" w:rsidRPr="006D2720">
        <w:rPr>
          <w:rFonts w:ascii="Times New Roman" w:hAnsi="Times New Roman" w:cs="Times New Roman"/>
        </w:rPr>
        <w:t>further</w:t>
      </w:r>
      <w:r w:rsidR="005A6904" w:rsidRPr="006D2720">
        <w:rPr>
          <w:rFonts w:ascii="Times New Roman" w:hAnsi="Times New Roman" w:cs="Times New Roman"/>
        </w:rPr>
        <w:t xml:space="preserve"> </w:t>
      </w:r>
      <w:r w:rsidRPr="006D2720">
        <w:rPr>
          <w:rFonts w:ascii="Times New Roman" w:hAnsi="Times New Roman" w:cs="Times New Roman"/>
        </w:rPr>
        <w:t>requires entities to disclose who else may have access to the information once</w:t>
      </w:r>
      <w:r w:rsidR="00E519DE" w:rsidRPr="006D2720">
        <w:rPr>
          <w:rFonts w:ascii="Times New Roman" w:hAnsi="Times New Roman" w:cs="Times New Roman"/>
        </w:rPr>
        <w:t xml:space="preserve"> it is</w:t>
      </w:r>
      <w:r w:rsidRPr="006D2720">
        <w:rPr>
          <w:rFonts w:ascii="Times New Roman" w:hAnsi="Times New Roman" w:cs="Times New Roman"/>
        </w:rPr>
        <w:t xml:space="preserve"> collected,</w:t>
      </w:r>
      <w:r w:rsidR="00A4657D" w:rsidRPr="006D2720">
        <w:rPr>
          <w:rFonts w:ascii="Times New Roman" w:hAnsi="Times New Roman" w:cs="Times New Roman"/>
        </w:rPr>
        <w:t xml:space="preserve"> </w:t>
      </w:r>
      <w:r w:rsidRPr="006D2720">
        <w:rPr>
          <w:rFonts w:ascii="Times New Roman" w:hAnsi="Times New Roman" w:cs="Times New Roman"/>
        </w:rPr>
        <w:t>including overseas recipients</w:t>
      </w:r>
      <w:r w:rsidR="00D817D3" w:rsidRPr="006D2720">
        <w:rPr>
          <w:rFonts w:ascii="Times New Roman" w:hAnsi="Times New Roman" w:cs="Times New Roman"/>
        </w:rPr>
        <w:t xml:space="preserve">. It also requires entities to provide </w:t>
      </w:r>
      <w:r w:rsidRPr="006D2720">
        <w:rPr>
          <w:rFonts w:ascii="Times New Roman" w:hAnsi="Times New Roman" w:cs="Times New Roman"/>
        </w:rPr>
        <w:t xml:space="preserve">information </w:t>
      </w:r>
      <w:r w:rsidR="00E57B2D" w:rsidRPr="006D2720">
        <w:rPr>
          <w:rFonts w:ascii="Times New Roman" w:hAnsi="Times New Roman" w:cs="Times New Roman"/>
        </w:rPr>
        <w:t xml:space="preserve">in their privacy policy on </w:t>
      </w:r>
      <w:r w:rsidRPr="006D2720">
        <w:rPr>
          <w:rFonts w:ascii="Times New Roman" w:hAnsi="Times New Roman" w:cs="Times New Roman"/>
        </w:rPr>
        <w:t>how to complain about a breach of the privacy principles</w:t>
      </w:r>
      <w:r w:rsidR="00961F41" w:rsidRPr="006D2720">
        <w:rPr>
          <w:rFonts w:ascii="Times New Roman" w:hAnsi="Times New Roman" w:cs="Times New Roman"/>
        </w:rPr>
        <w:t>.</w:t>
      </w:r>
      <w:r w:rsidR="008F3C34" w:rsidRPr="006D2720">
        <w:rPr>
          <w:rFonts w:ascii="Times New Roman" w:hAnsi="Times New Roman" w:cs="Times New Roman"/>
        </w:rPr>
        <w:t xml:space="preserve"> There is no equivalent provision for these </w:t>
      </w:r>
      <w:r w:rsidR="00B2642B" w:rsidRPr="006D2720">
        <w:rPr>
          <w:rFonts w:ascii="Times New Roman" w:hAnsi="Times New Roman" w:cs="Times New Roman"/>
        </w:rPr>
        <w:t xml:space="preserve">two </w:t>
      </w:r>
      <w:r w:rsidR="008F3C34" w:rsidRPr="006D2720">
        <w:rPr>
          <w:rFonts w:ascii="Times New Roman" w:hAnsi="Times New Roman" w:cs="Times New Roman"/>
        </w:rPr>
        <w:t xml:space="preserve">requirements in the Tasmanian </w:t>
      </w:r>
      <w:r w:rsidR="00304639" w:rsidRPr="006D2720">
        <w:rPr>
          <w:rFonts w:ascii="Times New Roman" w:hAnsi="Times New Roman" w:cs="Times New Roman"/>
        </w:rPr>
        <w:t>PIPA</w:t>
      </w:r>
      <w:r w:rsidR="008F3C34" w:rsidRPr="006D2720">
        <w:rPr>
          <w:rFonts w:ascii="Times New Roman" w:hAnsi="Times New Roman" w:cs="Times New Roman"/>
        </w:rPr>
        <w:t>.</w:t>
      </w:r>
    </w:p>
    <w:p w14:paraId="2E466ADA" w14:textId="77777777" w:rsidR="00446C1E" w:rsidRPr="006D2720" w:rsidRDefault="00446C1E">
      <w:pPr>
        <w:rPr>
          <w:rFonts w:ascii="Times New Roman" w:eastAsiaTheme="majorEastAsia" w:hAnsi="Times New Roman" w:cs="Times New Roman"/>
          <w:bCs/>
          <w:color w:val="0D0D0D" w:themeColor="text1" w:themeTint="F2"/>
          <w:szCs w:val="21"/>
        </w:rPr>
      </w:pPr>
      <w:r w:rsidRPr="006D2720">
        <w:rPr>
          <w:rFonts w:ascii="Times New Roman" w:hAnsi="Times New Roman" w:cs="Times New Roman"/>
        </w:rPr>
        <w:br w:type="page"/>
      </w:r>
    </w:p>
    <w:p w14:paraId="31ECADE5" w14:textId="6991F304" w:rsidR="00EE39CD" w:rsidRPr="006D2720" w:rsidRDefault="00EE39CD" w:rsidP="0066337D">
      <w:pPr>
        <w:pStyle w:val="Heading3"/>
        <w:rPr>
          <w:rFonts w:ascii="Times New Roman" w:hAnsi="Times New Roman" w:cs="Times New Roman"/>
        </w:rPr>
      </w:pPr>
      <w:r w:rsidRPr="006D2720">
        <w:rPr>
          <w:rFonts w:ascii="Times New Roman" w:hAnsi="Times New Roman" w:cs="Times New Roman"/>
        </w:rPr>
        <w:t xml:space="preserve">The Privacy Act also allows for collection </w:t>
      </w:r>
      <w:r w:rsidR="00845208" w:rsidRPr="006D2720">
        <w:rPr>
          <w:rFonts w:ascii="Times New Roman" w:hAnsi="Times New Roman" w:cs="Times New Roman"/>
        </w:rPr>
        <w:t xml:space="preserve">of </w:t>
      </w:r>
      <w:r w:rsidR="00F5684D" w:rsidRPr="006D2720">
        <w:rPr>
          <w:rFonts w:ascii="Times New Roman" w:hAnsi="Times New Roman" w:cs="Times New Roman"/>
        </w:rPr>
        <w:t xml:space="preserve">health </w:t>
      </w:r>
      <w:r w:rsidR="00845208" w:rsidRPr="006D2720">
        <w:rPr>
          <w:rFonts w:ascii="Times New Roman" w:hAnsi="Times New Roman" w:cs="Times New Roman"/>
        </w:rPr>
        <w:t xml:space="preserve">information </w:t>
      </w:r>
      <w:r w:rsidRPr="006D2720">
        <w:rPr>
          <w:rFonts w:ascii="Times New Roman" w:hAnsi="Times New Roman" w:cs="Times New Roman"/>
        </w:rPr>
        <w:t>in</w:t>
      </w:r>
      <w:r w:rsidR="00845208" w:rsidRPr="006D2720">
        <w:rPr>
          <w:rFonts w:ascii="Times New Roman" w:hAnsi="Times New Roman" w:cs="Times New Roman"/>
        </w:rPr>
        <w:t xml:space="preserve"> </w:t>
      </w:r>
      <w:r w:rsidR="00F5684D" w:rsidRPr="006D2720">
        <w:rPr>
          <w:rFonts w:ascii="Times New Roman" w:hAnsi="Times New Roman" w:cs="Times New Roman"/>
        </w:rPr>
        <w:t>‘</w:t>
      </w:r>
      <w:r w:rsidRPr="006D2720">
        <w:rPr>
          <w:rFonts w:ascii="Times New Roman" w:hAnsi="Times New Roman" w:cs="Times New Roman"/>
        </w:rPr>
        <w:t>permitted health situations</w:t>
      </w:r>
      <w:r w:rsidR="00F5684D" w:rsidRPr="006D2720">
        <w:rPr>
          <w:rFonts w:ascii="Times New Roman" w:hAnsi="Times New Roman" w:cs="Times New Roman"/>
        </w:rPr>
        <w:t>’, meaning</w:t>
      </w:r>
      <w:r w:rsidRPr="006D2720">
        <w:rPr>
          <w:rFonts w:ascii="Times New Roman" w:hAnsi="Times New Roman" w:cs="Times New Roman"/>
        </w:rPr>
        <w:t xml:space="preserve"> where the information is necessary to provide a health service, and required or authorised under Australian law or in accordance with rules of health or medical bodies </w:t>
      </w:r>
      <w:r w:rsidR="002F3A85" w:rsidRPr="006D2720">
        <w:rPr>
          <w:rFonts w:ascii="Times New Roman" w:hAnsi="Times New Roman" w:cs="Times New Roman"/>
        </w:rPr>
        <w:t>that</w:t>
      </w:r>
      <w:r w:rsidR="00297927" w:rsidRPr="006D2720">
        <w:rPr>
          <w:rFonts w:ascii="Times New Roman" w:hAnsi="Times New Roman" w:cs="Times New Roman"/>
        </w:rPr>
        <w:t xml:space="preserve"> deal</w:t>
      </w:r>
      <w:r w:rsidRPr="006D2720">
        <w:rPr>
          <w:rFonts w:ascii="Times New Roman" w:hAnsi="Times New Roman" w:cs="Times New Roman"/>
        </w:rPr>
        <w:t xml:space="preserve"> with obligations of professional confidentiality.</w:t>
      </w:r>
      <w:r w:rsidRPr="006D2720">
        <w:rPr>
          <w:rStyle w:val="FootnoteReference"/>
          <w:rFonts w:ascii="Times New Roman" w:hAnsi="Times New Roman" w:cs="Times New Roman"/>
        </w:rPr>
        <w:footnoteReference w:id="153"/>
      </w:r>
    </w:p>
    <w:p w14:paraId="2635E23D" w14:textId="3C0371E4" w:rsidR="000018AA" w:rsidRPr="006D2720" w:rsidRDefault="00A66F49" w:rsidP="001C06E3">
      <w:pPr>
        <w:pStyle w:val="Heading3"/>
        <w:rPr>
          <w:rFonts w:ascii="Times New Roman" w:hAnsi="Times New Roman" w:cs="Times New Roman"/>
        </w:rPr>
      </w:pPr>
      <w:r w:rsidRPr="006D2720">
        <w:rPr>
          <w:rFonts w:ascii="Times New Roman" w:hAnsi="Times New Roman" w:cs="Times New Roman"/>
        </w:rPr>
        <w:t xml:space="preserve">On the source of the information, </w:t>
      </w:r>
      <w:r w:rsidR="00BC5FFD" w:rsidRPr="006D2720">
        <w:rPr>
          <w:rFonts w:ascii="Times New Roman" w:hAnsi="Times New Roman" w:cs="Times New Roman"/>
        </w:rPr>
        <w:t>PIPP 1 requires information</w:t>
      </w:r>
      <w:r w:rsidR="00CD61A3" w:rsidRPr="006D2720">
        <w:rPr>
          <w:rFonts w:ascii="Times New Roman" w:hAnsi="Times New Roman" w:cs="Times New Roman"/>
        </w:rPr>
        <w:t xml:space="preserve"> to</w:t>
      </w:r>
      <w:r w:rsidR="00BC5FFD" w:rsidRPr="006D2720">
        <w:rPr>
          <w:rFonts w:ascii="Times New Roman" w:hAnsi="Times New Roman" w:cs="Times New Roman"/>
        </w:rPr>
        <w:t xml:space="preserve"> be collected from the person concerned where it is reasonable and practicable to do so.</w:t>
      </w:r>
      <w:r w:rsidR="00566977" w:rsidRPr="006D2720">
        <w:rPr>
          <w:rFonts w:ascii="Times New Roman" w:hAnsi="Times New Roman" w:cs="Times New Roman"/>
        </w:rPr>
        <w:t xml:space="preserve"> If this is not possible and information is collected from someone else, reasonable steps must be taken to notify the individual</w:t>
      </w:r>
      <w:r w:rsidR="005F7BF4" w:rsidRPr="006D2720">
        <w:rPr>
          <w:rFonts w:ascii="Times New Roman" w:hAnsi="Times New Roman" w:cs="Times New Roman"/>
        </w:rPr>
        <w:t xml:space="preserve"> </w:t>
      </w:r>
      <w:r w:rsidR="008A214A" w:rsidRPr="006D2720">
        <w:rPr>
          <w:rFonts w:ascii="Times New Roman" w:hAnsi="Times New Roman" w:cs="Times New Roman"/>
        </w:rPr>
        <w:t xml:space="preserve">that their information has been collected, </w:t>
      </w:r>
      <w:r w:rsidR="005F7BF4" w:rsidRPr="006D2720">
        <w:rPr>
          <w:rFonts w:ascii="Times New Roman" w:hAnsi="Times New Roman" w:cs="Times New Roman"/>
        </w:rPr>
        <w:t xml:space="preserve">unless this would </w:t>
      </w:r>
      <w:r w:rsidR="00C21AA4" w:rsidRPr="006D2720">
        <w:rPr>
          <w:rFonts w:ascii="Times New Roman" w:hAnsi="Times New Roman" w:cs="Times New Roman"/>
        </w:rPr>
        <w:t xml:space="preserve">seriously threaten anyone’s </w:t>
      </w:r>
      <w:r w:rsidR="00566977" w:rsidRPr="006D2720">
        <w:rPr>
          <w:rFonts w:ascii="Times New Roman" w:hAnsi="Times New Roman" w:cs="Times New Roman"/>
        </w:rPr>
        <w:t>life, safety, health</w:t>
      </w:r>
      <w:r w:rsidR="0059575E" w:rsidRPr="006D2720">
        <w:rPr>
          <w:rFonts w:ascii="Times New Roman" w:hAnsi="Times New Roman" w:cs="Times New Roman"/>
        </w:rPr>
        <w:t>,</w:t>
      </w:r>
      <w:r w:rsidR="00566977" w:rsidRPr="006D2720">
        <w:rPr>
          <w:rFonts w:ascii="Times New Roman" w:hAnsi="Times New Roman" w:cs="Times New Roman"/>
        </w:rPr>
        <w:t xml:space="preserve"> or welfare</w:t>
      </w:r>
      <w:r w:rsidR="00C21AA4" w:rsidRPr="006D2720">
        <w:rPr>
          <w:rFonts w:ascii="Times New Roman" w:hAnsi="Times New Roman" w:cs="Times New Roman"/>
        </w:rPr>
        <w:t>.</w:t>
      </w:r>
      <w:r w:rsidR="00C21AA4" w:rsidRPr="006D2720">
        <w:rPr>
          <w:rStyle w:val="FootnoteReference"/>
          <w:rFonts w:ascii="Times New Roman" w:hAnsi="Times New Roman" w:cs="Times New Roman"/>
        </w:rPr>
        <w:footnoteReference w:id="154"/>
      </w:r>
      <w:r w:rsidR="00C21AA4" w:rsidRPr="006D2720">
        <w:rPr>
          <w:rFonts w:ascii="Times New Roman" w:hAnsi="Times New Roman" w:cs="Times New Roman"/>
        </w:rPr>
        <w:t xml:space="preserve"> </w:t>
      </w:r>
    </w:p>
    <w:p w14:paraId="509C97AB" w14:textId="5094982F" w:rsidR="00EE39CD" w:rsidRPr="006D2720" w:rsidRDefault="00BC5FFD" w:rsidP="00CA1A69">
      <w:pPr>
        <w:pStyle w:val="Heading3"/>
        <w:rPr>
          <w:rFonts w:ascii="Times New Roman" w:hAnsi="Times New Roman" w:cs="Times New Roman"/>
        </w:rPr>
      </w:pPr>
      <w:r w:rsidRPr="006D2720">
        <w:rPr>
          <w:rFonts w:ascii="Times New Roman" w:hAnsi="Times New Roman" w:cs="Times New Roman"/>
        </w:rPr>
        <w:t>APP 3 similarly permits information to be collected from someone other than the person concerned</w:t>
      </w:r>
      <w:r w:rsidR="004D7574" w:rsidRPr="006D2720">
        <w:rPr>
          <w:rFonts w:ascii="Times New Roman" w:hAnsi="Times New Roman" w:cs="Times New Roman"/>
        </w:rPr>
        <w:t xml:space="preserve">. </w:t>
      </w:r>
      <w:r w:rsidR="003F6B86" w:rsidRPr="006D2720">
        <w:rPr>
          <w:rFonts w:ascii="Times New Roman" w:hAnsi="Times New Roman" w:cs="Times New Roman"/>
        </w:rPr>
        <w:t>Further</w:t>
      </w:r>
      <w:r w:rsidR="003C4C73" w:rsidRPr="006D2720">
        <w:rPr>
          <w:rFonts w:ascii="Times New Roman" w:hAnsi="Times New Roman" w:cs="Times New Roman"/>
        </w:rPr>
        <w:t xml:space="preserve">, APP 3 </w:t>
      </w:r>
      <w:r w:rsidR="000A7DB4" w:rsidRPr="006D2720">
        <w:rPr>
          <w:rFonts w:ascii="Times New Roman" w:hAnsi="Times New Roman" w:cs="Times New Roman"/>
        </w:rPr>
        <w:t>provides</w:t>
      </w:r>
      <w:r w:rsidR="00247986" w:rsidRPr="006D2720">
        <w:rPr>
          <w:rFonts w:ascii="Times New Roman" w:hAnsi="Times New Roman" w:cs="Times New Roman"/>
        </w:rPr>
        <w:t xml:space="preserve"> </w:t>
      </w:r>
      <w:r w:rsidR="004D7574" w:rsidRPr="006D2720">
        <w:rPr>
          <w:rFonts w:ascii="Times New Roman" w:hAnsi="Times New Roman" w:cs="Times New Roman"/>
        </w:rPr>
        <w:t xml:space="preserve">two </w:t>
      </w:r>
      <w:r w:rsidR="003F6B86" w:rsidRPr="006D2720">
        <w:rPr>
          <w:rFonts w:ascii="Times New Roman" w:hAnsi="Times New Roman" w:cs="Times New Roman"/>
        </w:rPr>
        <w:t>additional</w:t>
      </w:r>
      <w:r w:rsidR="004D7574" w:rsidRPr="006D2720">
        <w:rPr>
          <w:rFonts w:ascii="Times New Roman" w:hAnsi="Times New Roman" w:cs="Times New Roman"/>
        </w:rPr>
        <w:t xml:space="preserve"> situations where this is permissible: </w:t>
      </w:r>
      <w:r w:rsidRPr="006D2720">
        <w:rPr>
          <w:rFonts w:ascii="Times New Roman" w:hAnsi="Times New Roman" w:cs="Times New Roman"/>
        </w:rPr>
        <w:t xml:space="preserve">where </w:t>
      </w:r>
      <w:r w:rsidR="008236DD" w:rsidRPr="006D2720">
        <w:rPr>
          <w:rFonts w:ascii="Times New Roman" w:hAnsi="Times New Roman" w:cs="Times New Roman"/>
        </w:rPr>
        <w:t>the individual concerned has consented</w:t>
      </w:r>
      <w:r w:rsidR="002D41B4" w:rsidRPr="006D2720">
        <w:rPr>
          <w:rFonts w:ascii="Times New Roman" w:hAnsi="Times New Roman" w:cs="Times New Roman"/>
        </w:rPr>
        <w:t>;</w:t>
      </w:r>
      <w:r w:rsidR="008236DD" w:rsidRPr="006D2720">
        <w:rPr>
          <w:rFonts w:ascii="Times New Roman" w:hAnsi="Times New Roman" w:cs="Times New Roman"/>
        </w:rPr>
        <w:t xml:space="preserve"> or </w:t>
      </w:r>
      <w:r w:rsidR="004D7574" w:rsidRPr="006D2720">
        <w:rPr>
          <w:rFonts w:ascii="Times New Roman" w:hAnsi="Times New Roman" w:cs="Times New Roman"/>
        </w:rPr>
        <w:t xml:space="preserve">where </w:t>
      </w:r>
      <w:r w:rsidR="008236DD" w:rsidRPr="006D2720">
        <w:rPr>
          <w:rFonts w:ascii="Times New Roman" w:hAnsi="Times New Roman" w:cs="Times New Roman"/>
        </w:rPr>
        <w:t>the entity is required by law</w:t>
      </w:r>
      <w:r w:rsidR="00C50D23" w:rsidRPr="006D2720">
        <w:rPr>
          <w:rFonts w:ascii="Times New Roman" w:hAnsi="Times New Roman" w:cs="Times New Roman"/>
        </w:rPr>
        <w:t xml:space="preserve"> to do so. </w:t>
      </w:r>
    </w:p>
    <w:p w14:paraId="36BBDEE0" w14:textId="25BBB809" w:rsidR="0072350A" w:rsidRPr="006D2720" w:rsidRDefault="00757B01" w:rsidP="0066337D">
      <w:pPr>
        <w:pStyle w:val="Heading3"/>
        <w:rPr>
          <w:rFonts w:ascii="Times New Roman" w:hAnsi="Times New Roman" w:cs="Times New Roman"/>
        </w:rPr>
      </w:pPr>
      <w:bookmarkStart w:id="262" w:name="_Ref129330681"/>
      <w:r w:rsidRPr="006D2720">
        <w:rPr>
          <w:rFonts w:ascii="Times New Roman" w:hAnsi="Times New Roman" w:cs="Times New Roman"/>
        </w:rPr>
        <w:t>W</w:t>
      </w:r>
      <w:r w:rsidR="0043013E" w:rsidRPr="006D2720">
        <w:rPr>
          <w:rFonts w:ascii="Times New Roman" w:hAnsi="Times New Roman" w:cs="Times New Roman"/>
        </w:rPr>
        <w:t xml:space="preserve">here personal information </w:t>
      </w:r>
      <w:r w:rsidRPr="006D2720">
        <w:rPr>
          <w:rFonts w:ascii="Times New Roman" w:hAnsi="Times New Roman" w:cs="Times New Roman"/>
        </w:rPr>
        <w:t>is</w:t>
      </w:r>
      <w:r w:rsidR="0043013E" w:rsidRPr="006D2720">
        <w:rPr>
          <w:rFonts w:ascii="Times New Roman" w:hAnsi="Times New Roman" w:cs="Times New Roman"/>
        </w:rPr>
        <w:t xml:space="preserve"> not collected directly from the individual concerned, </w:t>
      </w:r>
      <w:bookmarkStart w:id="263" w:name="_Toc91536544"/>
      <w:bookmarkEnd w:id="263"/>
      <w:r w:rsidR="0043013E" w:rsidRPr="006D2720">
        <w:rPr>
          <w:rFonts w:ascii="Times New Roman" w:hAnsi="Times New Roman" w:cs="Times New Roman"/>
        </w:rPr>
        <w:t>t</w:t>
      </w:r>
      <w:r w:rsidR="009A736B" w:rsidRPr="006D2720">
        <w:rPr>
          <w:rFonts w:ascii="Times New Roman" w:hAnsi="Times New Roman" w:cs="Times New Roman"/>
        </w:rPr>
        <w:t xml:space="preserve">he </w:t>
      </w:r>
      <w:r w:rsidR="00920465" w:rsidRPr="006D2720">
        <w:rPr>
          <w:rFonts w:ascii="Times New Roman" w:hAnsi="Times New Roman" w:cs="Times New Roman"/>
        </w:rPr>
        <w:t>OAIC</w:t>
      </w:r>
      <w:r w:rsidR="00AF2DA4" w:rsidRPr="006D2720">
        <w:rPr>
          <w:rFonts w:ascii="Times New Roman" w:hAnsi="Times New Roman" w:cs="Times New Roman"/>
        </w:rPr>
        <w:t xml:space="preserve"> </w:t>
      </w:r>
      <w:r w:rsidR="009A736B" w:rsidRPr="006D2720">
        <w:rPr>
          <w:rFonts w:ascii="Times New Roman" w:hAnsi="Times New Roman" w:cs="Times New Roman"/>
        </w:rPr>
        <w:t xml:space="preserve">recommended that </w:t>
      </w:r>
      <w:r w:rsidR="00D32582" w:rsidRPr="006D2720">
        <w:rPr>
          <w:rFonts w:ascii="Times New Roman" w:hAnsi="Times New Roman" w:cs="Times New Roman"/>
        </w:rPr>
        <w:t xml:space="preserve">an obligation be placed on entities to take reasonable steps </w:t>
      </w:r>
      <w:r w:rsidR="006624AC" w:rsidRPr="006D2720">
        <w:rPr>
          <w:rFonts w:ascii="Times New Roman" w:hAnsi="Times New Roman" w:cs="Times New Roman"/>
        </w:rPr>
        <w:t xml:space="preserve">to satisfy </w:t>
      </w:r>
      <w:r w:rsidR="00B54DD5" w:rsidRPr="006D2720">
        <w:rPr>
          <w:rFonts w:ascii="Times New Roman" w:hAnsi="Times New Roman" w:cs="Times New Roman"/>
        </w:rPr>
        <w:t xml:space="preserve">themselves </w:t>
      </w:r>
      <w:r w:rsidR="006624AC" w:rsidRPr="006D2720">
        <w:rPr>
          <w:rFonts w:ascii="Times New Roman" w:hAnsi="Times New Roman" w:cs="Times New Roman"/>
        </w:rPr>
        <w:t>that</w:t>
      </w:r>
      <w:r w:rsidR="005E779A" w:rsidRPr="006D2720">
        <w:rPr>
          <w:rFonts w:ascii="Times New Roman" w:hAnsi="Times New Roman" w:cs="Times New Roman"/>
        </w:rPr>
        <w:t xml:space="preserve"> the </w:t>
      </w:r>
      <w:r w:rsidR="0043013E" w:rsidRPr="006D2720">
        <w:rPr>
          <w:rFonts w:ascii="Times New Roman" w:hAnsi="Times New Roman" w:cs="Times New Roman"/>
        </w:rPr>
        <w:t xml:space="preserve">initial collection was compliant with </w:t>
      </w:r>
      <w:r w:rsidR="00D87BC9" w:rsidRPr="006D2720">
        <w:rPr>
          <w:rFonts w:ascii="Times New Roman" w:hAnsi="Times New Roman" w:cs="Times New Roman"/>
        </w:rPr>
        <w:t>privacy obligations</w:t>
      </w:r>
      <w:r w:rsidR="0043013E" w:rsidRPr="006D2720">
        <w:rPr>
          <w:rFonts w:ascii="Times New Roman" w:hAnsi="Times New Roman" w:cs="Times New Roman"/>
        </w:rPr>
        <w:t xml:space="preserve">. </w:t>
      </w:r>
      <w:r w:rsidR="00581150" w:rsidRPr="006D2720">
        <w:rPr>
          <w:rFonts w:ascii="Times New Roman" w:hAnsi="Times New Roman" w:cs="Times New Roman"/>
        </w:rPr>
        <w:t xml:space="preserve">For example, that </w:t>
      </w:r>
      <w:r w:rsidR="004B180A" w:rsidRPr="006D2720">
        <w:rPr>
          <w:rFonts w:ascii="Times New Roman" w:hAnsi="Times New Roman" w:cs="Times New Roman"/>
        </w:rPr>
        <w:t xml:space="preserve">the </w:t>
      </w:r>
      <w:r w:rsidR="008323F3" w:rsidRPr="006D2720">
        <w:rPr>
          <w:rFonts w:ascii="Times New Roman" w:hAnsi="Times New Roman" w:cs="Times New Roman"/>
        </w:rPr>
        <w:t xml:space="preserve">information </w:t>
      </w:r>
      <w:r w:rsidR="006569FD" w:rsidRPr="006D2720">
        <w:rPr>
          <w:rFonts w:ascii="Times New Roman" w:hAnsi="Times New Roman" w:cs="Times New Roman"/>
        </w:rPr>
        <w:t>w</w:t>
      </w:r>
      <w:r w:rsidR="008323F3" w:rsidRPr="006D2720">
        <w:rPr>
          <w:rFonts w:ascii="Times New Roman" w:hAnsi="Times New Roman" w:cs="Times New Roman"/>
        </w:rPr>
        <w:t xml:space="preserve">as </w:t>
      </w:r>
      <w:r w:rsidR="00B66C7C" w:rsidRPr="006D2720">
        <w:rPr>
          <w:rFonts w:ascii="Times New Roman" w:hAnsi="Times New Roman" w:cs="Times New Roman"/>
        </w:rPr>
        <w:t xml:space="preserve">initially </w:t>
      </w:r>
      <w:r w:rsidR="008323F3" w:rsidRPr="006D2720">
        <w:rPr>
          <w:rFonts w:ascii="Times New Roman" w:hAnsi="Times New Roman" w:cs="Times New Roman"/>
        </w:rPr>
        <w:t>collected</w:t>
      </w:r>
      <w:r w:rsidR="00F009A2" w:rsidRPr="006D2720">
        <w:rPr>
          <w:rFonts w:ascii="Times New Roman" w:hAnsi="Times New Roman" w:cs="Times New Roman"/>
        </w:rPr>
        <w:t xml:space="preserve"> using </w:t>
      </w:r>
      <w:r w:rsidR="00735B9C" w:rsidRPr="006D2720">
        <w:rPr>
          <w:rFonts w:ascii="Times New Roman" w:hAnsi="Times New Roman" w:cs="Times New Roman"/>
        </w:rPr>
        <w:t xml:space="preserve">means that were </w:t>
      </w:r>
      <w:r w:rsidR="004B180A" w:rsidRPr="006D2720">
        <w:rPr>
          <w:rFonts w:ascii="Times New Roman" w:hAnsi="Times New Roman" w:cs="Times New Roman"/>
        </w:rPr>
        <w:t>lawful and</w:t>
      </w:r>
      <w:r w:rsidR="002D41B4" w:rsidRPr="006D2720">
        <w:rPr>
          <w:rFonts w:ascii="Times New Roman" w:hAnsi="Times New Roman" w:cs="Times New Roman"/>
        </w:rPr>
        <w:t>—</w:t>
      </w:r>
      <w:r w:rsidR="004B180A" w:rsidRPr="006D2720">
        <w:rPr>
          <w:rFonts w:ascii="Times New Roman" w:hAnsi="Times New Roman" w:cs="Times New Roman"/>
        </w:rPr>
        <w:t>in the case of the APPs</w:t>
      </w:r>
      <w:r w:rsidR="002D41B4" w:rsidRPr="006D2720">
        <w:rPr>
          <w:rFonts w:ascii="Times New Roman" w:hAnsi="Times New Roman" w:cs="Times New Roman"/>
        </w:rPr>
        <w:t>—</w:t>
      </w:r>
      <w:r w:rsidR="004B180A" w:rsidRPr="006D2720">
        <w:rPr>
          <w:rFonts w:ascii="Times New Roman" w:hAnsi="Times New Roman" w:cs="Times New Roman"/>
        </w:rPr>
        <w:t>fair.</w:t>
      </w:r>
      <w:r w:rsidR="00FD52CD" w:rsidRPr="006D2720">
        <w:rPr>
          <w:rStyle w:val="FootnoteReference"/>
          <w:rFonts w:ascii="Times New Roman" w:hAnsi="Times New Roman" w:cs="Times New Roman"/>
        </w:rPr>
        <w:footnoteReference w:id="155"/>
      </w:r>
      <w:bookmarkEnd w:id="262"/>
    </w:p>
    <w:p w14:paraId="3F1B10E1" w14:textId="6A30B7E3" w:rsidR="00B84512" w:rsidRPr="006D2720" w:rsidRDefault="000574C7" w:rsidP="00386071">
      <w:pPr>
        <w:rPr>
          <w:rFonts w:ascii="Times New Roman" w:hAnsi="Times New Roman" w:cs="Times New Roman"/>
          <w:b/>
          <w:bCs/>
          <w:i/>
          <w:iCs/>
        </w:rPr>
      </w:pPr>
      <w:r w:rsidRPr="006D2720">
        <w:rPr>
          <w:rFonts w:ascii="Times New Roman" w:hAnsi="Times New Roman" w:cs="Times New Roman"/>
          <w:b/>
          <w:bCs/>
          <w:i/>
          <w:iCs/>
        </w:rPr>
        <w:t>Use and disclosure</w:t>
      </w:r>
    </w:p>
    <w:p w14:paraId="5DC348B8" w14:textId="47D96CFC" w:rsidR="00726D4D" w:rsidRPr="006D2720" w:rsidRDefault="00191C1D" w:rsidP="0066337D">
      <w:pPr>
        <w:pStyle w:val="Heading3"/>
        <w:rPr>
          <w:rFonts w:ascii="Times New Roman" w:hAnsi="Times New Roman" w:cs="Times New Roman"/>
        </w:rPr>
      </w:pPr>
      <w:bookmarkStart w:id="264" w:name="_Ref129330749"/>
      <w:r w:rsidRPr="006D2720">
        <w:rPr>
          <w:rFonts w:ascii="Times New Roman" w:hAnsi="Times New Roman" w:cs="Times New Roman"/>
        </w:rPr>
        <w:t xml:space="preserve">Under Tasmanian law, </w:t>
      </w:r>
      <w:r w:rsidR="001930D3" w:rsidRPr="006D2720">
        <w:rPr>
          <w:rFonts w:ascii="Times New Roman" w:hAnsi="Times New Roman" w:cs="Times New Roman"/>
        </w:rPr>
        <w:t xml:space="preserve">PIPP 2 </w:t>
      </w:r>
      <w:r w:rsidR="00626DD8" w:rsidRPr="006D2720">
        <w:rPr>
          <w:rFonts w:ascii="Times New Roman" w:hAnsi="Times New Roman" w:cs="Times New Roman"/>
        </w:rPr>
        <w:t>limits</w:t>
      </w:r>
      <w:r w:rsidR="001930D3" w:rsidRPr="006D2720">
        <w:rPr>
          <w:rFonts w:ascii="Times New Roman" w:hAnsi="Times New Roman" w:cs="Times New Roman"/>
        </w:rPr>
        <w:t xml:space="preserve"> the use and disclosure of personal information. Generally</w:t>
      </w:r>
      <w:r w:rsidR="00D2151F" w:rsidRPr="006D2720">
        <w:rPr>
          <w:rFonts w:ascii="Times New Roman" w:hAnsi="Times New Roman" w:cs="Times New Roman"/>
        </w:rPr>
        <w:t xml:space="preserve">, personal information </w:t>
      </w:r>
      <w:r w:rsidR="001930D3" w:rsidRPr="006D2720">
        <w:rPr>
          <w:rFonts w:ascii="Times New Roman" w:hAnsi="Times New Roman" w:cs="Times New Roman"/>
        </w:rPr>
        <w:t xml:space="preserve">must only be used or disclosed </w:t>
      </w:r>
      <w:r w:rsidR="00E06221" w:rsidRPr="006D2720">
        <w:rPr>
          <w:rFonts w:ascii="Times New Roman" w:hAnsi="Times New Roman" w:cs="Times New Roman"/>
        </w:rPr>
        <w:t>for the purpose for which it was collected</w:t>
      </w:r>
      <w:r w:rsidR="00994490" w:rsidRPr="006D2720">
        <w:rPr>
          <w:rFonts w:ascii="Times New Roman" w:hAnsi="Times New Roman" w:cs="Times New Roman"/>
        </w:rPr>
        <w:t xml:space="preserve"> </w:t>
      </w:r>
      <w:r w:rsidR="00DD0194" w:rsidRPr="006D2720">
        <w:rPr>
          <w:rFonts w:ascii="Times New Roman" w:hAnsi="Times New Roman" w:cs="Times New Roman"/>
        </w:rPr>
        <w:t>(</w:t>
      </w:r>
      <w:r w:rsidR="00304E98" w:rsidRPr="006D2720">
        <w:rPr>
          <w:rFonts w:ascii="Times New Roman" w:hAnsi="Times New Roman" w:cs="Times New Roman"/>
        </w:rPr>
        <w:t>‘</w:t>
      </w:r>
      <w:r w:rsidR="007C1303" w:rsidRPr="006D2720">
        <w:rPr>
          <w:rFonts w:ascii="Times New Roman" w:hAnsi="Times New Roman" w:cs="Times New Roman"/>
        </w:rPr>
        <w:t>primary purpose</w:t>
      </w:r>
      <w:r w:rsidR="00304E98" w:rsidRPr="006D2720">
        <w:rPr>
          <w:rFonts w:ascii="Times New Roman" w:hAnsi="Times New Roman" w:cs="Times New Roman"/>
        </w:rPr>
        <w:t>’</w:t>
      </w:r>
      <w:r w:rsidR="00DD0194" w:rsidRPr="006D2720">
        <w:rPr>
          <w:rFonts w:ascii="Times New Roman" w:hAnsi="Times New Roman" w:cs="Times New Roman"/>
        </w:rPr>
        <w:t>)</w:t>
      </w:r>
      <w:r w:rsidR="00E06221" w:rsidRPr="006D2720">
        <w:rPr>
          <w:rFonts w:ascii="Times New Roman" w:hAnsi="Times New Roman" w:cs="Times New Roman"/>
        </w:rPr>
        <w:t xml:space="preserve">. Otherwise, </w:t>
      </w:r>
      <w:r w:rsidR="00DF7806" w:rsidRPr="006D2720">
        <w:rPr>
          <w:rFonts w:ascii="Times New Roman" w:hAnsi="Times New Roman" w:cs="Times New Roman"/>
        </w:rPr>
        <w:t xml:space="preserve">it can be used or disclosed </w:t>
      </w:r>
      <w:r w:rsidR="00DB1445" w:rsidRPr="006D2720">
        <w:rPr>
          <w:rFonts w:ascii="Times New Roman" w:hAnsi="Times New Roman" w:cs="Times New Roman"/>
        </w:rPr>
        <w:t>for another purpose (</w:t>
      </w:r>
      <w:r w:rsidR="00304E98" w:rsidRPr="006D2720">
        <w:rPr>
          <w:rFonts w:ascii="Times New Roman" w:hAnsi="Times New Roman" w:cs="Times New Roman"/>
        </w:rPr>
        <w:t>‘</w:t>
      </w:r>
      <w:r w:rsidR="00DB1445" w:rsidRPr="006D2720">
        <w:rPr>
          <w:rFonts w:ascii="Times New Roman" w:hAnsi="Times New Roman" w:cs="Times New Roman"/>
          <w:bCs w:val="0"/>
        </w:rPr>
        <w:t>secondary purpose</w:t>
      </w:r>
      <w:r w:rsidR="00304E98" w:rsidRPr="006D2720">
        <w:rPr>
          <w:rFonts w:ascii="Times New Roman" w:hAnsi="Times New Roman" w:cs="Times New Roman"/>
          <w:bCs w:val="0"/>
        </w:rPr>
        <w:t>’)</w:t>
      </w:r>
      <w:r w:rsidR="00BA1070" w:rsidRPr="006D2720">
        <w:rPr>
          <w:rStyle w:val="FootnoteReference"/>
          <w:rFonts w:ascii="Times New Roman" w:hAnsi="Times New Roman" w:cs="Times New Roman"/>
        </w:rPr>
        <w:footnoteReference w:id="156"/>
      </w:r>
      <w:r w:rsidR="00DB1445" w:rsidRPr="006D2720">
        <w:rPr>
          <w:rFonts w:ascii="Times New Roman" w:hAnsi="Times New Roman" w:cs="Times New Roman"/>
        </w:rPr>
        <w:t xml:space="preserve"> </w:t>
      </w:r>
      <w:r w:rsidR="004259D3" w:rsidRPr="006D2720">
        <w:rPr>
          <w:rFonts w:ascii="Times New Roman" w:hAnsi="Times New Roman" w:cs="Times New Roman"/>
        </w:rPr>
        <w:t xml:space="preserve">only </w:t>
      </w:r>
      <w:r w:rsidR="00DE16BE" w:rsidRPr="006D2720">
        <w:rPr>
          <w:rFonts w:ascii="Times New Roman" w:hAnsi="Times New Roman" w:cs="Times New Roman"/>
        </w:rPr>
        <w:t xml:space="preserve">if it </w:t>
      </w:r>
      <w:r w:rsidR="00246940" w:rsidRPr="006D2720">
        <w:rPr>
          <w:rFonts w:ascii="Times New Roman" w:hAnsi="Times New Roman" w:cs="Times New Roman"/>
        </w:rPr>
        <w:t>satisfies</w:t>
      </w:r>
      <w:r w:rsidR="00DE16BE" w:rsidRPr="006D2720">
        <w:rPr>
          <w:rFonts w:ascii="Times New Roman" w:hAnsi="Times New Roman" w:cs="Times New Roman"/>
        </w:rPr>
        <w:t xml:space="preserve"> </w:t>
      </w:r>
      <w:r w:rsidR="0041200B" w:rsidRPr="006D2720">
        <w:rPr>
          <w:rFonts w:ascii="Times New Roman" w:hAnsi="Times New Roman" w:cs="Times New Roman"/>
        </w:rPr>
        <w:t xml:space="preserve">one of the other permissible </w:t>
      </w:r>
      <w:r w:rsidR="002D4FD3" w:rsidRPr="006D2720">
        <w:rPr>
          <w:rFonts w:ascii="Times New Roman" w:hAnsi="Times New Roman" w:cs="Times New Roman"/>
        </w:rPr>
        <w:t>circumstances</w:t>
      </w:r>
      <w:r w:rsidR="0041200B" w:rsidRPr="006D2720">
        <w:rPr>
          <w:rFonts w:ascii="Times New Roman" w:hAnsi="Times New Roman" w:cs="Times New Roman"/>
        </w:rPr>
        <w:t xml:space="preserve"> </w:t>
      </w:r>
      <w:r w:rsidR="008F432A" w:rsidRPr="006D2720">
        <w:rPr>
          <w:rFonts w:ascii="Times New Roman" w:hAnsi="Times New Roman" w:cs="Times New Roman"/>
        </w:rPr>
        <w:t>listed in PIPP 2</w:t>
      </w:r>
      <w:r w:rsidR="004259D3" w:rsidRPr="006D2720">
        <w:rPr>
          <w:rFonts w:ascii="Times New Roman" w:hAnsi="Times New Roman" w:cs="Times New Roman"/>
        </w:rPr>
        <w:t>.</w:t>
      </w:r>
      <w:r w:rsidR="004259D3" w:rsidRPr="006D2720">
        <w:rPr>
          <w:rStyle w:val="FootnoteReference"/>
          <w:rFonts w:ascii="Times New Roman" w:hAnsi="Times New Roman" w:cs="Times New Roman"/>
        </w:rPr>
        <w:footnoteReference w:id="157"/>
      </w:r>
      <w:bookmarkEnd w:id="264"/>
      <w:r w:rsidR="004E4A24" w:rsidRPr="006D2720">
        <w:rPr>
          <w:rFonts w:ascii="Times New Roman" w:hAnsi="Times New Roman" w:cs="Times New Roman"/>
        </w:rPr>
        <w:t xml:space="preserve"> </w:t>
      </w:r>
      <w:bookmarkStart w:id="265" w:name="_Toc91536547"/>
      <w:bookmarkStart w:id="266" w:name="_Toc91536548"/>
      <w:bookmarkStart w:id="267" w:name="_Toc91536549"/>
      <w:bookmarkStart w:id="268" w:name="_Toc91536550"/>
      <w:bookmarkStart w:id="269" w:name="_Toc91536551"/>
      <w:bookmarkStart w:id="270" w:name="_Toc91536552"/>
      <w:bookmarkStart w:id="271" w:name="_Toc91536553"/>
      <w:bookmarkStart w:id="272" w:name="_Toc91536554"/>
      <w:bookmarkEnd w:id="265"/>
      <w:bookmarkEnd w:id="266"/>
      <w:bookmarkEnd w:id="267"/>
      <w:bookmarkEnd w:id="268"/>
      <w:bookmarkEnd w:id="269"/>
      <w:bookmarkEnd w:id="270"/>
      <w:bookmarkEnd w:id="271"/>
      <w:bookmarkEnd w:id="272"/>
    </w:p>
    <w:p w14:paraId="4DBD9E36" w14:textId="6763F122" w:rsidR="00186E67" w:rsidRPr="006D2720" w:rsidRDefault="00186E67" w:rsidP="00E21F80">
      <w:pPr>
        <w:pStyle w:val="Heading3"/>
        <w:rPr>
          <w:rFonts w:ascii="Times New Roman" w:hAnsi="Times New Roman" w:cs="Times New Roman"/>
        </w:rPr>
      </w:pPr>
      <w:bookmarkStart w:id="273" w:name="_Ref91757031"/>
      <w:r w:rsidRPr="006D2720">
        <w:rPr>
          <w:rFonts w:ascii="Times New Roman" w:hAnsi="Times New Roman" w:cs="Times New Roman"/>
        </w:rPr>
        <w:t xml:space="preserve">One example is where the </w:t>
      </w:r>
      <w:r w:rsidR="000025E2" w:rsidRPr="006D2720">
        <w:rPr>
          <w:rFonts w:ascii="Times New Roman" w:hAnsi="Times New Roman" w:cs="Times New Roman"/>
        </w:rPr>
        <w:t xml:space="preserve">law requires or authorises the </w:t>
      </w:r>
      <w:r w:rsidRPr="006D2720">
        <w:rPr>
          <w:rFonts w:ascii="Times New Roman" w:hAnsi="Times New Roman" w:cs="Times New Roman"/>
        </w:rPr>
        <w:t>use or disclosure.</w:t>
      </w:r>
      <w:r w:rsidR="000025E2" w:rsidRPr="006D2720">
        <w:rPr>
          <w:rStyle w:val="FootnoteReference"/>
          <w:rFonts w:ascii="Times New Roman" w:hAnsi="Times New Roman" w:cs="Times New Roman"/>
        </w:rPr>
        <w:footnoteReference w:id="158"/>
      </w:r>
      <w:r w:rsidRPr="006D2720">
        <w:rPr>
          <w:rFonts w:ascii="Times New Roman" w:hAnsi="Times New Roman" w:cs="Times New Roman"/>
        </w:rPr>
        <w:t xml:space="preserve"> </w:t>
      </w:r>
      <w:r w:rsidR="008E2937" w:rsidRPr="006D2720">
        <w:rPr>
          <w:rFonts w:ascii="Times New Roman" w:hAnsi="Times New Roman" w:cs="Times New Roman"/>
        </w:rPr>
        <w:t>However, i</w:t>
      </w:r>
      <w:r w:rsidRPr="006D2720">
        <w:rPr>
          <w:rFonts w:ascii="Times New Roman" w:hAnsi="Times New Roman" w:cs="Times New Roman"/>
        </w:rPr>
        <w:t>t is not clear how far this authorisation extends, including whether</w:t>
      </w:r>
      <w:r w:rsidR="000025E2" w:rsidRPr="006D2720">
        <w:rPr>
          <w:rFonts w:ascii="Times New Roman" w:hAnsi="Times New Roman" w:cs="Times New Roman"/>
        </w:rPr>
        <w:t xml:space="preserve"> it is limited to legislation or whether</w:t>
      </w:r>
      <w:r w:rsidRPr="006D2720">
        <w:rPr>
          <w:rFonts w:ascii="Times New Roman" w:hAnsi="Times New Roman" w:cs="Times New Roman"/>
        </w:rPr>
        <w:t xml:space="preserve"> it would </w:t>
      </w:r>
      <w:r w:rsidR="000025E2" w:rsidRPr="006D2720">
        <w:rPr>
          <w:rFonts w:ascii="Times New Roman" w:hAnsi="Times New Roman" w:cs="Times New Roman"/>
        </w:rPr>
        <w:t xml:space="preserve">also </w:t>
      </w:r>
      <w:r w:rsidRPr="006D2720">
        <w:rPr>
          <w:rFonts w:ascii="Times New Roman" w:hAnsi="Times New Roman" w:cs="Times New Roman"/>
        </w:rPr>
        <w:t>include statutory instruments or contractual obligations created by the custodian themselves. In guidelines for the Commonwealth Privacy Act,</w:t>
      </w:r>
      <w:r w:rsidRPr="006D2720">
        <w:rPr>
          <w:rStyle w:val="FootnoteReference"/>
          <w:rFonts w:ascii="Times New Roman" w:hAnsi="Times New Roman" w:cs="Times New Roman"/>
        </w:rPr>
        <w:footnoteReference w:id="159"/>
      </w:r>
      <w:r w:rsidRPr="006D2720">
        <w:rPr>
          <w:rFonts w:ascii="Times New Roman" w:hAnsi="Times New Roman" w:cs="Times New Roman"/>
        </w:rPr>
        <w:t xml:space="preserve"> the </w:t>
      </w:r>
      <w:r w:rsidR="00920465" w:rsidRPr="006D2720">
        <w:rPr>
          <w:rFonts w:ascii="Times New Roman" w:hAnsi="Times New Roman" w:cs="Times New Roman"/>
        </w:rPr>
        <w:t>OAIC</w:t>
      </w:r>
      <w:r w:rsidRPr="006D2720">
        <w:rPr>
          <w:rFonts w:ascii="Times New Roman" w:hAnsi="Times New Roman" w:cs="Times New Roman"/>
        </w:rPr>
        <w:t xml:space="preserve"> indicated that </w:t>
      </w:r>
      <w:r w:rsidR="00F41804" w:rsidRPr="006D2720">
        <w:rPr>
          <w:rFonts w:ascii="Times New Roman" w:hAnsi="Times New Roman" w:cs="Times New Roman"/>
        </w:rPr>
        <w:t>‘</w:t>
      </w:r>
      <w:r w:rsidRPr="006D2720">
        <w:rPr>
          <w:rFonts w:ascii="Times New Roman" w:hAnsi="Times New Roman" w:cs="Times New Roman"/>
        </w:rPr>
        <w:t>required</w:t>
      </w:r>
      <w:r w:rsidR="00F41804" w:rsidRPr="006D2720">
        <w:rPr>
          <w:rFonts w:ascii="Times New Roman" w:hAnsi="Times New Roman" w:cs="Times New Roman"/>
        </w:rPr>
        <w:t>’</w:t>
      </w:r>
      <w:r w:rsidRPr="006D2720">
        <w:rPr>
          <w:rFonts w:ascii="Times New Roman" w:hAnsi="Times New Roman" w:cs="Times New Roman"/>
        </w:rPr>
        <w:t xml:space="preserve"> </w:t>
      </w:r>
      <w:r w:rsidR="00523072" w:rsidRPr="006D2720">
        <w:rPr>
          <w:rFonts w:ascii="Times New Roman" w:hAnsi="Times New Roman" w:cs="Times New Roman"/>
        </w:rPr>
        <w:t>means</w:t>
      </w:r>
      <w:r w:rsidR="008F7DAE" w:rsidRPr="006D2720">
        <w:rPr>
          <w:rFonts w:ascii="Times New Roman" w:hAnsi="Times New Roman" w:cs="Times New Roman"/>
        </w:rPr>
        <w:t xml:space="preserve"> </w:t>
      </w:r>
      <w:r w:rsidRPr="006D2720">
        <w:rPr>
          <w:rFonts w:ascii="Times New Roman" w:hAnsi="Times New Roman" w:cs="Times New Roman"/>
        </w:rPr>
        <w:t xml:space="preserve">an entity has no choice but to use or disclose the information. </w:t>
      </w:r>
      <w:r w:rsidR="009621D4" w:rsidRPr="006D2720">
        <w:rPr>
          <w:rFonts w:ascii="Times New Roman" w:hAnsi="Times New Roman" w:cs="Times New Roman"/>
        </w:rPr>
        <w:t>Meanwhile</w:t>
      </w:r>
      <w:r w:rsidR="00763279" w:rsidRPr="006D2720">
        <w:rPr>
          <w:rFonts w:ascii="Times New Roman" w:hAnsi="Times New Roman" w:cs="Times New Roman"/>
        </w:rPr>
        <w:t xml:space="preserve">, </w:t>
      </w:r>
      <w:r w:rsidR="00667F88" w:rsidRPr="006D2720">
        <w:rPr>
          <w:rFonts w:ascii="Times New Roman" w:hAnsi="Times New Roman" w:cs="Times New Roman"/>
        </w:rPr>
        <w:t>‘</w:t>
      </w:r>
      <w:r w:rsidR="00763279" w:rsidRPr="006D2720">
        <w:rPr>
          <w:rFonts w:ascii="Times New Roman" w:hAnsi="Times New Roman" w:cs="Times New Roman"/>
        </w:rPr>
        <w:t>a</w:t>
      </w:r>
      <w:r w:rsidRPr="006D2720">
        <w:rPr>
          <w:rFonts w:ascii="Times New Roman" w:hAnsi="Times New Roman" w:cs="Times New Roman"/>
        </w:rPr>
        <w:t>uthorised</w:t>
      </w:r>
      <w:r w:rsidR="00667F88" w:rsidRPr="006D2720">
        <w:rPr>
          <w:rFonts w:ascii="Times New Roman" w:hAnsi="Times New Roman" w:cs="Times New Roman"/>
        </w:rPr>
        <w:t>’</w:t>
      </w:r>
      <w:r w:rsidRPr="006D2720">
        <w:rPr>
          <w:rFonts w:ascii="Times New Roman" w:hAnsi="Times New Roman" w:cs="Times New Roman"/>
        </w:rPr>
        <w:t xml:space="preserve"> </w:t>
      </w:r>
      <w:r w:rsidR="00523072" w:rsidRPr="006D2720">
        <w:rPr>
          <w:rFonts w:ascii="Times New Roman" w:hAnsi="Times New Roman" w:cs="Times New Roman"/>
        </w:rPr>
        <w:t>means</w:t>
      </w:r>
      <w:r w:rsidRPr="006D2720">
        <w:rPr>
          <w:rFonts w:ascii="Times New Roman" w:hAnsi="Times New Roman" w:cs="Times New Roman"/>
        </w:rPr>
        <w:t xml:space="preserve"> </w:t>
      </w:r>
      <w:r w:rsidR="008A30FE" w:rsidRPr="006D2720">
        <w:rPr>
          <w:rFonts w:ascii="Times New Roman" w:hAnsi="Times New Roman" w:cs="Times New Roman"/>
        </w:rPr>
        <w:t>the entity is</w:t>
      </w:r>
      <w:r w:rsidRPr="006D2720">
        <w:rPr>
          <w:rFonts w:ascii="Times New Roman" w:hAnsi="Times New Roman" w:cs="Times New Roman"/>
        </w:rPr>
        <w:t xml:space="preserve"> permitted</w:t>
      </w:r>
      <w:r w:rsidR="00F43275" w:rsidRPr="006D2720">
        <w:rPr>
          <w:rFonts w:ascii="Times New Roman" w:hAnsi="Times New Roman" w:cs="Times New Roman"/>
        </w:rPr>
        <w:t>,</w:t>
      </w:r>
      <w:r w:rsidRPr="006D2720">
        <w:rPr>
          <w:rFonts w:ascii="Times New Roman" w:hAnsi="Times New Roman" w:cs="Times New Roman"/>
        </w:rPr>
        <w:t xml:space="preserve"> but not required</w:t>
      </w:r>
      <w:r w:rsidR="00F43275" w:rsidRPr="006D2720">
        <w:rPr>
          <w:rFonts w:ascii="Times New Roman" w:hAnsi="Times New Roman" w:cs="Times New Roman"/>
        </w:rPr>
        <w:t>,</w:t>
      </w:r>
      <w:r w:rsidRPr="006D2720">
        <w:rPr>
          <w:rFonts w:ascii="Times New Roman" w:hAnsi="Times New Roman" w:cs="Times New Roman"/>
        </w:rPr>
        <w:t xml:space="preserve"> to do so. </w:t>
      </w:r>
      <w:r w:rsidR="005812B1" w:rsidRPr="006D2720">
        <w:rPr>
          <w:rFonts w:ascii="Times New Roman" w:hAnsi="Times New Roman" w:cs="Times New Roman"/>
        </w:rPr>
        <w:t xml:space="preserve">However, </w:t>
      </w:r>
      <w:r w:rsidR="00062509" w:rsidRPr="006D2720">
        <w:rPr>
          <w:rFonts w:ascii="Times New Roman" w:hAnsi="Times New Roman" w:cs="Times New Roman"/>
        </w:rPr>
        <w:t xml:space="preserve">it is generally not sufficient for there to be merely </w:t>
      </w:r>
      <w:r w:rsidR="00FB0C06" w:rsidRPr="006D2720">
        <w:rPr>
          <w:rFonts w:ascii="Times New Roman" w:hAnsi="Times New Roman" w:cs="Times New Roman"/>
        </w:rPr>
        <w:t xml:space="preserve">a </w:t>
      </w:r>
      <w:r w:rsidR="00FB0C06" w:rsidRPr="006D2720">
        <w:rPr>
          <w:rFonts w:ascii="Times New Roman" w:hAnsi="Times New Roman" w:cs="Times New Roman"/>
          <w:i/>
          <w:iCs/>
        </w:rPr>
        <w:t>lack</w:t>
      </w:r>
      <w:r w:rsidR="00FB0C06" w:rsidRPr="006D2720">
        <w:rPr>
          <w:rFonts w:ascii="Times New Roman" w:hAnsi="Times New Roman" w:cs="Times New Roman"/>
        </w:rPr>
        <w:t xml:space="preserve"> of</w:t>
      </w:r>
      <w:r w:rsidR="00062509" w:rsidRPr="006D2720">
        <w:rPr>
          <w:rFonts w:ascii="Times New Roman" w:hAnsi="Times New Roman" w:cs="Times New Roman"/>
        </w:rPr>
        <w:t xml:space="preserve"> </w:t>
      </w:r>
      <w:r w:rsidRPr="006D2720">
        <w:rPr>
          <w:rFonts w:ascii="Times New Roman" w:hAnsi="Times New Roman" w:cs="Times New Roman"/>
        </w:rPr>
        <w:t>prohibition</w:t>
      </w:r>
      <w:r w:rsidR="00062509" w:rsidRPr="006D2720">
        <w:rPr>
          <w:rFonts w:ascii="Times New Roman" w:hAnsi="Times New Roman" w:cs="Times New Roman"/>
        </w:rPr>
        <w:t xml:space="preserve"> on use or disclosure</w:t>
      </w:r>
      <w:r w:rsidRPr="006D2720">
        <w:rPr>
          <w:rFonts w:ascii="Times New Roman" w:hAnsi="Times New Roman" w:cs="Times New Roman"/>
        </w:rPr>
        <w:t xml:space="preserve">, or </w:t>
      </w:r>
      <w:r w:rsidR="00062509" w:rsidRPr="006D2720">
        <w:rPr>
          <w:rFonts w:ascii="Times New Roman" w:hAnsi="Times New Roman" w:cs="Times New Roman"/>
        </w:rPr>
        <w:t xml:space="preserve">for there to be </w:t>
      </w:r>
      <w:r w:rsidRPr="006D2720">
        <w:rPr>
          <w:rFonts w:ascii="Times New Roman" w:hAnsi="Times New Roman" w:cs="Times New Roman"/>
        </w:rPr>
        <w:t>a general or incidental authority</w:t>
      </w:r>
      <w:r w:rsidR="00062509" w:rsidRPr="006D2720">
        <w:rPr>
          <w:rFonts w:ascii="Times New Roman" w:hAnsi="Times New Roman" w:cs="Times New Roman"/>
        </w:rPr>
        <w:t>.</w:t>
      </w:r>
      <w:r w:rsidRPr="006D2720">
        <w:rPr>
          <w:rFonts w:ascii="Times New Roman" w:hAnsi="Times New Roman" w:cs="Times New Roman"/>
        </w:rPr>
        <w:t xml:space="preserve"> </w:t>
      </w:r>
      <w:r w:rsidR="00363389" w:rsidRPr="006D2720">
        <w:rPr>
          <w:rFonts w:ascii="Times New Roman" w:hAnsi="Times New Roman" w:cs="Times New Roman"/>
        </w:rPr>
        <w:t>For example,</w:t>
      </w:r>
      <w:r w:rsidR="008C6607" w:rsidRPr="006D2720">
        <w:rPr>
          <w:rFonts w:ascii="Times New Roman" w:hAnsi="Times New Roman" w:cs="Times New Roman"/>
        </w:rPr>
        <w:t xml:space="preserve"> </w:t>
      </w:r>
      <w:r w:rsidR="0010735D" w:rsidRPr="006D2720">
        <w:rPr>
          <w:rFonts w:ascii="Times New Roman" w:hAnsi="Times New Roman" w:cs="Times New Roman"/>
        </w:rPr>
        <w:t>if an entity is conferred a general authority to create statutory instruments or otherwise do anything necessary or convenient in carrying out its functions, this would not be interpreted as allowing an agency to create the authority to use or disclose personal information</w:t>
      </w:r>
      <w:r w:rsidR="00B010F1" w:rsidRPr="006D2720">
        <w:rPr>
          <w:rFonts w:ascii="Times New Roman" w:hAnsi="Times New Roman" w:cs="Times New Roman"/>
        </w:rPr>
        <w:t xml:space="preserve">. </w:t>
      </w:r>
      <w:r w:rsidRPr="006D2720">
        <w:rPr>
          <w:rFonts w:ascii="Times New Roman" w:hAnsi="Times New Roman" w:cs="Times New Roman"/>
        </w:rPr>
        <w:t>The Privacy Act also does not extend protection to contractual obligations.</w:t>
      </w:r>
      <w:bookmarkEnd w:id="273"/>
    </w:p>
    <w:p w14:paraId="45928D50" w14:textId="06D18C0D" w:rsidR="00871EE8" w:rsidRPr="006D2720" w:rsidRDefault="00F43275" w:rsidP="00871EE8">
      <w:pPr>
        <w:pStyle w:val="Heading3"/>
        <w:rPr>
          <w:rFonts w:ascii="Times New Roman" w:hAnsi="Times New Roman" w:cs="Times New Roman"/>
        </w:rPr>
      </w:pPr>
      <w:r w:rsidRPr="006D2720">
        <w:rPr>
          <w:rFonts w:ascii="Times New Roman" w:hAnsi="Times New Roman" w:cs="Times New Roman"/>
        </w:rPr>
        <w:t xml:space="preserve">Another example </w:t>
      </w:r>
      <w:r w:rsidR="005C27E2" w:rsidRPr="006D2720">
        <w:rPr>
          <w:rFonts w:ascii="Times New Roman" w:hAnsi="Times New Roman" w:cs="Times New Roman"/>
        </w:rPr>
        <w:t xml:space="preserve">where information can be used or disclosed for a secondary purpose </w:t>
      </w:r>
      <w:r w:rsidRPr="006D2720">
        <w:rPr>
          <w:rFonts w:ascii="Times New Roman" w:hAnsi="Times New Roman" w:cs="Times New Roman"/>
        </w:rPr>
        <w:t xml:space="preserve">is where the information is ‘basic information’. </w:t>
      </w:r>
      <w:r w:rsidR="00871EE8" w:rsidRPr="006D2720">
        <w:rPr>
          <w:rFonts w:ascii="Times New Roman" w:hAnsi="Times New Roman" w:cs="Times New Roman"/>
        </w:rPr>
        <w:t xml:space="preserve">As discussed above at </w:t>
      </w:r>
      <w:r w:rsidR="00D332F8" w:rsidRPr="006D2720">
        <w:rPr>
          <w:rFonts w:ascii="Times New Roman" w:hAnsi="Times New Roman" w:cs="Times New Roman"/>
        </w:rPr>
        <w:t>[</w:t>
      </w:r>
      <w:r w:rsidR="00871EE8" w:rsidRPr="006D2720">
        <w:rPr>
          <w:rFonts w:ascii="Times New Roman" w:hAnsi="Times New Roman" w:cs="Times New Roman"/>
        </w:rPr>
        <w:fldChar w:fldCharType="begin"/>
      </w:r>
      <w:r w:rsidR="00871EE8" w:rsidRPr="006D2720">
        <w:rPr>
          <w:rFonts w:ascii="Times New Roman" w:hAnsi="Times New Roman" w:cs="Times New Roman"/>
        </w:rPr>
        <w:instrText xml:space="preserve"> REF _Ref89964595 \r \h </w:instrText>
      </w:r>
      <w:r w:rsidR="00A660A0" w:rsidRPr="006D2720">
        <w:rPr>
          <w:rFonts w:ascii="Times New Roman" w:hAnsi="Times New Roman" w:cs="Times New Roman"/>
        </w:rPr>
        <w:instrText xml:space="preserve"> \* MERGEFORMAT </w:instrText>
      </w:r>
      <w:r w:rsidR="00871EE8" w:rsidRPr="006D2720">
        <w:rPr>
          <w:rFonts w:ascii="Times New Roman" w:hAnsi="Times New Roman" w:cs="Times New Roman"/>
        </w:rPr>
      </w:r>
      <w:r w:rsidR="00871EE8" w:rsidRPr="006D2720">
        <w:rPr>
          <w:rFonts w:ascii="Times New Roman" w:hAnsi="Times New Roman" w:cs="Times New Roman"/>
        </w:rPr>
        <w:fldChar w:fldCharType="separate"/>
      </w:r>
      <w:r w:rsidR="00E66B60">
        <w:rPr>
          <w:rFonts w:ascii="Times New Roman" w:hAnsi="Times New Roman" w:cs="Times New Roman"/>
        </w:rPr>
        <w:t>2.2.54</w:t>
      </w:r>
      <w:r w:rsidR="00871EE8" w:rsidRPr="006D2720">
        <w:rPr>
          <w:rFonts w:ascii="Times New Roman" w:hAnsi="Times New Roman" w:cs="Times New Roman"/>
        </w:rPr>
        <w:fldChar w:fldCharType="end"/>
      </w:r>
      <w:r w:rsidR="00D332F8" w:rsidRPr="006D2720">
        <w:rPr>
          <w:rFonts w:ascii="Times New Roman" w:hAnsi="Times New Roman" w:cs="Times New Roman"/>
        </w:rPr>
        <w:t>]</w:t>
      </w:r>
      <w:r w:rsidR="00871EE8" w:rsidRPr="006D2720">
        <w:rPr>
          <w:rFonts w:ascii="Times New Roman" w:hAnsi="Times New Roman" w:cs="Times New Roman"/>
        </w:rPr>
        <w:t xml:space="preserve">, public authorities can share ‘basic information’ with another public sector body </w:t>
      </w:r>
      <w:r w:rsidR="005C27E2" w:rsidRPr="006D2720">
        <w:rPr>
          <w:rFonts w:ascii="Times New Roman" w:hAnsi="Times New Roman" w:cs="Times New Roman"/>
        </w:rPr>
        <w:t>where this</w:t>
      </w:r>
      <w:r w:rsidR="00871EE8" w:rsidRPr="006D2720">
        <w:rPr>
          <w:rFonts w:ascii="Times New Roman" w:hAnsi="Times New Roman" w:cs="Times New Roman"/>
        </w:rPr>
        <w:t xml:space="preserve"> ‘is reasonably necessary for the efficient storage and use of that information’.</w:t>
      </w:r>
      <w:r w:rsidR="00871EE8" w:rsidRPr="006D2720">
        <w:rPr>
          <w:rStyle w:val="FootnoteReference"/>
          <w:rFonts w:ascii="Times New Roman" w:hAnsi="Times New Roman" w:cs="Times New Roman"/>
        </w:rPr>
        <w:footnoteReference w:id="160"/>
      </w:r>
    </w:p>
    <w:p w14:paraId="37EC96BA" w14:textId="0EACED35" w:rsidR="002B3364" w:rsidRPr="006D2720" w:rsidRDefault="007C1303" w:rsidP="0066337D">
      <w:pPr>
        <w:pStyle w:val="Heading3"/>
        <w:rPr>
          <w:rFonts w:ascii="Times New Roman" w:hAnsi="Times New Roman" w:cs="Times New Roman"/>
        </w:rPr>
      </w:pPr>
      <w:r w:rsidRPr="006D2720">
        <w:rPr>
          <w:rFonts w:ascii="Times New Roman" w:hAnsi="Times New Roman" w:cs="Times New Roman"/>
        </w:rPr>
        <w:t xml:space="preserve">In the context of healthcare, </w:t>
      </w:r>
      <w:r w:rsidR="00191C1D" w:rsidRPr="006D2720">
        <w:rPr>
          <w:rFonts w:ascii="Times New Roman" w:hAnsi="Times New Roman" w:cs="Times New Roman"/>
        </w:rPr>
        <w:t xml:space="preserve">under Tasmanian law, </w:t>
      </w:r>
      <w:r w:rsidR="000774DD" w:rsidRPr="006D2720">
        <w:rPr>
          <w:rFonts w:ascii="Times New Roman" w:hAnsi="Times New Roman" w:cs="Times New Roman"/>
        </w:rPr>
        <w:t>PIPP 2 makes</w:t>
      </w:r>
      <w:r w:rsidR="004259D3" w:rsidRPr="006D2720">
        <w:rPr>
          <w:rFonts w:ascii="Times New Roman" w:hAnsi="Times New Roman" w:cs="Times New Roman"/>
        </w:rPr>
        <w:t xml:space="preserve"> explicit provision for h</w:t>
      </w:r>
      <w:r w:rsidR="00EC7B70" w:rsidRPr="006D2720">
        <w:rPr>
          <w:rFonts w:ascii="Times New Roman" w:hAnsi="Times New Roman" w:cs="Times New Roman"/>
        </w:rPr>
        <w:t xml:space="preserve">ealth service providers </w:t>
      </w:r>
      <w:r w:rsidR="004259D3" w:rsidRPr="006D2720">
        <w:rPr>
          <w:rFonts w:ascii="Times New Roman" w:hAnsi="Times New Roman" w:cs="Times New Roman"/>
        </w:rPr>
        <w:t xml:space="preserve">to </w:t>
      </w:r>
      <w:r w:rsidR="004803C5" w:rsidRPr="006D2720">
        <w:rPr>
          <w:rFonts w:ascii="Times New Roman" w:hAnsi="Times New Roman" w:cs="Times New Roman"/>
        </w:rPr>
        <w:t>disclose an individual’s health information to another person who is responsible for th</w:t>
      </w:r>
      <w:r w:rsidR="000F78CB" w:rsidRPr="006D2720">
        <w:rPr>
          <w:rFonts w:ascii="Times New Roman" w:hAnsi="Times New Roman" w:cs="Times New Roman"/>
        </w:rPr>
        <w:t>at</w:t>
      </w:r>
      <w:r w:rsidR="004803C5" w:rsidRPr="006D2720">
        <w:rPr>
          <w:rFonts w:ascii="Times New Roman" w:hAnsi="Times New Roman" w:cs="Times New Roman"/>
        </w:rPr>
        <w:t xml:space="preserve"> individual</w:t>
      </w:r>
      <w:r w:rsidR="00455119" w:rsidRPr="006D2720">
        <w:rPr>
          <w:rFonts w:ascii="Times New Roman" w:hAnsi="Times New Roman" w:cs="Times New Roman"/>
        </w:rPr>
        <w:t xml:space="preserve"> in certain circumstances.</w:t>
      </w:r>
      <w:r w:rsidR="004259D3" w:rsidRPr="006D2720">
        <w:rPr>
          <w:rStyle w:val="FootnoteReference"/>
          <w:rFonts w:ascii="Times New Roman" w:hAnsi="Times New Roman" w:cs="Times New Roman"/>
        </w:rPr>
        <w:footnoteReference w:id="161"/>
      </w:r>
      <w:r w:rsidR="00455119" w:rsidRPr="006D2720">
        <w:rPr>
          <w:rFonts w:ascii="Times New Roman" w:hAnsi="Times New Roman" w:cs="Times New Roman"/>
        </w:rPr>
        <w:t xml:space="preserve"> This </w:t>
      </w:r>
      <w:r w:rsidR="00C01560" w:rsidRPr="006D2720">
        <w:rPr>
          <w:rFonts w:ascii="Times New Roman" w:hAnsi="Times New Roman" w:cs="Times New Roman"/>
        </w:rPr>
        <w:t xml:space="preserve">covers </w:t>
      </w:r>
      <w:r w:rsidR="000F78CB" w:rsidRPr="006D2720">
        <w:rPr>
          <w:rFonts w:ascii="Times New Roman" w:hAnsi="Times New Roman" w:cs="Times New Roman"/>
        </w:rPr>
        <w:t>where</w:t>
      </w:r>
      <w:r w:rsidR="00774E0C" w:rsidRPr="006D2720">
        <w:rPr>
          <w:rFonts w:ascii="Times New Roman" w:hAnsi="Times New Roman" w:cs="Times New Roman"/>
        </w:rPr>
        <w:t xml:space="preserve"> </w:t>
      </w:r>
      <w:r w:rsidR="000F78CB" w:rsidRPr="006D2720">
        <w:rPr>
          <w:rFonts w:ascii="Times New Roman" w:hAnsi="Times New Roman" w:cs="Times New Roman"/>
        </w:rPr>
        <w:t>the individual is incapable of giving</w:t>
      </w:r>
      <w:r w:rsidR="00593EC0" w:rsidRPr="006D2720">
        <w:rPr>
          <w:rFonts w:ascii="Times New Roman" w:hAnsi="Times New Roman" w:cs="Times New Roman"/>
        </w:rPr>
        <w:t xml:space="preserve"> consent</w:t>
      </w:r>
      <w:r w:rsidR="000F78CB" w:rsidRPr="006D2720">
        <w:rPr>
          <w:rFonts w:ascii="Times New Roman" w:hAnsi="Times New Roman" w:cs="Times New Roman"/>
        </w:rPr>
        <w:t xml:space="preserve"> or communicating consent</w:t>
      </w:r>
      <w:r w:rsidR="00593EC0" w:rsidRPr="006D2720">
        <w:rPr>
          <w:rFonts w:ascii="Times New Roman" w:hAnsi="Times New Roman" w:cs="Times New Roman"/>
        </w:rPr>
        <w:t>;</w:t>
      </w:r>
      <w:r w:rsidR="00774E0C" w:rsidRPr="006D2720">
        <w:rPr>
          <w:rFonts w:ascii="Times New Roman" w:hAnsi="Times New Roman" w:cs="Times New Roman"/>
        </w:rPr>
        <w:t xml:space="preserve"> </w:t>
      </w:r>
      <w:r w:rsidR="00E91378" w:rsidRPr="006D2720">
        <w:rPr>
          <w:rFonts w:ascii="Times New Roman" w:hAnsi="Times New Roman" w:cs="Times New Roman"/>
        </w:rPr>
        <w:t>the disclosure is necessary to provide appropriate care or treatment</w:t>
      </w:r>
      <w:r w:rsidR="00593EC0" w:rsidRPr="006D2720">
        <w:rPr>
          <w:rFonts w:ascii="Times New Roman" w:hAnsi="Times New Roman" w:cs="Times New Roman"/>
        </w:rPr>
        <w:t>,</w:t>
      </w:r>
      <w:r w:rsidR="00E91378" w:rsidRPr="006D2720">
        <w:rPr>
          <w:rFonts w:ascii="Times New Roman" w:hAnsi="Times New Roman" w:cs="Times New Roman"/>
        </w:rPr>
        <w:t xml:space="preserve"> or is made for compassionate reasons</w:t>
      </w:r>
      <w:r w:rsidR="00593EC0" w:rsidRPr="006D2720">
        <w:rPr>
          <w:rFonts w:ascii="Times New Roman" w:hAnsi="Times New Roman" w:cs="Times New Roman"/>
        </w:rPr>
        <w:t>; and</w:t>
      </w:r>
      <w:r w:rsidR="00774E0C" w:rsidRPr="006D2720">
        <w:rPr>
          <w:rFonts w:ascii="Times New Roman" w:hAnsi="Times New Roman" w:cs="Times New Roman"/>
        </w:rPr>
        <w:t xml:space="preserve"> </w:t>
      </w:r>
      <w:r w:rsidR="00593EC0" w:rsidRPr="006D2720">
        <w:rPr>
          <w:rFonts w:ascii="Times New Roman" w:hAnsi="Times New Roman" w:cs="Times New Roman"/>
        </w:rPr>
        <w:t xml:space="preserve">it is </w:t>
      </w:r>
      <w:r w:rsidR="00E91378" w:rsidRPr="006D2720">
        <w:rPr>
          <w:rFonts w:ascii="Times New Roman" w:hAnsi="Times New Roman" w:cs="Times New Roman"/>
        </w:rPr>
        <w:t>not contrary to the wishes of the individual</w:t>
      </w:r>
      <w:r w:rsidR="005D6DBB" w:rsidRPr="006D2720">
        <w:rPr>
          <w:rFonts w:ascii="Times New Roman" w:hAnsi="Times New Roman" w:cs="Times New Roman"/>
        </w:rPr>
        <w:t>.</w:t>
      </w:r>
    </w:p>
    <w:p w14:paraId="735D13BD" w14:textId="60B9DC7B" w:rsidR="000E7F47" w:rsidRPr="006D2720" w:rsidRDefault="00191C1D" w:rsidP="000E7F47">
      <w:pPr>
        <w:pStyle w:val="Heading3"/>
        <w:rPr>
          <w:rFonts w:ascii="Times New Roman" w:hAnsi="Times New Roman" w:cs="Times New Roman"/>
        </w:rPr>
      </w:pPr>
      <w:bookmarkStart w:id="274" w:name="_Toc91536559"/>
      <w:bookmarkStart w:id="275" w:name="_Toc91536560"/>
      <w:bookmarkEnd w:id="274"/>
      <w:bookmarkEnd w:id="275"/>
      <w:r w:rsidRPr="006D2720">
        <w:rPr>
          <w:rFonts w:ascii="Times New Roman" w:hAnsi="Times New Roman" w:cs="Times New Roman"/>
        </w:rPr>
        <w:t>Under</w:t>
      </w:r>
      <w:r w:rsidR="00871EE8" w:rsidRPr="006D2720">
        <w:rPr>
          <w:rFonts w:ascii="Times New Roman" w:hAnsi="Times New Roman" w:cs="Times New Roman"/>
        </w:rPr>
        <w:t xml:space="preserve"> </w:t>
      </w:r>
      <w:r w:rsidR="004259D3" w:rsidRPr="006D2720">
        <w:rPr>
          <w:rFonts w:ascii="Times New Roman" w:hAnsi="Times New Roman" w:cs="Times New Roman"/>
        </w:rPr>
        <w:t xml:space="preserve">Commonwealth </w:t>
      </w:r>
      <w:r w:rsidR="00871EE8" w:rsidRPr="006D2720">
        <w:rPr>
          <w:rFonts w:ascii="Times New Roman" w:hAnsi="Times New Roman" w:cs="Times New Roman"/>
        </w:rPr>
        <w:t xml:space="preserve">law, </w:t>
      </w:r>
      <w:r w:rsidR="00461673" w:rsidRPr="006D2720">
        <w:rPr>
          <w:rFonts w:ascii="Times New Roman" w:hAnsi="Times New Roman" w:cs="Times New Roman"/>
        </w:rPr>
        <w:t xml:space="preserve">APP 6 </w:t>
      </w:r>
      <w:r w:rsidR="00304E98" w:rsidRPr="006D2720">
        <w:rPr>
          <w:rFonts w:ascii="Times New Roman" w:hAnsi="Times New Roman" w:cs="Times New Roman"/>
        </w:rPr>
        <w:t xml:space="preserve">generally restricts the </w:t>
      </w:r>
      <w:r w:rsidR="00461673" w:rsidRPr="006D2720">
        <w:rPr>
          <w:rFonts w:ascii="Times New Roman" w:hAnsi="Times New Roman" w:cs="Times New Roman"/>
        </w:rPr>
        <w:t xml:space="preserve">use or disclosure of personal to </w:t>
      </w:r>
      <w:r w:rsidR="00D559AD" w:rsidRPr="006D2720">
        <w:rPr>
          <w:rFonts w:ascii="Times New Roman" w:hAnsi="Times New Roman" w:cs="Times New Roman"/>
        </w:rPr>
        <w:t xml:space="preserve">where </w:t>
      </w:r>
      <w:r w:rsidR="00304E98" w:rsidRPr="006D2720">
        <w:rPr>
          <w:rFonts w:ascii="Times New Roman" w:hAnsi="Times New Roman" w:cs="Times New Roman"/>
        </w:rPr>
        <w:t xml:space="preserve">such use or disclosure </w:t>
      </w:r>
      <w:r w:rsidR="00D559AD" w:rsidRPr="006D2720">
        <w:rPr>
          <w:rFonts w:ascii="Times New Roman" w:hAnsi="Times New Roman" w:cs="Times New Roman"/>
        </w:rPr>
        <w:t>is for</w:t>
      </w:r>
      <w:r w:rsidR="00461673" w:rsidRPr="006D2720">
        <w:rPr>
          <w:rFonts w:ascii="Times New Roman" w:hAnsi="Times New Roman" w:cs="Times New Roman"/>
        </w:rPr>
        <w:t xml:space="preserve"> </w:t>
      </w:r>
      <w:r w:rsidR="00304E98" w:rsidRPr="006D2720">
        <w:rPr>
          <w:rFonts w:ascii="Times New Roman" w:hAnsi="Times New Roman" w:cs="Times New Roman"/>
        </w:rPr>
        <w:t xml:space="preserve">a </w:t>
      </w:r>
      <w:r w:rsidR="00461673" w:rsidRPr="006D2720">
        <w:rPr>
          <w:rFonts w:ascii="Times New Roman" w:hAnsi="Times New Roman" w:cs="Times New Roman"/>
        </w:rPr>
        <w:t xml:space="preserve">primary purpose. </w:t>
      </w:r>
      <w:r w:rsidR="000E7F47" w:rsidRPr="006D2720">
        <w:rPr>
          <w:rFonts w:ascii="Times New Roman" w:hAnsi="Times New Roman" w:cs="Times New Roman"/>
        </w:rPr>
        <w:t>However, there are a few differences</w:t>
      </w:r>
      <w:r w:rsidR="00F84770" w:rsidRPr="006D2720">
        <w:rPr>
          <w:rFonts w:ascii="Times New Roman" w:hAnsi="Times New Roman" w:cs="Times New Roman"/>
        </w:rPr>
        <w:t xml:space="preserve"> </w:t>
      </w:r>
      <w:r w:rsidR="00304E98" w:rsidRPr="006D2720">
        <w:rPr>
          <w:rFonts w:ascii="Times New Roman" w:hAnsi="Times New Roman" w:cs="Times New Roman"/>
        </w:rPr>
        <w:t xml:space="preserve">between Commonwealth and </w:t>
      </w:r>
      <w:r w:rsidR="00F84770" w:rsidRPr="006D2720">
        <w:rPr>
          <w:rFonts w:ascii="Times New Roman" w:hAnsi="Times New Roman" w:cs="Times New Roman"/>
        </w:rPr>
        <w:t>Tasmanian law</w:t>
      </w:r>
      <w:r w:rsidR="00304E98" w:rsidRPr="006D2720">
        <w:rPr>
          <w:rFonts w:ascii="Times New Roman" w:hAnsi="Times New Roman" w:cs="Times New Roman"/>
        </w:rPr>
        <w:t>s</w:t>
      </w:r>
      <w:r w:rsidR="000E7F47" w:rsidRPr="006D2720">
        <w:rPr>
          <w:rFonts w:ascii="Times New Roman" w:hAnsi="Times New Roman" w:cs="Times New Roman"/>
        </w:rPr>
        <w:t>.</w:t>
      </w:r>
    </w:p>
    <w:p w14:paraId="1299CD16" w14:textId="554C37F8" w:rsidR="000E7F47" w:rsidRPr="006D2720" w:rsidRDefault="000E7F47" w:rsidP="007B7B7F">
      <w:pPr>
        <w:pStyle w:val="Heading3"/>
        <w:rPr>
          <w:rFonts w:ascii="Times New Roman" w:hAnsi="Times New Roman" w:cs="Times New Roman"/>
        </w:rPr>
      </w:pPr>
      <w:r w:rsidRPr="006D2720">
        <w:rPr>
          <w:rFonts w:ascii="Times New Roman" w:hAnsi="Times New Roman" w:cs="Times New Roman"/>
        </w:rPr>
        <w:t xml:space="preserve">First, the </w:t>
      </w:r>
      <w:r w:rsidR="00304E98" w:rsidRPr="006D2720">
        <w:rPr>
          <w:rFonts w:ascii="Times New Roman" w:hAnsi="Times New Roman" w:cs="Times New Roman"/>
        </w:rPr>
        <w:t xml:space="preserve">Commonwealth </w:t>
      </w:r>
      <w:r w:rsidRPr="006D2720">
        <w:rPr>
          <w:rFonts w:ascii="Times New Roman" w:hAnsi="Times New Roman" w:cs="Times New Roman"/>
        </w:rPr>
        <w:t xml:space="preserve">Privacy Act </w:t>
      </w:r>
      <w:r w:rsidR="00A50A2A" w:rsidRPr="006D2720">
        <w:rPr>
          <w:rFonts w:ascii="Times New Roman" w:hAnsi="Times New Roman" w:cs="Times New Roman"/>
        </w:rPr>
        <w:t>contains</w:t>
      </w:r>
      <w:r w:rsidRPr="006D2720">
        <w:rPr>
          <w:rFonts w:ascii="Times New Roman" w:hAnsi="Times New Roman" w:cs="Times New Roman"/>
        </w:rPr>
        <w:t xml:space="preserve"> guidelines on use and disclosure of certain types of information</w:t>
      </w:r>
      <w:r w:rsidR="007B7B7F" w:rsidRPr="006D2720">
        <w:rPr>
          <w:rFonts w:ascii="Times New Roman" w:hAnsi="Times New Roman" w:cs="Times New Roman"/>
        </w:rPr>
        <w:t xml:space="preserve"> that are not provided for in the </w:t>
      </w:r>
      <w:r w:rsidR="00304E98" w:rsidRPr="006D2720">
        <w:rPr>
          <w:rFonts w:ascii="Times New Roman" w:hAnsi="Times New Roman" w:cs="Times New Roman"/>
        </w:rPr>
        <w:t xml:space="preserve">Tasmanian </w:t>
      </w:r>
      <w:r w:rsidR="007B7B7F" w:rsidRPr="006D2720">
        <w:rPr>
          <w:rFonts w:ascii="Times New Roman" w:hAnsi="Times New Roman" w:cs="Times New Roman"/>
        </w:rPr>
        <w:t>PIPA.</w:t>
      </w:r>
      <w:r w:rsidR="00304E98" w:rsidRPr="006D2720">
        <w:rPr>
          <w:rFonts w:ascii="Times New Roman" w:hAnsi="Times New Roman" w:cs="Times New Roman"/>
        </w:rPr>
        <w:t xml:space="preserve"> These are:</w:t>
      </w:r>
    </w:p>
    <w:p w14:paraId="65DF22FF" w14:textId="5636BFFE" w:rsidR="007B7B7F" w:rsidRPr="006D2720" w:rsidRDefault="007B7B7F" w:rsidP="007B7B7F">
      <w:pPr>
        <w:pStyle w:val="Dotpointlist"/>
        <w:rPr>
          <w:rFonts w:ascii="Times New Roman" w:hAnsi="Times New Roman" w:cs="Times New Roman"/>
        </w:rPr>
      </w:pPr>
      <w:r w:rsidRPr="006D2720">
        <w:rPr>
          <w:rFonts w:ascii="Times New Roman" w:hAnsi="Times New Roman" w:cs="Times New Roman"/>
        </w:rPr>
        <w:t>Biometric information or biometric templates can be disclosed to enforcement bodies but only in compliance with guidelines issued by the</w:t>
      </w:r>
      <w:r w:rsidR="007626A9" w:rsidRPr="006D2720">
        <w:rPr>
          <w:rFonts w:ascii="Times New Roman" w:hAnsi="Times New Roman" w:cs="Times New Roman"/>
        </w:rPr>
        <w:t xml:space="preserve"> Australian</w:t>
      </w:r>
      <w:r w:rsidRPr="006D2720">
        <w:rPr>
          <w:rFonts w:ascii="Times New Roman" w:hAnsi="Times New Roman" w:cs="Times New Roman"/>
        </w:rPr>
        <w:t xml:space="preserve"> Information Commissioner. </w:t>
      </w:r>
    </w:p>
    <w:p w14:paraId="3C4E7B30" w14:textId="680C0467" w:rsidR="007B7B7F" w:rsidRPr="006D2720" w:rsidRDefault="007B7B7F" w:rsidP="007B7B7F">
      <w:pPr>
        <w:pStyle w:val="Dotpointlist"/>
        <w:rPr>
          <w:rFonts w:ascii="Times New Roman" w:hAnsi="Times New Roman" w:cs="Times New Roman"/>
        </w:rPr>
      </w:pPr>
      <w:r w:rsidRPr="006D2720">
        <w:rPr>
          <w:rFonts w:ascii="Times New Roman" w:hAnsi="Times New Roman" w:cs="Times New Roman"/>
        </w:rPr>
        <w:t>Genetic information can be used or disclosed in accordance with guidelines under the Privacy Act if the use or disclosure is done to lessen or prevent serious threat to life, health or safety of a genetic relative</w:t>
      </w:r>
      <w:r w:rsidR="00C306C7" w:rsidRPr="006D2720">
        <w:rPr>
          <w:rFonts w:ascii="Times New Roman" w:hAnsi="Times New Roman" w:cs="Times New Roman"/>
        </w:rPr>
        <w:t>.</w:t>
      </w:r>
    </w:p>
    <w:p w14:paraId="09C3FABC" w14:textId="33DB5B8C" w:rsidR="002F62D7" w:rsidRPr="006D2720" w:rsidRDefault="00C306C7" w:rsidP="007308E4">
      <w:pPr>
        <w:pStyle w:val="Heading3"/>
        <w:rPr>
          <w:rFonts w:ascii="Times New Roman" w:hAnsi="Times New Roman" w:cs="Times New Roman"/>
        </w:rPr>
      </w:pPr>
      <w:r w:rsidRPr="006D2720">
        <w:rPr>
          <w:rFonts w:ascii="Times New Roman" w:hAnsi="Times New Roman" w:cs="Times New Roman"/>
        </w:rPr>
        <w:t xml:space="preserve">Second, </w:t>
      </w:r>
      <w:r w:rsidR="002F62D7" w:rsidRPr="006D2720">
        <w:rPr>
          <w:rFonts w:ascii="Times New Roman" w:hAnsi="Times New Roman" w:cs="Times New Roman"/>
        </w:rPr>
        <w:t xml:space="preserve">there are discrepancies between the </w:t>
      </w:r>
      <w:r w:rsidR="00830C22" w:rsidRPr="006D2720">
        <w:rPr>
          <w:rFonts w:ascii="Times New Roman" w:hAnsi="Times New Roman" w:cs="Times New Roman"/>
        </w:rPr>
        <w:t>Commonwealth</w:t>
      </w:r>
      <w:r w:rsidR="002F62D7" w:rsidRPr="006D2720">
        <w:rPr>
          <w:rFonts w:ascii="Times New Roman" w:hAnsi="Times New Roman" w:cs="Times New Roman"/>
        </w:rPr>
        <w:t xml:space="preserve"> and Tasmanian Acts </w:t>
      </w:r>
      <w:r w:rsidR="007308E4" w:rsidRPr="006D2720">
        <w:rPr>
          <w:rFonts w:ascii="Times New Roman" w:hAnsi="Times New Roman" w:cs="Times New Roman"/>
        </w:rPr>
        <w:t>regarding</w:t>
      </w:r>
      <w:r w:rsidR="002F62D7" w:rsidRPr="006D2720">
        <w:rPr>
          <w:rFonts w:ascii="Times New Roman" w:hAnsi="Times New Roman" w:cs="Times New Roman"/>
        </w:rPr>
        <w:t xml:space="preserve"> the list of circumstances where information can be used or disclosed </w:t>
      </w:r>
      <w:r w:rsidR="00C742F7" w:rsidRPr="006D2720">
        <w:rPr>
          <w:rFonts w:ascii="Times New Roman" w:hAnsi="Times New Roman" w:cs="Times New Roman"/>
        </w:rPr>
        <w:t>for a secondary purpose</w:t>
      </w:r>
      <w:r w:rsidR="002F62D7" w:rsidRPr="006D2720">
        <w:rPr>
          <w:rFonts w:ascii="Times New Roman" w:hAnsi="Times New Roman" w:cs="Times New Roman"/>
        </w:rPr>
        <w:t xml:space="preserve">. Some </w:t>
      </w:r>
      <w:r w:rsidR="007308E4" w:rsidRPr="006D2720">
        <w:rPr>
          <w:rFonts w:ascii="Times New Roman" w:hAnsi="Times New Roman" w:cs="Times New Roman"/>
        </w:rPr>
        <w:t>circumstances</w:t>
      </w:r>
      <w:r w:rsidR="002F62D7" w:rsidRPr="006D2720">
        <w:rPr>
          <w:rFonts w:ascii="Times New Roman" w:hAnsi="Times New Roman" w:cs="Times New Roman"/>
        </w:rPr>
        <w:t xml:space="preserve"> in the Privacy Act do not have equivalents</w:t>
      </w:r>
      <w:r w:rsidR="00304E98" w:rsidRPr="006D2720">
        <w:rPr>
          <w:rFonts w:ascii="Times New Roman" w:hAnsi="Times New Roman" w:cs="Times New Roman"/>
        </w:rPr>
        <w:t xml:space="preserve"> under the PIPA</w:t>
      </w:r>
      <w:r w:rsidR="002F62D7" w:rsidRPr="006D2720">
        <w:rPr>
          <w:rFonts w:ascii="Times New Roman" w:hAnsi="Times New Roman" w:cs="Times New Roman"/>
        </w:rPr>
        <w:t>.</w:t>
      </w:r>
      <w:r w:rsidR="00B4063D" w:rsidRPr="006D2720">
        <w:rPr>
          <w:rFonts w:ascii="Times New Roman" w:hAnsi="Times New Roman" w:cs="Times New Roman"/>
        </w:rPr>
        <w:t xml:space="preserve"> </w:t>
      </w:r>
      <w:r w:rsidR="002F62D7" w:rsidRPr="006D2720">
        <w:rPr>
          <w:rFonts w:ascii="Times New Roman" w:hAnsi="Times New Roman" w:cs="Times New Roman"/>
        </w:rPr>
        <w:t>This includes where disclosure is reasonably necessary for a confidential alternative dispute resolution process.</w:t>
      </w:r>
      <w:r w:rsidR="002F62D7" w:rsidRPr="006D2720">
        <w:rPr>
          <w:rStyle w:val="FootnoteReference"/>
          <w:rFonts w:ascii="Times New Roman" w:hAnsi="Times New Roman" w:cs="Times New Roman"/>
        </w:rPr>
        <w:footnoteReference w:id="162"/>
      </w:r>
    </w:p>
    <w:p w14:paraId="536574CE" w14:textId="15E736DD" w:rsidR="002F62D7" w:rsidRPr="006D2720" w:rsidRDefault="002F62D7" w:rsidP="002F62D7">
      <w:pPr>
        <w:pStyle w:val="Heading3"/>
        <w:rPr>
          <w:rFonts w:ascii="Times New Roman" w:hAnsi="Times New Roman" w:cs="Times New Roman"/>
        </w:rPr>
      </w:pPr>
      <w:bookmarkStart w:id="276" w:name="_Ref129330768"/>
      <w:r w:rsidRPr="006D2720">
        <w:rPr>
          <w:rFonts w:ascii="Times New Roman" w:hAnsi="Times New Roman" w:cs="Times New Roman"/>
        </w:rPr>
        <w:t xml:space="preserve">Third, </w:t>
      </w:r>
      <w:r w:rsidR="001D6D3F" w:rsidRPr="006D2720">
        <w:rPr>
          <w:rFonts w:ascii="Times New Roman" w:hAnsi="Times New Roman" w:cs="Times New Roman"/>
        </w:rPr>
        <w:t>conversely</w:t>
      </w:r>
      <w:r w:rsidRPr="006D2720">
        <w:rPr>
          <w:rFonts w:ascii="Times New Roman" w:hAnsi="Times New Roman" w:cs="Times New Roman"/>
        </w:rPr>
        <w:t xml:space="preserve">, </w:t>
      </w:r>
      <w:r w:rsidR="007308E4" w:rsidRPr="006D2720">
        <w:rPr>
          <w:rFonts w:ascii="Times New Roman" w:hAnsi="Times New Roman" w:cs="Times New Roman"/>
        </w:rPr>
        <w:t>some circumstances provided for in t</w:t>
      </w:r>
      <w:r w:rsidRPr="006D2720">
        <w:rPr>
          <w:rFonts w:ascii="Times New Roman" w:hAnsi="Times New Roman" w:cs="Times New Roman"/>
        </w:rPr>
        <w:t xml:space="preserve">he </w:t>
      </w:r>
      <w:r w:rsidR="007308E4" w:rsidRPr="006D2720">
        <w:rPr>
          <w:rFonts w:ascii="Times New Roman" w:hAnsi="Times New Roman" w:cs="Times New Roman"/>
        </w:rPr>
        <w:t>PIPA</w:t>
      </w:r>
      <w:r w:rsidRPr="006D2720">
        <w:rPr>
          <w:rFonts w:ascii="Times New Roman" w:hAnsi="Times New Roman" w:cs="Times New Roman"/>
        </w:rPr>
        <w:t xml:space="preserve"> do not have equivalents </w:t>
      </w:r>
      <w:r w:rsidR="00304E98" w:rsidRPr="006D2720">
        <w:rPr>
          <w:rFonts w:ascii="Times New Roman" w:hAnsi="Times New Roman" w:cs="Times New Roman"/>
        </w:rPr>
        <w:t>under</w:t>
      </w:r>
      <w:r w:rsidRPr="006D2720">
        <w:rPr>
          <w:rFonts w:ascii="Times New Roman" w:hAnsi="Times New Roman" w:cs="Times New Roman"/>
        </w:rPr>
        <w:t xml:space="preserve"> the Privacy Act. </w:t>
      </w:r>
      <w:r w:rsidR="00A20AF2" w:rsidRPr="006D2720">
        <w:rPr>
          <w:rFonts w:ascii="Times New Roman" w:hAnsi="Times New Roman" w:cs="Times New Roman"/>
        </w:rPr>
        <w:t>This includes, f</w:t>
      </w:r>
      <w:r w:rsidR="00457D68" w:rsidRPr="006D2720">
        <w:rPr>
          <w:rFonts w:ascii="Times New Roman" w:hAnsi="Times New Roman" w:cs="Times New Roman"/>
        </w:rPr>
        <w:t>or example:</w:t>
      </w:r>
      <w:bookmarkEnd w:id="276"/>
    </w:p>
    <w:p w14:paraId="0346B3D2" w14:textId="4756F9C6" w:rsidR="00A101DB" w:rsidRPr="006D2720" w:rsidRDefault="00A20AF2" w:rsidP="0066337D">
      <w:pPr>
        <w:pStyle w:val="Dotpointlist"/>
        <w:rPr>
          <w:rFonts w:ascii="Times New Roman" w:hAnsi="Times New Roman" w:cs="Times New Roman"/>
        </w:rPr>
      </w:pPr>
      <w:r w:rsidRPr="006D2720">
        <w:rPr>
          <w:rFonts w:ascii="Times New Roman" w:hAnsi="Times New Roman" w:cs="Times New Roman"/>
        </w:rPr>
        <w:t>u</w:t>
      </w:r>
      <w:r w:rsidR="005D0DC2" w:rsidRPr="006D2720">
        <w:rPr>
          <w:rFonts w:ascii="Times New Roman" w:hAnsi="Times New Roman" w:cs="Times New Roman"/>
        </w:rPr>
        <w:t xml:space="preserve">se and </w:t>
      </w:r>
      <w:r w:rsidR="00646BF0" w:rsidRPr="006D2720">
        <w:rPr>
          <w:rFonts w:ascii="Times New Roman" w:hAnsi="Times New Roman" w:cs="Times New Roman"/>
        </w:rPr>
        <w:t>disclos</w:t>
      </w:r>
      <w:r w:rsidR="003C5C49" w:rsidRPr="006D2720">
        <w:rPr>
          <w:rFonts w:ascii="Times New Roman" w:hAnsi="Times New Roman" w:cs="Times New Roman"/>
        </w:rPr>
        <w:t>ure for</w:t>
      </w:r>
      <w:r w:rsidR="00646BF0" w:rsidRPr="006D2720">
        <w:rPr>
          <w:rFonts w:ascii="Times New Roman" w:hAnsi="Times New Roman" w:cs="Times New Roman"/>
        </w:rPr>
        <w:t xml:space="preserve"> </w:t>
      </w:r>
      <w:r w:rsidR="00AF5F11" w:rsidRPr="006D2720">
        <w:rPr>
          <w:rFonts w:ascii="Times New Roman" w:hAnsi="Times New Roman" w:cs="Times New Roman"/>
        </w:rPr>
        <w:t xml:space="preserve">research and statistical analysis generally </w:t>
      </w:r>
      <w:r w:rsidR="00304E98" w:rsidRPr="006D2720">
        <w:rPr>
          <w:rFonts w:ascii="Times New Roman" w:hAnsi="Times New Roman" w:cs="Times New Roman"/>
        </w:rPr>
        <w:t>(</w:t>
      </w:r>
      <w:r w:rsidRPr="006D2720">
        <w:rPr>
          <w:rFonts w:ascii="Times New Roman" w:hAnsi="Times New Roman" w:cs="Times New Roman"/>
        </w:rPr>
        <w:t>n</w:t>
      </w:r>
      <w:r w:rsidR="00AF16CA" w:rsidRPr="006D2720">
        <w:rPr>
          <w:rFonts w:ascii="Times New Roman" w:hAnsi="Times New Roman" w:cs="Times New Roman"/>
        </w:rPr>
        <w:t xml:space="preserve">ote, however, that </w:t>
      </w:r>
      <w:r w:rsidR="008B61A2" w:rsidRPr="006D2720">
        <w:rPr>
          <w:rFonts w:ascii="Times New Roman" w:hAnsi="Times New Roman" w:cs="Times New Roman"/>
        </w:rPr>
        <w:t xml:space="preserve">the </w:t>
      </w:r>
      <w:r w:rsidR="00B1689F" w:rsidRPr="006D2720">
        <w:rPr>
          <w:rFonts w:ascii="Times New Roman" w:hAnsi="Times New Roman" w:cs="Times New Roman"/>
        </w:rPr>
        <w:t>Commonwealth</w:t>
      </w:r>
      <w:r w:rsidR="008B61A2" w:rsidRPr="006D2720">
        <w:rPr>
          <w:rFonts w:ascii="Times New Roman" w:hAnsi="Times New Roman" w:cs="Times New Roman"/>
        </w:rPr>
        <w:t xml:space="preserve"> law does make </w:t>
      </w:r>
      <w:r w:rsidR="008D5D9E" w:rsidRPr="006D2720">
        <w:rPr>
          <w:rFonts w:ascii="Times New Roman" w:hAnsi="Times New Roman" w:cs="Times New Roman"/>
        </w:rPr>
        <w:t xml:space="preserve">special provision for </w:t>
      </w:r>
      <w:r w:rsidR="006056B6" w:rsidRPr="006D2720">
        <w:rPr>
          <w:rFonts w:ascii="Times New Roman" w:hAnsi="Times New Roman" w:cs="Times New Roman"/>
        </w:rPr>
        <w:t>health information</w:t>
      </w:r>
      <w:r w:rsidR="00304E98" w:rsidRPr="006D2720">
        <w:rPr>
          <w:rFonts w:ascii="Times New Roman" w:hAnsi="Times New Roman" w:cs="Times New Roman"/>
        </w:rPr>
        <w:t xml:space="preserve">, which </w:t>
      </w:r>
      <w:r w:rsidR="00227BE5" w:rsidRPr="006D2720">
        <w:rPr>
          <w:rFonts w:ascii="Times New Roman" w:hAnsi="Times New Roman" w:cs="Times New Roman"/>
        </w:rPr>
        <w:t xml:space="preserve">may be used or disclosed where </w:t>
      </w:r>
      <w:r w:rsidR="005D0DC2" w:rsidRPr="006D2720">
        <w:rPr>
          <w:rFonts w:ascii="Times New Roman" w:hAnsi="Times New Roman" w:cs="Times New Roman"/>
        </w:rPr>
        <w:t xml:space="preserve">necessary for </w:t>
      </w:r>
      <w:r w:rsidR="003A1580" w:rsidRPr="006D2720">
        <w:rPr>
          <w:rFonts w:ascii="Times New Roman" w:hAnsi="Times New Roman" w:cs="Times New Roman"/>
        </w:rPr>
        <w:t>research or analysis relevant to public health or safety</w:t>
      </w:r>
      <w:r w:rsidR="00E21C30" w:rsidRPr="006D2720">
        <w:rPr>
          <w:rFonts w:ascii="Times New Roman" w:hAnsi="Times New Roman" w:cs="Times New Roman"/>
        </w:rPr>
        <w:t>, provided</w:t>
      </w:r>
      <w:r w:rsidR="00DD3B66" w:rsidRPr="006D2720">
        <w:rPr>
          <w:rFonts w:ascii="Times New Roman" w:hAnsi="Times New Roman" w:cs="Times New Roman"/>
        </w:rPr>
        <w:t xml:space="preserve"> </w:t>
      </w:r>
      <w:r w:rsidR="00A77495" w:rsidRPr="006D2720">
        <w:rPr>
          <w:rFonts w:ascii="Times New Roman" w:hAnsi="Times New Roman" w:cs="Times New Roman"/>
        </w:rPr>
        <w:t>certain criteria are satisfied</w:t>
      </w:r>
      <w:r w:rsidR="00304E98" w:rsidRPr="006D2720">
        <w:rPr>
          <w:rFonts w:ascii="Times New Roman" w:hAnsi="Times New Roman" w:cs="Times New Roman"/>
        </w:rPr>
        <w:t>)</w:t>
      </w:r>
      <w:r w:rsidRPr="006D2720">
        <w:rPr>
          <w:rFonts w:ascii="Times New Roman" w:hAnsi="Times New Roman" w:cs="Times New Roman"/>
        </w:rPr>
        <w:t>;</w:t>
      </w:r>
      <w:r w:rsidR="00A77495" w:rsidRPr="006D2720">
        <w:rPr>
          <w:rStyle w:val="FootnoteReference"/>
          <w:rFonts w:ascii="Times New Roman" w:hAnsi="Times New Roman" w:cs="Times New Roman"/>
        </w:rPr>
        <w:footnoteReference w:id="163"/>
      </w:r>
      <w:r w:rsidR="00466365" w:rsidRPr="006D2720">
        <w:rPr>
          <w:rFonts w:ascii="Times New Roman" w:hAnsi="Times New Roman" w:cs="Times New Roman"/>
        </w:rPr>
        <w:t xml:space="preserve"> and</w:t>
      </w:r>
    </w:p>
    <w:p w14:paraId="18321245" w14:textId="19C65B0D" w:rsidR="009D0FB3" w:rsidRPr="006D2720" w:rsidRDefault="00A20AF2" w:rsidP="00CA1A69">
      <w:pPr>
        <w:pStyle w:val="Dotpointlist"/>
        <w:rPr>
          <w:rFonts w:ascii="Times New Roman" w:hAnsi="Times New Roman" w:cs="Times New Roman"/>
        </w:rPr>
      </w:pPr>
      <w:r w:rsidRPr="006D2720">
        <w:rPr>
          <w:rFonts w:ascii="Times New Roman" w:hAnsi="Times New Roman" w:cs="Times New Roman"/>
        </w:rPr>
        <w:t>u</w:t>
      </w:r>
      <w:r w:rsidR="009D0FB3" w:rsidRPr="006D2720">
        <w:rPr>
          <w:rFonts w:ascii="Times New Roman" w:hAnsi="Times New Roman" w:cs="Times New Roman"/>
        </w:rPr>
        <w:t xml:space="preserve">se </w:t>
      </w:r>
      <w:r w:rsidR="006A518D" w:rsidRPr="006D2720">
        <w:rPr>
          <w:rFonts w:ascii="Times New Roman" w:hAnsi="Times New Roman" w:cs="Times New Roman"/>
        </w:rPr>
        <w:t>of</w:t>
      </w:r>
      <w:r w:rsidR="009D0FB3" w:rsidRPr="006D2720">
        <w:rPr>
          <w:rFonts w:ascii="Times New Roman" w:hAnsi="Times New Roman" w:cs="Times New Roman"/>
        </w:rPr>
        <w:t xml:space="preserve"> </w:t>
      </w:r>
      <w:r w:rsidR="00254D93" w:rsidRPr="006D2720">
        <w:rPr>
          <w:rFonts w:ascii="Times New Roman" w:hAnsi="Times New Roman" w:cs="Times New Roman"/>
        </w:rPr>
        <w:t xml:space="preserve">information as </w:t>
      </w:r>
      <w:r w:rsidR="009D0FB3" w:rsidRPr="006D2720">
        <w:rPr>
          <w:rFonts w:ascii="Times New Roman" w:hAnsi="Times New Roman" w:cs="Times New Roman"/>
        </w:rPr>
        <w:t xml:space="preserve">employee information </w:t>
      </w:r>
      <w:r w:rsidR="00DF461B" w:rsidRPr="006D2720">
        <w:rPr>
          <w:rFonts w:ascii="Times New Roman" w:hAnsi="Times New Roman" w:cs="Times New Roman"/>
        </w:rPr>
        <w:t>to assess whether an individual is suitable</w:t>
      </w:r>
      <w:r w:rsidR="006F5198" w:rsidRPr="006D2720">
        <w:rPr>
          <w:rFonts w:ascii="Times New Roman" w:hAnsi="Times New Roman" w:cs="Times New Roman"/>
        </w:rPr>
        <w:t xml:space="preserve"> to be appointed or to continue their employment</w:t>
      </w:r>
      <w:r w:rsidR="009D0FB3" w:rsidRPr="006D2720">
        <w:rPr>
          <w:rFonts w:ascii="Times New Roman" w:hAnsi="Times New Roman" w:cs="Times New Roman"/>
        </w:rPr>
        <w:t>.</w:t>
      </w:r>
    </w:p>
    <w:p w14:paraId="21945051" w14:textId="77777777" w:rsidR="00446C1E" w:rsidRPr="006D2720" w:rsidRDefault="00446C1E">
      <w:pPr>
        <w:rPr>
          <w:rFonts w:ascii="Times New Roman" w:hAnsi="Times New Roman" w:cs="Times New Roman"/>
          <w:b/>
          <w:bCs/>
          <w:i/>
          <w:iCs/>
        </w:rPr>
      </w:pPr>
      <w:r w:rsidRPr="006D2720">
        <w:rPr>
          <w:rFonts w:ascii="Times New Roman" w:hAnsi="Times New Roman" w:cs="Times New Roman"/>
          <w:b/>
          <w:bCs/>
          <w:i/>
          <w:iCs/>
        </w:rPr>
        <w:br w:type="page"/>
      </w:r>
    </w:p>
    <w:p w14:paraId="7BFCCCCC" w14:textId="15A97904" w:rsidR="00A231F2" w:rsidRPr="006D2720" w:rsidRDefault="00A231F2" w:rsidP="00D62A05">
      <w:pPr>
        <w:keepNext/>
        <w:rPr>
          <w:rFonts w:ascii="Times New Roman" w:hAnsi="Times New Roman" w:cs="Times New Roman"/>
          <w:b/>
          <w:bCs/>
          <w:i/>
          <w:iCs/>
        </w:rPr>
      </w:pPr>
      <w:r w:rsidRPr="006D2720">
        <w:rPr>
          <w:rFonts w:ascii="Times New Roman" w:hAnsi="Times New Roman" w:cs="Times New Roman"/>
          <w:b/>
          <w:bCs/>
          <w:i/>
          <w:iCs/>
        </w:rPr>
        <w:t>Data quality</w:t>
      </w:r>
    </w:p>
    <w:p w14:paraId="30DF8398" w14:textId="460FB60F" w:rsidR="00A231F2" w:rsidRPr="006D2720" w:rsidRDefault="00B80E4D" w:rsidP="0066337D">
      <w:pPr>
        <w:pStyle w:val="Heading3"/>
        <w:rPr>
          <w:rFonts w:ascii="Times New Roman" w:hAnsi="Times New Roman" w:cs="Times New Roman"/>
        </w:rPr>
      </w:pPr>
      <w:r w:rsidRPr="006D2720">
        <w:rPr>
          <w:rFonts w:ascii="Times New Roman" w:hAnsi="Times New Roman" w:cs="Times New Roman"/>
        </w:rPr>
        <w:t xml:space="preserve">Under </w:t>
      </w:r>
      <w:r w:rsidR="00A20AF2" w:rsidRPr="006D2720">
        <w:rPr>
          <w:rFonts w:ascii="Times New Roman" w:hAnsi="Times New Roman" w:cs="Times New Roman"/>
        </w:rPr>
        <w:t xml:space="preserve">Tasmanian law, </w:t>
      </w:r>
      <w:r w:rsidRPr="006D2720">
        <w:rPr>
          <w:rFonts w:ascii="Times New Roman" w:hAnsi="Times New Roman" w:cs="Times New Roman"/>
        </w:rPr>
        <w:t>PIPP 3</w:t>
      </w:r>
      <w:r w:rsidR="00A20AF2" w:rsidRPr="006D2720">
        <w:rPr>
          <w:rFonts w:ascii="Times New Roman" w:hAnsi="Times New Roman" w:cs="Times New Roman"/>
        </w:rPr>
        <w:t xml:space="preserve"> requires that </w:t>
      </w:r>
      <w:r w:rsidRPr="006D2720">
        <w:rPr>
          <w:rFonts w:ascii="Times New Roman" w:hAnsi="Times New Roman" w:cs="Times New Roman"/>
        </w:rPr>
        <w:t>a custodian must take reasonable steps to ensure that, having regard to the purpose for which the personal information is to be used, the personal information it collects, uses, holds or discloses is accurate, complete, up-to-date and relevant to its functions or activities.</w:t>
      </w:r>
    </w:p>
    <w:p w14:paraId="15CC30FF" w14:textId="1E8FE70D" w:rsidR="000574C7" w:rsidRPr="006D2720" w:rsidRDefault="007E3507" w:rsidP="0066337D">
      <w:pPr>
        <w:pStyle w:val="Heading3"/>
        <w:rPr>
          <w:rFonts w:ascii="Times New Roman" w:hAnsi="Times New Roman" w:cs="Times New Roman"/>
        </w:rPr>
      </w:pPr>
      <w:r w:rsidRPr="006D2720">
        <w:rPr>
          <w:rFonts w:ascii="Times New Roman" w:hAnsi="Times New Roman" w:cs="Times New Roman"/>
        </w:rPr>
        <w:t xml:space="preserve">This is equivalent to APP 10 </w:t>
      </w:r>
      <w:r w:rsidR="00A20AF2" w:rsidRPr="006D2720">
        <w:rPr>
          <w:rFonts w:ascii="Times New Roman" w:hAnsi="Times New Roman" w:cs="Times New Roman"/>
        </w:rPr>
        <w:t xml:space="preserve">under Commonwealth law </w:t>
      </w:r>
      <w:r w:rsidR="004246B0" w:rsidRPr="006D2720">
        <w:rPr>
          <w:rFonts w:ascii="Times New Roman" w:hAnsi="Times New Roman" w:cs="Times New Roman"/>
        </w:rPr>
        <w:t xml:space="preserve">on the </w:t>
      </w:r>
      <w:r w:rsidRPr="006D2720">
        <w:rPr>
          <w:rFonts w:ascii="Times New Roman" w:hAnsi="Times New Roman" w:cs="Times New Roman"/>
        </w:rPr>
        <w:t>quality of personal information.</w:t>
      </w:r>
    </w:p>
    <w:p w14:paraId="5F713017" w14:textId="4939B49D" w:rsidR="00DC35BF" w:rsidRPr="006D2720" w:rsidRDefault="00DC35BF" w:rsidP="00386071">
      <w:pPr>
        <w:rPr>
          <w:rFonts w:ascii="Times New Roman" w:hAnsi="Times New Roman" w:cs="Times New Roman"/>
          <w:b/>
          <w:bCs/>
          <w:i/>
          <w:iCs/>
        </w:rPr>
      </w:pPr>
      <w:r w:rsidRPr="006D2720">
        <w:rPr>
          <w:rFonts w:ascii="Times New Roman" w:hAnsi="Times New Roman" w:cs="Times New Roman"/>
          <w:b/>
          <w:bCs/>
          <w:i/>
          <w:iCs/>
        </w:rPr>
        <w:t xml:space="preserve">Data </w:t>
      </w:r>
      <w:r w:rsidR="00B1689F" w:rsidRPr="006D2720">
        <w:rPr>
          <w:rFonts w:ascii="Times New Roman" w:hAnsi="Times New Roman" w:cs="Times New Roman"/>
          <w:b/>
          <w:bCs/>
          <w:i/>
          <w:iCs/>
        </w:rPr>
        <w:t>security</w:t>
      </w:r>
    </w:p>
    <w:p w14:paraId="7BD374FB" w14:textId="63C82EAB" w:rsidR="00DC35BF" w:rsidRPr="006D2720" w:rsidRDefault="00D91C53" w:rsidP="0066337D">
      <w:pPr>
        <w:pStyle w:val="Heading3"/>
        <w:rPr>
          <w:rFonts w:ascii="Times New Roman" w:hAnsi="Times New Roman" w:cs="Times New Roman"/>
        </w:rPr>
      </w:pPr>
      <w:r w:rsidRPr="006D2720">
        <w:rPr>
          <w:rFonts w:ascii="Times New Roman" w:hAnsi="Times New Roman" w:cs="Times New Roman"/>
        </w:rPr>
        <w:t xml:space="preserve">Under </w:t>
      </w:r>
      <w:r w:rsidR="00A20AF2" w:rsidRPr="006D2720">
        <w:rPr>
          <w:rFonts w:ascii="Times New Roman" w:hAnsi="Times New Roman" w:cs="Times New Roman"/>
        </w:rPr>
        <w:t xml:space="preserve">Tasmanian law, </w:t>
      </w:r>
      <w:r w:rsidRPr="006D2720">
        <w:rPr>
          <w:rFonts w:ascii="Times New Roman" w:hAnsi="Times New Roman" w:cs="Times New Roman"/>
        </w:rPr>
        <w:t>PIPP 4</w:t>
      </w:r>
      <w:r w:rsidR="00A20AF2" w:rsidRPr="006D2720">
        <w:rPr>
          <w:rFonts w:ascii="Times New Roman" w:hAnsi="Times New Roman" w:cs="Times New Roman"/>
        </w:rPr>
        <w:t xml:space="preserve"> requires that </w:t>
      </w:r>
      <w:r w:rsidRPr="006D2720">
        <w:rPr>
          <w:rFonts w:ascii="Times New Roman" w:hAnsi="Times New Roman" w:cs="Times New Roman"/>
        </w:rPr>
        <w:t xml:space="preserve">a custodian </w:t>
      </w:r>
      <w:r w:rsidR="00F64031" w:rsidRPr="006D2720">
        <w:rPr>
          <w:rFonts w:ascii="Times New Roman" w:hAnsi="Times New Roman" w:cs="Times New Roman"/>
        </w:rPr>
        <w:t>must take reasonable steps to protect the personal information it holds from misuse, loss, unauthorised access, modification</w:t>
      </w:r>
      <w:r w:rsidR="000B1871" w:rsidRPr="006D2720">
        <w:rPr>
          <w:rFonts w:ascii="Times New Roman" w:hAnsi="Times New Roman" w:cs="Times New Roman"/>
        </w:rPr>
        <w:t>,</w:t>
      </w:r>
      <w:r w:rsidR="00F64031" w:rsidRPr="006D2720">
        <w:rPr>
          <w:rFonts w:ascii="Times New Roman" w:hAnsi="Times New Roman" w:cs="Times New Roman"/>
        </w:rPr>
        <w:t xml:space="preserve"> or disclosure.</w:t>
      </w:r>
      <w:r w:rsidR="002E70D8" w:rsidRPr="006D2720">
        <w:rPr>
          <w:rFonts w:ascii="Times New Roman" w:hAnsi="Times New Roman" w:cs="Times New Roman"/>
        </w:rPr>
        <w:t xml:space="preserve"> Personal information must be destroyed or perman</w:t>
      </w:r>
      <w:r w:rsidR="0017420A" w:rsidRPr="006D2720">
        <w:rPr>
          <w:rFonts w:ascii="Times New Roman" w:hAnsi="Times New Roman" w:cs="Times New Roman"/>
        </w:rPr>
        <w:t>en</w:t>
      </w:r>
      <w:r w:rsidR="002E70D8" w:rsidRPr="006D2720">
        <w:rPr>
          <w:rFonts w:ascii="Times New Roman" w:hAnsi="Times New Roman" w:cs="Times New Roman"/>
        </w:rPr>
        <w:t>tly de-identified if it is no longer needed for any purpose</w:t>
      </w:r>
      <w:r w:rsidR="002D4D46" w:rsidRPr="006D2720">
        <w:rPr>
          <w:rFonts w:ascii="Times New Roman" w:hAnsi="Times New Roman" w:cs="Times New Roman"/>
        </w:rPr>
        <w:t xml:space="preserve">, subject to any necessary approval </w:t>
      </w:r>
      <w:r w:rsidR="0017420A" w:rsidRPr="006D2720">
        <w:rPr>
          <w:rFonts w:ascii="Times New Roman" w:hAnsi="Times New Roman" w:cs="Times New Roman"/>
        </w:rPr>
        <w:t xml:space="preserve">under the </w:t>
      </w:r>
      <w:r w:rsidR="0079749E" w:rsidRPr="006D2720">
        <w:rPr>
          <w:rFonts w:ascii="Times New Roman" w:hAnsi="Times New Roman" w:cs="Times New Roman"/>
          <w:i/>
          <w:iCs/>
        </w:rPr>
        <w:t>Archives Act 1983</w:t>
      </w:r>
      <w:r w:rsidR="0079749E" w:rsidRPr="006D2720">
        <w:rPr>
          <w:rFonts w:ascii="Times New Roman" w:hAnsi="Times New Roman" w:cs="Times New Roman"/>
        </w:rPr>
        <w:t xml:space="preserve"> (Tas).</w:t>
      </w:r>
      <w:r w:rsidR="000A1C4B" w:rsidRPr="006D2720">
        <w:rPr>
          <w:rFonts w:ascii="Times New Roman" w:hAnsi="Times New Roman" w:cs="Times New Roman"/>
        </w:rPr>
        <w:t xml:space="preserve"> </w:t>
      </w:r>
    </w:p>
    <w:p w14:paraId="1125C072" w14:textId="3446A10D" w:rsidR="0079749E" w:rsidRPr="006D2720" w:rsidRDefault="00A20AF2" w:rsidP="0066337D">
      <w:pPr>
        <w:pStyle w:val="Heading3"/>
        <w:rPr>
          <w:rFonts w:ascii="Times New Roman" w:hAnsi="Times New Roman" w:cs="Times New Roman"/>
          <w:i/>
          <w:iCs/>
        </w:rPr>
      </w:pPr>
      <w:r w:rsidRPr="006D2720">
        <w:rPr>
          <w:rFonts w:ascii="Times New Roman" w:hAnsi="Times New Roman" w:cs="Times New Roman"/>
        </w:rPr>
        <w:t>U</w:t>
      </w:r>
      <w:r w:rsidR="003C2050" w:rsidRPr="006D2720">
        <w:rPr>
          <w:rFonts w:ascii="Times New Roman" w:hAnsi="Times New Roman" w:cs="Times New Roman"/>
        </w:rPr>
        <w:t xml:space="preserve">nder </w:t>
      </w:r>
      <w:r w:rsidRPr="006D2720">
        <w:rPr>
          <w:rFonts w:ascii="Times New Roman" w:hAnsi="Times New Roman" w:cs="Times New Roman"/>
        </w:rPr>
        <w:t>Commonwealth law</w:t>
      </w:r>
      <w:r w:rsidR="0079445C" w:rsidRPr="006D2720">
        <w:rPr>
          <w:rFonts w:ascii="Times New Roman" w:hAnsi="Times New Roman" w:cs="Times New Roman"/>
        </w:rPr>
        <w:t>,</w:t>
      </w:r>
      <w:r w:rsidR="000A1C4B" w:rsidRPr="006D2720">
        <w:rPr>
          <w:rFonts w:ascii="Times New Roman" w:hAnsi="Times New Roman" w:cs="Times New Roman"/>
        </w:rPr>
        <w:t xml:space="preserve"> </w:t>
      </w:r>
      <w:r w:rsidR="002B5A14" w:rsidRPr="006D2720">
        <w:rPr>
          <w:rFonts w:ascii="Times New Roman" w:hAnsi="Times New Roman" w:cs="Times New Roman"/>
        </w:rPr>
        <w:t xml:space="preserve">APP 11 </w:t>
      </w:r>
      <w:r w:rsidR="00961487" w:rsidRPr="006D2720">
        <w:rPr>
          <w:rFonts w:ascii="Times New Roman" w:hAnsi="Times New Roman" w:cs="Times New Roman"/>
        </w:rPr>
        <w:t xml:space="preserve">on the </w:t>
      </w:r>
      <w:r w:rsidR="002B5A14" w:rsidRPr="006D2720">
        <w:rPr>
          <w:rFonts w:ascii="Times New Roman" w:hAnsi="Times New Roman" w:cs="Times New Roman"/>
        </w:rPr>
        <w:t>security of personal information</w:t>
      </w:r>
      <w:r w:rsidR="00961487" w:rsidRPr="006D2720">
        <w:rPr>
          <w:rFonts w:ascii="Times New Roman" w:hAnsi="Times New Roman" w:cs="Times New Roman"/>
        </w:rPr>
        <w:t xml:space="preserve"> </w:t>
      </w:r>
      <w:r w:rsidR="002B5A14" w:rsidRPr="006D2720">
        <w:rPr>
          <w:rFonts w:ascii="Times New Roman" w:hAnsi="Times New Roman" w:cs="Times New Roman"/>
        </w:rPr>
        <w:t xml:space="preserve">also </w:t>
      </w:r>
      <w:r w:rsidR="000A1C4B" w:rsidRPr="006D2720">
        <w:rPr>
          <w:rFonts w:ascii="Times New Roman" w:hAnsi="Times New Roman" w:cs="Times New Roman"/>
        </w:rPr>
        <w:t>provides similar security</w:t>
      </w:r>
      <w:r w:rsidR="000C245B" w:rsidRPr="006D2720">
        <w:rPr>
          <w:rFonts w:ascii="Times New Roman" w:hAnsi="Times New Roman" w:cs="Times New Roman"/>
        </w:rPr>
        <w:t xml:space="preserve"> </w:t>
      </w:r>
      <w:r w:rsidR="009B00C8" w:rsidRPr="006D2720">
        <w:rPr>
          <w:rFonts w:ascii="Times New Roman" w:hAnsi="Times New Roman" w:cs="Times New Roman"/>
        </w:rPr>
        <w:t>obligations</w:t>
      </w:r>
      <w:r w:rsidR="00B676E1" w:rsidRPr="006D2720">
        <w:rPr>
          <w:rFonts w:ascii="Times New Roman" w:hAnsi="Times New Roman" w:cs="Times New Roman"/>
        </w:rPr>
        <w:t xml:space="preserve">. </w:t>
      </w:r>
      <w:r w:rsidR="00111AC4" w:rsidRPr="006D2720">
        <w:rPr>
          <w:rFonts w:ascii="Times New Roman" w:hAnsi="Times New Roman" w:cs="Times New Roman"/>
        </w:rPr>
        <w:t>T</w:t>
      </w:r>
      <w:r w:rsidR="000A1C4B" w:rsidRPr="006D2720">
        <w:rPr>
          <w:rFonts w:ascii="Times New Roman" w:hAnsi="Times New Roman" w:cs="Times New Roman"/>
        </w:rPr>
        <w:t xml:space="preserve">he obligation to destroy or </w:t>
      </w:r>
      <w:r w:rsidR="00675CA1" w:rsidRPr="006D2720">
        <w:rPr>
          <w:rFonts w:ascii="Times New Roman" w:hAnsi="Times New Roman" w:cs="Times New Roman"/>
        </w:rPr>
        <w:t>de-identif</w:t>
      </w:r>
      <w:r w:rsidR="000A1C4B" w:rsidRPr="006D2720">
        <w:rPr>
          <w:rFonts w:ascii="Times New Roman" w:hAnsi="Times New Roman" w:cs="Times New Roman"/>
        </w:rPr>
        <w:t xml:space="preserve">y information applies </w:t>
      </w:r>
      <w:r w:rsidR="00675CA1" w:rsidRPr="006D2720">
        <w:rPr>
          <w:rFonts w:ascii="Times New Roman" w:hAnsi="Times New Roman" w:cs="Times New Roman"/>
        </w:rPr>
        <w:t xml:space="preserve">where the information is no longer needed </w:t>
      </w:r>
      <w:r w:rsidR="00111AC4" w:rsidRPr="006D2720">
        <w:rPr>
          <w:rFonts w:ascii="Times New Roman" w:hAnsi="Times New Roman" w:cs="Times New Roman"/>
        </w:rPr>
        <w:t xml:space="preserve">by an entity </w:t>
      </w:r>
      <w:r w:rsidR="00675CA1" w:rsidRPr="006D2720">
        <w:rPr>
          <w:rFonts w:ascii="Times New Roman" w:hAnsi="Times New Roman" w:cs="Times New Roman"/>
        </w:rPr>
        <w:t>for any purpose ‘for which the information may be used or disclosed by the entity under</w:t>
      </w:r>
      <w:r w:rsidR="00C4718D" w:rsidRPr="006D2720">
        <w:rPr>
          <w:rFonts w:ascii="Times New Roman" w:hAnsi="Times New Roman" w:cs="Times New Roman"/>
        </w:rPr>
        <w:t>’ the APPs</w:t>
      </w:r>
      <w:r w:rsidR="00111AC4" w:rsidRPr="006D2720">
        <w:rPr>
          <w:rFonts w:ascii="Times New Roman" w:hAnsi="Times New Roman" w:cs="Times New Roman"/>
        </w:rPr>
        <w:t>, and if the information is not contained in a Commonwealth record or required under an Australian law or court/tribunal order to be retained</w:t>
      </w:r>
      <w:r w:rsidR="00C4718D" w:rsidRPr="006D2720">
        <w:rPr>
          <w:rFonts w:ascii="Times New Roman" w:hAnsi="Times New Roman" w:cs="Times New Roman"/>
        </w:rPr>
        <w:t>.</w:t>
      </w:r>
      <w:r w:rsidR="000A1C4B" w:rsidRPr="006D2720">
        <w:rPr>
          <w:rFonts w:ascii="Times New Roman" w:hAnsi="Times New Roman" w:cs="Times New Roman"/>
          <w:i/>
          <w:iCs/>
        </w:rPr>
        <w:t xml:space="preserve"> </w:t>
      </w:r>
    </w:p>
    <w:p w14:paraId="5D9B8458" w14:textId="149D4093" w:rsidR="000A1C4B" w:rsidRPr="006D2720" w:rsidRDefault="0042382C" w:rsidP="0066337D">
      <w:pPr>
        <w:pStyle w:val="Heading3"/>
        <w:rPr>
          <w:rFonts w:ascii="Times New Roman" w:hAnsi="Times New Roman" w:cs="Times New Roman"/>
        </w:rPr>
      </w:pPr>
      <w:r w:rsidRPr="006D2720">
        <w:rPr>
          <w:rFonts w:ascii="Times New Roman" w:hAnsi="Times New Roman" w:cs="Times New Roman"/>
        </w:rPr>
        <w:t xml:space="preserve">For this privacy principle, the GDPR serves as a useful </w:t>
      </w:r>
      <w:r w:rsidR="00A204EC" w:rsidRPr="006D2720">
        <w:rPr>
          <w:rFonts w:ascii="Times New Roman" w:hAnsi="Times New Roman" w:cs="Times New Roman"/>
        </w:rPr>
        <w:t xml:space="preserve">further point of </w:t>
      </w:r>
      <w:r w:rsidR="00E73023" w:rsidRPr="006D2720">
        <w:rPr>
          <w:rFonts w:ascii="Times New Roman" w:hAnsi="Times New Roman" w:cs="Times New Roman"/>
        </w:rPr>
        <w:t>comparison</w:t>
      </w:r>
      <w:r w:rsidR="008C7316" w:rsidRPr="006D2720">
        <w:rPr>
          <w:rFonts w:ascii="Times New Roman" w:hAnsi="Times New Roman" w:cs="Times New Roman"/>
        </w:rPr>
        <w:t xml:space="preserve"> because it provides greater detail. </w:t>
      </w:r>
      <w:r w:rsidR="00E73023" w:rsidRPr="006D2720">
        <w:rPr>
          <w:rFonts w:ascii="Times New Roman" w:hAnsi="Times New Roman" w:cs="Times New Roman"/>
        </w:rPr>
        <w:t xml:space="preserve">Australian laws simply require the entities to take ‘reasonable steps’ to protect the </w:t>
      </w:r>
      <w:r w:rsidR="000A1C4B" w:rsidRPr="006D2720">
        <w:rPr>
          <w:rFonts w:ascii="Times New Roman" w:hAnsi="Times New Roman" w:cs="Times New Roman"/>
        </w:rPr>
        <w:t>security of personal information</w:t>
      </w:r>
      <w:r w:rsidR="00E73023" w:rsidRPr="006D2720">
        <w:rPr>
          <w:rFonts w:ascii="Times New Roman" w:hAnsi="Times New Roman" w:cs="Times New Roman"/>
        </w:rPr>
        <w:t>. However,</w:t>
      </w:r>
      <w:r w:rsidR="000A1C4B" w:rsidRPr="006D2720">
        <w:rPr>
          <w:rFonts w:ascii="Times New Roman" w:hAnsi="Times New Roman" w:cs="Times New Roman"/>
        </w:rPr>
        <w:t xml:space="preserve"> a</w:t>
      </w:r>
      <w:r w:rsidR="004631E5" w:rsidRPr="006D2720">
        <w:rPr>
          <w:rFonts w:ascii="Times New Roman" w:hAnsi="Times New Roman" w:cs="Times New Roman"/>
        </w:rPr>
        <w:t>rticle 32 of the GDPR</w:t>
      </w:r>
      <w:r w:rsidR="00603076" w:rsidRPr="006D2720">
        <w:rPr>
          <w:rFonts w:ascii="Times New Roman" w:hAnsi="Times New Roman" w:cs="Times New Roman"/>
        </w:rPr>
        <w:t xml:space="preserve"> </w:t>
      </w:r>
      <w:r w:rsidR="000A1C4B" w:rsidRPr="006D2720">
        <w:rPr>
          <w:rFonts w:ascii="Times New Roman" w:hAnsi="Times New Roman" w:cs="Times New Roman"/>
        </w:rPr>
        <w:t xml:space="preserve">provides for </w:t>
      </w:r>
      <w:r w:rsidR="00603076" w:rsidRPr="006D2720">
        <w:rPr>
          <w:rFonts w:ascii="Times New Roman" w:hAnsi="Times New Roman" w:cs="Times New Roman"/>
        </w:rPr>
        <w:t xml:space="preserve">specific measures </w:t>
      </w:r>
      <w:r w:rsidR="00E73023" w:rsidRPr="006D2720">
        <w:rPr>
          <w:rFonts w:ascii="Times New Roman" w:hAnsi="Times New Roman" w:cs="Times New Roman"/>
        </w:rPr>
        <w:t xml:space="preserve">that </w:t>
      </w:r>
      <w:r w:rsidR="00D41B54" w:rsidRPr="006D2720">
        <w:rPr>
          <w:rFonts w:ascii="Times New Roman" w:hAnsi="Times New Roman" w:cs="Times New Roman"/>
        </w:rPr>
        <w:t xml:space="preserve">should be taken to </w:t>
      </w:r>
      <w:r w:rsidR="002D4465" w:rsidRPr="006D2720">
        <w:rPr>
          <w:rFonts w:ascii="Times New Roman" w:hAnsi="Times New Roman" w:cs="Times New Roman"/>
        </w:rPr>
        <w:t xml:space="preserve">achieve </w:t>
      </w:r>
      <w:r w:rsidR="007340A2" w:rsidRPr="006D2720">
        <w:rPr>
          <w:rFonts w:ascii="Times New Roman" w:hAnsi="Times New Roman" w:cs="Times New Roman"/>
        </w:rPr>
        <w:t>such security</w:t>
      </w:r>
      <w:r w:rsidR="000A1C4B" w:rsidRPr="006D2720">
        <w:rPr>
          <w:rFonts w:ascii="Times New Roman" w:hAnsi="Times New Roman" w:cs="Times New Roman"/>
        </w:rPr>
        <w:t>. These include provisions relating to:</w:t>
      </w:r>
      <w:r w:rsidR="00F81C12" w:rsidRPr="006D2720">
        <w:rPr>
          <w:rFonts w:ascii="Times New Roman" w:hAnsi="Times New Roman" w:cs="Times New Roman"/>
        </w:rPr>
        <w:t xml:space="preserve"> </w:t>
      </w:r>
    </w:p>
    <w:p w14:paraId="3FD1199F" w14:textId="1CD70842" w:rsidR="000A1C4B" w:rsidRPr="006D2720" w:rsidRDefault="007F6D45">
      <w:pPr>
        <w:numPr>
          <w:ilvl w:val="0"/>
          <w:numId w:val="11"/>
        </w:numPr>
        <w:rPr>
          <w:rFonts w:ascii="Times New Roman" w:hAnsi="Times New Roman" w:cs="Times New Roman"/>
        </w:rPr>
      </w:pPr>
      <w:r w:rsidRPr="006D2720">
        <w:rPr>
          <w:rFonts w:ascii="Times New Roman" w:hAnsi="Times New Roman" w:cs="Times New Roman"/>
        </w:rPr>
        <w:t>the pseudonymisation</w:t>
      </w:r>
      <w:r w:rsidR="000E4099" w:rsidRPr="006D2720">
        <w:rPr>
          <w:rFonts w:ascii="Times New Roman" w:hAnsi="Times New Roman" w:cs="Times New Roman"/>
        </w:rPr>
        <w:t xml:space="preserve"> (</w:t>
      </w:r>
      <w:r w:rsidR="007365A9" w:rsidRPr="006D2720">
        <w:rPr>
          <w:rFonts w:ascii="Times New Roman" w:hAnsi="Times New Roman" w:cs="Times New Roman"/>
        </w:rPr>
        <w:t>see</w:t>
      </w:r>
      <w:r w:rsidR="000E4099" w:rsidRPr="006D2720">
        <w:rPr>
          <w:rFonts w:ascii="Times New Roman" w:hAnsi="Times New Roman" w:cs="Times New Roman"/>
        </w:rPr>
        <w:t xml:space="preserve"> above at </w:t>
      </w:r>
      <w:r w:rsidR="00D332F8" w:rsidRPr="006D2720">
        <w:rPr>
          <w:rFonts w:ascii="Times New Roman" w:hAnsi="Times New Roman" w:cs="Times New Roman"/>
        </w:rPr>
        <w:t>[</w:t>
      </w:r>
      <w:r w:rsidR="000E4099" w:rsidRPr="006D2720">
        <w:rPr>
          <w:rFonts w:ascii="Times New Roman" w:hAnsi="Times New Roman" w:cs="Times New Roman"/>
        </w:rPr>
        <w:fldChar w:fldCharType="begin"/>
      </w:r>
      <w:r w:rsidR="000E4099" w:rsidRPr="006D2720">
        <w:rPr>
          <w:rFonts w:ascii="Times New Roman" w:hAnsi="Times New Roman" w:cs="Times New Roman"/>
        </w:rPr>
        <w:instrText xml:space="preserve"> REF _Ref90035133 \r \h </w:instrText>
      </w:r>
      <w:r w:rsidR="00A660A0" w:rsidRPr="006D2720">
        <w:rPr>
          <w:rFonts w:ascii="Times New Roman" w:hAnsi="Times New Roman" w:cs="Times New Roman"/>
        </w:rPr>
        <w:instrText xml:space="preserve"> \* MERGEFORMAT </w:instrText>
      </w:r>
      <w:r w:rsidR="000E4099" w:rsidRPr="006D2720">
        <w:rPr>
          <w:rFonts w:ascii="Times New Roman" w:hAnsi="Times New Roman" w:cs="Times New Roman"/>
        </w:rPr>
      </w:r>
      <w:r w:rsidR="000E4099" w:rsidRPr="006D2720">
        <w:rPr>
          <w:rFonts w:ascii="Times New Roman" w:hAnsi="Times New Roman" w:cs="Times New Roman"/>
        </w:rPr>
        <w:fldChar w:fldCharType="separate"/>
      </w:r>
      <w:r w:rsidR="00E66B60">
        <w:rPr>
          <w:rFonts w:ascii="Times New Roman" w:hAnsi="Times New Roman" w:cs="Times New Roman"/>
        </w:rPr>
        <w:t>2.2.25</w:t>
      </w:r>
      <w:r w:rsidR="000E4099" w:rsidRPr="006D2720">
        <w:rPr>
          <w:rFonts w:ascii="Times New Roman" w:hAnsi="Times New Roman" w:cs="Times New Roman"/>
        </w:rPr>
        <w:fldChar w:fldCharType="end"/>
      </w:r>
      <w:r w:rsidR="00D332F8" w:rsidRPr="006D2720">
        <w:rPr>
          <w:rFonts w:ascii="Times New Roman" w:hAnsi="Times New Roman" w:cs="Times New Roman"/>
        </w:rPr>
        <w:t>]</w:t>
      </w:r>
      <w:r w:rsidR="000E4099" w:rsidRPr="006D2720">
        <w:rPr>
          <w:rFonts w:ascii="Times New Roman" w:hAnsi="Times New Roman" w:cs="Times New Roman"/>
        </w:rPr>
        <w:t>)</w:t>
      </w:r>
      <w:r w:rsidRPr="006D2720">
        <w:rPr>
          <w:rFonts w:ascii="Times New Roman" w:hAnsi="Times New Roman" w:cs="Times New Roman"/>
        </w:rPr>
        <w:t xml:space="preserve"> and encryption of personal data;</w:t>
      </w:r>
      <w:r w:rsidR="00F81C12" w:rsidRPr="006D2720">
        <w:rPr>
          <w:rFonts w:ascii="Times New Roman" w:hAnsi="Times New Roman" w:cs="Times New Roman"/>
        </w:rPr>
        <w:t xml:space="preserve"> </w:t>
      </w:r>
    </w:p>
    <w:p w14:paraId="1BC948CF" w14:textId="63F1F05F" w:rsidR="000A1C4B" w:rsidRPr="006D2720" w:rsidRDefault="007F6D45">
      <w:pPr>
        <w:numPr>
          <w:ilvl w:val="0"/>
          <w:numId w:val="11"/>
        </w:numPr>
        <w:rPr>
          <w:rFonts w:ascii="Times New Roman" w:hAnsi="Times New Roman" w:cs="Times New Roman"/>
        </w:rPr>
      </w:pPr>
      <w:r w:rsidRPr="006D2720">
        <w:rPr>
          <w:rFonts w:ascii="Times New Roman" w:hAnsi="Times New Roman" w:cs="Times New Roman"/>
        </w:rPr>
        <w:t>the ability to ensure the ongoing confidentiality, integrity, availability</w:t>
      </w:r>
      <w:r w:rsidR="007365A9" w:rsidRPr="006D2720">
        <w:rPr>
          <w:rFonts w:ascii="Times New Roman" w:hAnsi="Times New Roman" w:cs="Times New Roman"/>
        </w:rPr>
        <w:t>,</w:t>
      </w:r>
      <w:r w:rsidRPr="006D2720">
        <w:rPr>
          <w:rFonts w:ascii="Times New Roman" w:hAnsi="Times New Roman" w:cs="Times New Roman"/>
        </w:rPr>
        <w:t xml:space="preserve"> and resilience of systems and services</w:t>
      </w:r>
      <w:r w:rsidR="00E81D12" w:rsidRPr="006D2720">
        <w:rPr>
          <w:rFonts w:ascii="Times New Roman" w:hAnsi="Times New Roman" w:cs="Times New Roman"/>
        </w:rPr>
        <w:t xml:space="preserve"> that process the information</w:t>
      </w:r>
      <w:r w:rsidRPr="006D2720">
        <w:rPr>
          <w:rFonts w:ascii="Times New Roman" w:hAnsi="Times New Roman" w:cs="Times New Roman"/>
        </w:rPr>
        <w:t>;</w:t>
      </w:r>
      <w:r w:rsidR="006D6046" w:rsidRPr="006D2720">
        <w:rPr>
          <w:rFonts w:ascii="Times New Roman" w:hAnsi="Times New Roman" w:cs="Times New Roman"/>
        </w:rPr>
        <w:t xml:space="preserve"> </w:t>
      </w:r>
    </w:p>
    <w:p w14:paraId="66DD38AF" w14:textId="39BA3609" w:rsidR="000A1C4B" w:rsidRPr="006D2720" w:rsidRDefault="007F6D45">
      <w:pPr>
        <w:numPr>
          <w:ilvl w:val="0"/>
          <w:numId w:val="11"/>
        </w:numPr>
        <w:rPr>
          <w:rFonts w:ascii="Times New Roman" w:hAnsi="Times New Roman" w:cs="Times New Roman"/>
        </w:rPr>
      </w:pPr>
      <w:r w:rsidRPr="006D2720">
        <w:rPr>
          <w:rFonts w:ascii="Times New Roman" w:hAnsi="Times New Roman" w:cs="Times New Roman"/>
        </w:rPr>
        <w:t xml:space="preserve">the ability to restore the availability </w:t>
      </w:r>
      <w:r w:rsidR="007365A9" w:rsidRPr="006D2720">
        <w:rPr>
          <w:rFonts w:ascii="Times New Roman" w:hAnsi="Times New Roman" w:cs="Times New Roman"/>
        </w:rPr>
        <w:t xml:space="preserve">of </w:t>
      </w:r>
      <w:r w:rsidRPr="006D2720">
        <w:rPr>
          <w:rFonts w:ascii="Times New Roman" w:hAnsi="Times New Roman" w:cs="Times New Roman"/>
        </w:rPr>
        <w:t>and access to personal data in a timely manner in the event of a physical or technical incident;</w:t>
      </w:r>
      <w:r w:rsidR="00B4596C" w:rsidRPr="006D2720">
        <w:rPr>
          <w:rFonts w:ascii="Times New Roman" w:hAnsi="Times New Roman" w:cs="Times New Roman"/>
        </w:rPr>
        <w:t xml:space="preserve"> and  </w:t>
      </w:r>
    </w:p>
    <w:p w14:paraId="1B580BF1" w14:textId="47FCF365" w:rsidR="000A1C4B" w:rsidRPr="006D2720" w:rsidRDefault="007F6D45">
      <w:pPr>
        <w:numPr>
          <w:ilvl w:val="0"/>
          <w:numId w:val="11"/>
        </w:numPr>
        <w:rPr>
          <w:rFonts w:ascii="Times New Roman" w:hAnsi="Times New Roman" w:cs="Times New Roman"/>
        </w:rPr>
      </w:pPr>
      <w:r w:rsidRPr="006D2720">
        <w:rPr>
          <w:rFonts w:ascii="Times New Roman" w:hAnsi="Times New Roman" w:cs="Times New Roman"/>
        </w:rPr>
        <w:t>a process for regularly testing, assessing</w:t>
      </w:r>
      <w:r w:rsidR="007365A9" w:rsidRPr="006D2720">
        <w:rPr>
          <w:rFonts w:ascii="Times New Roman" w:hAnsi="Times New Roman" w:cs="Times New Roman"/>
        </w:rPr>
        <w:t>,</w:t>
      </w:r>
      <w:r w:rsidRPr="006D2720">
        <w:rPr>
          <w:rFonts w:ascii="Times New Roman" w:hAnsi="Times New Roman" w:cs="Times New Roman"/>
        </w:rPr>
        <w:t xml:space="preserve"> and evaluating the effectiveness of technical and organisational measures for ensuring the security of the processing.</w:t>
      </w:r>
      <w:r w:rsidR="00252719" w:rsidRPr="006D2720">
        <w:rPr>
          <w:rFonts w:ascii="Times New Roman" w:hAnsi="Times New Roman" w:cs="Times New Roman"/>
        </w:rPr>
        <w:t xml:space="preserve"> </w:t>
      </w:r>
    </w:p>
    <w:p w14:paraId="0B4F5D7C" w14:textId="55D57FC7" w:rsidR="00086489" w:rsidRPr="006D2720" w:rsidRDefault="000A1C4B" w:rsidP="0066337D">
      <w:pPr>
        <w:pStyle w:val="Heading3"/>
        <w:rPr>
          <w:rFonts w:ascii="Times New Roman" w:hAnsi="Times New Roman" w:cs="Times New Roman"/>
        </w:rPr>
      </w:pPr>
      <w:r w:rsidRPr="006D2720">
        <w:rPr>
          <w:rFonts w:ascii="Times New Roman" w:hAnsi="Times New Roman" w:cs="Times New Roman"/>
        </w:rPr>
        <w:t>The GDPR also allows</w:t>
      </w:r>
      <w:r w:rsidR="00492C0A" w:rsidRPr="006D2720">
        <w:rPr>
          <w:rFonts w:ascii="Times New Roman" w:hAnsi="Times New Roman" w:cs="Times New Roman"/>
        </w:rPr>
        <w:t xml:space="preserve"> entities to demonstrate compliance through</w:t>
      </w:r>
      <w:r w:rsidRPr="006D2720">
        <w:rPr>
          <w:rFonts w:ascii="Times New Roman" w:hAnsi="Times New Roman" w:cs="Times New Roman"/>
        </w:rPr>
        <w:t xml:space="preserve"> a</w:t>
      </w:r>
      <w:r w:rsidR="00252719" w:rsidRPr="006D2720">
        <w:rPr>
          <w:rFonts w:ascii="Times New Roman" w:hAnsi="Times New Roman" w:cs="Times New Roman"/>
        </w:rPr>
        <w:t>dherence to an approved code of conduct or certification scheme</w:t>
      </w:r>
      <w:r w:rsidR="002E2B90" w:rsidRPr="006D2720">
        <w:rPr>
          <w:rFonts w:ascii="Times New Roman" w:hAnsi="Times New Roman" w:cs="Times New Roman"/>
        </w:rPr>
        <w:t>.</w:t>
      </w:r>
    </w:p>
    <w:p w14:paraId="22D2FBCA" w14:textId="7B9F9858" w:rsidR="005046D3" w:rsidRPr="006D2720" w:rsidRDefault="005046D3" w:rsidP="005046D3">
      <w:pPr>
        <w:keepNext/>
        <w:rPr>
          <w:rFonts w:ascii="Times New Roman" w:hAnsi="Times New Roman" w:cs="Times New Roman"/>
          <w:b/>
          <w:bCs/>
          <w:i/>
          <w:iCs/>
        </w:rPr>
      </w:pPr>
      <w:r w:rsidRPr="006D2720">
        <w:rPr>
          <w:rFonts w:ascii="Times New Roman" w:hAnsi="Times New Roman" w:cs="Times New Roman"/>
          <w:b/>
          <w:bCs/>
          <w:i/>
          <w:iCs/>
        </w:rPr>
        <w:t>Openness</w:t>
      </w:r>
    </w:p>
    <w:p w14:paraId="38ACC477" w14:textId="7597678D" w:rsidR="005046D3" w:rsidRPr="006D2720" w:rsidRDefault="00777B16" w:rsidP="0066337D">
      <w:pPr>
        <w:pStyle w:val="Heading3"/>
        <w:rPr>
          <w:rFonts w:ascii="Times New Roman" w:hAnsi="Times New Roman" w:cs="Times New Roman"/>
        </w:rPr>
      </w:pPr>
      <w:r w:rsidRPr="006D2720">
        <w:rPr>
          <w:rFonts w:ascii="Times New Roman" w:hAnsi="Times New Roman" w:cs="Times New Roman"/>
        </w:rPr>
        <w:t xml:space="preserve">Under </w:t>
      </w:r>
      <w:r w:rsidR="00A20AF2" w:rsidRPr="006D2720">
        <w:rPr>
          <w:rFonts w:ascii="Times New Roman" w:hAnsi="Times New Roman" w:cs="Times New Roman"/>
        </w:rPr>
        <w:t xml:space="preserve">Tasmanian law, </w:t>
      </w:r>
      <w:r w:rsidR="00FB1596" w:rsidRPr="006D2720">
        <w:rPr>
          <w:rFonts w:ascii="Times New Roman" w:hAnsi="Times New Roman" w:cs="Times New Roman"/>
        </w:rPr>
        <w:t>PIPP</w:t>
      </w:r>
      <w:r w:rsidR="00D90055" w:rsidRPr="006D2720">
        <w:rPr>
          <w:rFonts w:ascii="Times New Roman" w:hAnsi="Times New Roman" w:cs="Times New Roman"/>
        </w:rPr>
        <w:t xml:space="preserve"> </w:t>
      </w:r>
      <w:r w:rsidR="00FB1596" w:rsidRPr="006D2720">
        <w:rPr>
          <w:rFonts w:ascii="Times New Roman" w:hAnsi="Times New Roman" w:cs="Times New Roman"/>
        </w:rPr>
        <w:t>5</w:t>
      </w:r>
      <w:r w:rsidR="00A20AF2" w:rsidRPr="006D2720">
        <w:rPr>
          <w:rFonts w:ascii="Times New Roman" w:hAnsi="Times New Roman" w:cs="Times New Roman"/>
        </w:rPr>
        <w:t xml:space="preserve"> specifies that </w:t>
      </w:r>
      <w:r w:rsidR="00FB1596" w:rsidRPr="006D2720">
        <w:rPr>
          <w:rFonts w:ascii="Times New Roman" w:hAnsi="Times New Roman" w:cs="Times New Roman"/>
        </w:rPr>
        <w:t xml:space="preserve">custodians </w:t>
      </w:r>
      <w:r w:rsidR="00B7699B" w:rsidRPr="006D2720">
        <w:rPr>
          <w:rFonts w:ascii="Times New Roman" w:hAnsi="Times New Roman" w:cs="Times New Roman"/>
        </w:rPr>
        <w:t xml:space="preserve">must </w:t>
      </w:r>
      <w:r w:rsidRPr="006D2720">
        <w:rPr>
          <w:rFonts w:ascii="Times New Roman" w:hAnsi="Times New Roman" w:cs="Times New Roman"/>
        </w:rPr>
        <w:t xml:space="preserve">document </w:t>
      </w:r>
      <w:r w:rsidR="00DD20F5" w:rsidRPr="006D2720">
        <w:rPr>
          <w:rFonts w:ascii="Times New Roman" w:hAnsi="Times New Roman" w:cs="Times New Roman"/>
        </w:rPr>
        <w:t xml:space="preserve">their policies on </w:t>
      </w:r>
      <w:r w:rsidR="00866859" w:rsidRPr="006D2720">
        <w:rPr>
          <w:rFonts w:ascii="Times New Roman" w:hAnsi="Times New Roman" w:cs="Times New Roman"/>
        </w:rPr>
        <w:t>manag</w:t>
      </w:r>
      <w:r w:rsidR="00DD20F5" w:rsidRPr="006D2720">
        <w:rPr>
          <w:rFonts w:ascii="Times New Roman" w:hAnsi="Times New Roman" w:cs="Times New Roman"/>
        </w:rPr>
        <w:t>ing</w:t>
      </w:r>
      <w:r w:rsidR="00866859" w:rsidRPr="006D2720">
        <w:rPr>
          <w:rFonts w:ascii="Times New Roman" w:hAnsi="Times New Roman" w:cs="Times New Roman"/>
        </w:rPr>
        <w:t xml:space="preserve"> </w:t>
      </w:r>
      <w:r w:rsidR="00FB1596" w:rsidRPr="006D2720">
        <w:rPr>
          <w:rFonts w:ascii="Times New Roman" w:hAnsi="Times New Roman" w:cs="Times New Roman"/>
        </w:rPr>
        <w:t xml:space="preserve">personal information </w:t>
      </w:r>
      <w:r w:rsidRPr="006D2720">
        <w:rPr>
          <w:rFonts w:ascii="Times New Roman" w:hAnsi="Times New Roman" w:cs="Times New Roman"/>
        </w:rPr>
        <w:t xml:space="preserve">and make </w:t>
      </w:r>
      <w:r w:rsidR="00DD20F5" w:rsidRPr="006D2720">
        <w:rPr>
          <w:rFonts w:ascii="Times New Roman" w:hAnsi="Times New Roman" w:cs="Times New Roman"/>
        </w:rPr>
        <w:t xml:space="preserve">these policies </w:t>
      </w:r>
      <w:r w:rsidR="00FB1596" w:rsidRPr="006D2720">
        <w:rPr>
          <w:rFonts w:ascii="Times New Roman" w:hAnsi="Times New Roman" w:cs="Times New Roman"/>
        </w:rPr>
        <w:t>available to anyone on request</w:t>
      </w:r>
      <w:r w:rsidRPr="006D2720">
        <w:rPr>
          <w:rFonts w:ascii="Times New Roman" w:hAnsi="Times New Roman" w:cs="Times New Roman"/>
        </w:rPr>
        <w:t xml:space="preserve">. Custodians must also </w:t>
      </w:r>
      <w:r w:rsidR="006F73F8" w:rsidRPr="006D2720">
        <w:rPr>
          <w:rFonts w:ascii="Times New Roman" w:hAnsi="Times New Roman" w:cs="Times New Roman"/>
        </w:rPr>
        <w:t xml:space="preserve">advise on the sort of information held, </w:t>
      </w:r>
      <w:r w:rsidR="00534785" w:rsidRPr="006D2720">
        <w:rPr>
          <w:rFonts w:ascii="Times New Roman" w:hAnsi="Times New Roman" w:cs="Times New Roman"/>
        </w:rPr>
        <w:t xml:space="preserve">why </w:t>
      </w:r>
      <w:r w:rsidR="001D5C76" w:rsidRPr="006D2720">
        <w:rPr>
          <w:rFonts w:ascii="Times New Roman" w:hAnsi="Times New Roman" w:cs="Times New Roman"/>
        </w:rPr>
        <w:t>it</w:t>
      </w:r>
      <w:r w:rsidR="00534785" w:rsidRPr="006D2720">
        <w:rPr>
          <w:rFonts w:ascii="Times New Roman" w:hAnsi="Times New Roman" w:cs="Times New Roman"/>
        </w:rPr>
        <w:t xml:space="preserve"> is held, </w:t>
      </w:r>
      <w:r w:rsidR="001348DB" w:rsidRPr="006D2720">
        <w:rPr>
          <w:rFonts w:ascii="Times New Roman" w:hAnsi="Times New Roman" w:cs="Times New Roman"/>
        </w:rPr>
        <w:t xml:space="preserve">as well as </w:t>
      </w:r>
      <w:r w:rsidR="006F73F8" w:rsidRPr="006D2720">
        <w:rPr>
          <w:rFonts w:ascii="Times New Roman" w:hAnsi="Times New Roman" w:cs="Times New Roman"/>
        </w:rPr>
        <w:t xml:space="preserve">how it </w:t>
      </w:r>
      <w:r w:rsidR="00534785" w:rsidRPr="006D2720">
        <w:rPr>
          <w:rFonts w:ascii="Times New Roman" w:hAnsi="Times New Roman" w:cs="Times New Roman"/>
        </w:rPr>
        <w:t>is collected, held, used</w:t>
      </w:r>
      <w:r w:rsidR="001D5C76" w:rsidRPr="006D2720">
        <w:rPr>
          <w:rFonts w:ascii="Times New Roman" w:hAnsi="Times New Roman" w:cs="Times New Roman"/>
        </w:rPr>
        <w:t>,</w:t>
      </w:r>
      <w:r w:rsidR="00534785" w:rsidRPr="006D2720">
        <w:rPr>
          <w:rFonts w:ascii="Times New Roman" w:hAnsi="Times New Roman" w:cs="Times New Roman"/>
        </w:rPr>
        <w:t xml:space="preserve"> and disclosed.</w:t>
      </w:r>
    </w:p>
    <w:p w14:paraId="03873E32" w14:textId="6D520A83" w:rsidR="00F56A66" w:rsidRPr="006D2720" w:rsidRDefault="00A20AF2" w:rsidP="00F31195">
      <w:pPr>
        <w:pStyle w:val="Heading3"/>
        <w:rPr>
          <w:rFonts w:ascii="Times New Roman" w:hAnsi="Times New Roman" w:cs="Times New Roman"/>
        </w:rPr>
      </w:pPr>
      <w:r w:rsidRPr="006D2720">
        <w:rPr>
          <w:rFonts w:ascii="Times New Roman" w:hAnsi="Times New Roman" w:cs="Times New Roman"/>
        </w:rPr>
        <w:t>U</w:t>
      </w:r>
      <w:r w:rsidR="003C2050" w:rsidRPr="006D2720">
        <w:rPr>
          <w:rFonts w:ascii="Times New Roman" w:hAnsi="Times New Roman" w:cs="Times New Roman"/>
        </w:rPr>
        <w:t xml:space="preserve">nder </w:t>
      </w:r>
      <w:r w:rsidRPr="006D2720">
        <w:rPr>
          <w:rFonts w:ascii="Times New Roman" w:hAnsi="Times New Roman" w:cs="Times New Roman"/>
        </w:rPr>
        <w:t xml:space="preserve">Commonwealth law, </w:t>
      </w:r>
      <w:r w:rsidR="00D90055" w:rsidRPr="006D2720">
        <w:rPr>
          <w:rFonts w:ascii="Times New Roman" w:hAnsi="Times New Roman" w:cs="Times New Roman"/>
        </w:rPr>
        <w:t xml:space="preserve">APP 1 </w:t>
      </w:r>
      <w:r w:rsidR="00532691" w:rsidRPr="006D2720">
        <w:rPr>
          <w:rFonts w:ascii="Times New Roman" w:hAnsi="Times New Roman" w:cs="Times New Roman"/>
        </w:rPr>
        <w:t xml:space="preserve">on the </w:t>
      </w:r>
      <w:r w:rsidR="008313C3" w:rsidRPr="006D2720">
        <w:rPr>
          <w:rFonts w:ascii="Times New Roman" w:hAnsi="Times New Roman" w:cs="Times New Roman"/>
        </w:rPr>
        <w:t xml:space="preserve">open and transparent management of personal </w:t>
      </w:r>
      <w:r w:rsidR="00532691" w:rsidRPr="006D2720">
        <w:rPr>
          <w:rFonts w:ascii="Times New Roman" w:hAnsi="Times New Roman" w:cs="Times New Roman"/>
        </w:rPr>
        <w:t>information</w:t>
      </w:r>
      <w:r w:rsidR="00F56A66" w:rsidRPr="006D2720">
        <w:rPr>
          <w:rFonts w:ascii="Times New Roman" w:hAnsi="Times New Roman" w:cs="Times New Roman"/>
        </w:rPr>
        <w:t xml:space="preserve"> provides for similar requirements. It requires that </w:t>
      </w:r>
      <w:r w:rsidR="00AF2E9D" w:rsidRPr="006D2720">
        <w:rPr>
          <w:rFonts w:ascii="Times New Roman" w:hAnsi="Times New Roman" w:cs="Times New Roman"/>
        </w:rPr>
        <w:t xml:space="preserve">policies on </w:t>
      </w:r>
      <w:r w:rsidR="008313C3" w:rsidRPr="006D2720">
        <w:rPr>
          <w:rFonts w:ascii="Times New Roman" w:hAnsi="Times New Roman" w:cs="Times New Roman"/>
        </w:rPr>
        <w:t>the management of personal information</w:t>
      </w:r>
      <w:r w:rsidR="00AF2E9D" w:rsidRPr="006D2720">
        <w:rPr>
          <w:rFonts w:ascii="Times New Roman" w:hAnsi="Times New Roman" w:cs="Times New Roman"/>
        </w:rPr>
        <w:t xml:space="preserve"> must be proactively made </w:t>
      </w:r>
      <w:r w:rsidR="00380C1A" w:rsidRPr="006D2720">
        <w:rPr>
          <w:rFonts w:ascii="Times New Roman" w:hAnsi="Times New Roman" w:cs="Times New Roman"/>
        </w:rPr>
        <w:t>publicly available free of charge</w:t>
      </w:r>
      <w:r w:rsidR="00F86302" w:rsidRPr="006D2720">
        <w:rPr>
          <w:rFonts w:ascii="Times New Roman" w:hAnsi="Times New Roman" w:cs="Times New Roman"/>
        </w:rPr>
        <w:t>, usually on the entity’s website</w:t>
      </w:r>
      <w:r w:rsidR="0028418C" w:rsidRPr="006D2720">
        <w:rPr>
          <w:rFonts w:ascii="Times New Roman" w:hAnsi="Times New Roman" w:cs="Times New Roman"/>
        </w:rPr>
        <w:t xml:space="preserve">, </w:t>
      </w:r>
      <w:r w:rsidR="00AF2E9D" w:rsidRPr="006D2720">
        <w:rPr>
          <w:rFonts w:ascii="Times New Roman" w:hAnsi="Times New Roman" w:cs="Times New Roman"/>
        </w:rPr>
        <w:t xml:space="preserve">as well </w:t>
      </w:r>
      <w:r w:rsidR="00B55B12" w:rsidRPr="006D2720">
        <w:rPr>
          <w:rFonts w:ascii="Times New Roman" w:hAnsi="Times New Roman" w:cs="Times New Roman"/>
        </w:rPr>
        <w:t xml:space="preserve">as </w:t>
      </w:r>
      <w:r w:rsidR="00AF2E9D" w:rsidRPr="006D2720">
        <w:rPr>
          <w:rFonts w:ascii="Times New Roman" w:hAnsi="Times New Roman" w:cs="Times New Roman"/>
        </w:rPr>
        <w:t xml:space="preserve">upon request and in </w:t>
      </w:r>
      <w:r w:rsidR="00514B5E" w:rsidRPr="006D2720">
        <w:rPr>
          <w:rFonts w:ascii="Times New Roman" w:hAnsi="Times New Roman" w:cs="Times New Roman"/>
        </w:rPr>
        <w:t>the form requested.</w:t>
      </w:r>
      <w:r w:rsidR="00A01D75" w:rsidRPr="006D2720">
        <w:rPr>
          <w:rFonts w:ascii="Times New Roman" w:hAnsi="Times New Roman" w:cs="Times New Roman"/>
        </w:rPr>
        <w:t xml:space="preserve"> </w:t>
      </w:r>
    </w:p>
    <w:p w14:paraId="41C46157" w14:textId="26A70350" w:rsidR="00AF2E9D" w:rsidRPr="006D2720" w:rsidRDefault="00A20AF2" w:rsidP="0066337D">
      <w:pPr>
        <w:pStyle w:val="Heading3"/>
        <w:rPr>
          <w:rFonts w:ascii="Times New Roman" w:hAnsi="Times New Roman" w:cs="Times New Roman"/>
        </w:rPr>
      </w:pPr>
      <w:r w:rsidRPr="006D2720">
        <w:rPr>
          <w:rFonts w:ascii="Times New Roman" w:hAnsi="Times New Roman" w:cs="Times New Roman"/>
        </w:rPr>
        <w:t>Compared to the</w:t>
      </w:r>
      <w:r w:rsidR="00A01D75" w:rsidRPr="006D2720">
        <w:rPr>
          <w:rFonts w:ascii="Times New Roman" w:hAnsi="Times New Roman" w:cs="Times New Roman"/>
        </w:rPr>
        <w:t xml:space="preserve"> require</w:t>
      </w:r>
      <w:r w:rsidRPr="006D2720">
        <w:rPr>
          <w:rFonts w:ascii="Times New Roman" w:hAnsi="Times New Roman" w:cs="Times New Roman"/>
        </w:rPr>
        <w:t>ments</w:t>
      </w:r>
      <w:r w:rsidR="00A01D75" w:rsidRPr="006D2720">
        <w:rPr>
          <w:rFonts w:ascii="Times New Roman" w:hAnsi="Times New Roman" w:cs="Times New Roman"/>
        </w:rPr>
        <w:t xml:space="preserve"> under PIPP 5, APP 1 </w:t>
      </w:r>
      <w:r w:rsidR="0021547A" w:rsidRPr="006D2720">
        <w:rPr>
          <w:rFonts w:ascii="Times New Roman" w:hAnsi="Times New Roman" w:cs="Times New Roman"/>
        </w:rPr>
        <w:t xml:space="preserve">is more onerous in </w:t>
      </w:r>
      <w:r w:rsidR="00A01D75" w:rsidRPr="006D2720">
        <w:rPr>
          <w:rFonts w:ascii="Times New Roman" w:hAnsi="Times New Roman" w:cs="Times New Roman"/>
        </w:rPr>
        <w:t>requir</w:t>
      </w:r>
      <w:r w:rsidR="0021547A" w:rsidRPr="006D2720">
        <w:rPr>
          <w:rFonts w:ascii="Times New Roman" w:hAnsi="Times New Roman" w:cs="Times New Roman"/>
        </w:rPr>
        <w:t xml:space="preserve">ing </w:t>
      </w:r>
      <w:r w:rsidR="00181622" w:rsidRPr="006D2720">
        <w:rPr>
          <w:rFonts w:ascii="Times New Roman" w:hAnsi="Times New Roman" w:cs="Times New Roman"/>
        </w:rPr>
        <w:t xml:space="preserve">that </w:t>
      </w:r>
      <w:r w:rsidR="00656F5F" w:rsidRPr="006D2720">
        <w:rPr>
          <w:rFonts w:ascii="Times New Roman" w:hAnsi="Times New Roman" w:cs="Times New Roman"/>
        </w:rPr>
        <w:t xml:space="preserve">an entity’s </w:t>
      </w:r>
      <w:r w:rsidR="00181622" w:rsidRPr="006D2720">
        <w:rPr>
          <w:rFonts w:ascii="Times New Roman" w:hAnsi="Times New Roman" w:cs="Times New Roman"/>
        </w:rPr>
        <w:t>privacy polic</w:t>
      </w:r>
      <w:r w:rsidR="00656F5F" w:rsidRPr="006D2720">
        <w:rPr>
          <w:rFonts w:ascii="Times New Roman" w:hAnsi="Times New Roman" w:cs="Times New Roman"/>
        </w:rPr>
        <w:t xml:space="preserve">y </w:t>
      </w:r>
      <w:r w:rsidR="0021547A" w:rsidRPr="006D2720">
        <w:rPr>
          <w:rFonts w:ascii="Times New Roman" w:hAnsi="Times New Roman" w:cs="Times New Roman"/>
        </w:rPr>
        <w:t xml:space="preserve">also </w:t>
      </w:r>
      <w:r w:rsidR="00181622" w:rsidRPr="006D2720">
        <w:rPr>
          <w:rFonts w:ascii="Times New Roman" w:hAnsi="Times New Roman" w:cs="Times New Roman"/>
        </w:rPr>
        <w:t>contain information on</w:t>
      </w:r>
      <w:r w:rsidR="00AF2E9D" w:rsidRPr="006D2720">
        <w:rPr>
          <w:rFonts w:ascii="Times New Roman" w:hAnsi="Times New Roman" w:cs="Times New Roman"/>
        </w:rPr>
        <w:t>:</w:t>
      </w:r>
    </w:p>
    <w:p w14:paraId="206FADAF" w14:textId="4353BB68" w:rsidR="00AF2E9D" w:rsidRPr="006D2720" w:rsidRDefault="00617DBE">
      <w:pPr>
        <w:numPr>
          <w:ilvl w:val="0"/>
          <w:numId w:val="12"/>
        </w:numPr>
        <w:rPr>
          <w:rFonts w:ascii="Times New Roman" w:hAnsi="Times New Roman" w:cs="Times New Roman"/>
        </w:rPr>
      </w:pPr>
      <w:r w:rsidRPr="006D2720">
        <w:rPr>
          <w:rFonts w:ascii="Times New Roman" w:hAnsi="Times New Roman" w:cs="Times New Roman"/>
        </w:rPr>
        <w:t>the purposes for which information is collected, used and disclosed</w:t>
      </w:r>
      <w:r w:rsidR="00AF2E9D" w:rsidRPr="006D2720">
        <w:rPr>
          <w:rFonts w:ascii="Times New Roman" w:hAnsi="Times New Roman" w:cs="Times New Roman"/>
        </w:rPr>
        <w:t>;</w:t>
      </w:r>
    </w:p>
    <w:p w14:paraId="0BCE4B01" w14:textId="5E97B8C1" w:rsidR="00AF2E9D" w:rsidRPr="006D2720" w:rsidRDefault="004267C3">
      <w:pPr>
        <w:numPr>
          <w:ilvl w:val="0"/>
          <w:numId w:val="12"/>
        </w:numPr>
        <w:rPr>
          <w:rFonts w:ascii="Times New Roman" w:hAnsi="Times New Roman" w:cs="Times New Roman"/>
        </w:rPr>
      </w:pPr>
      <w:r w:rsidRPr="006D2720">
        <w:rPr>
          <w:rFonts w:ascii="Times New Roman" w:hAnsi="Times New Roman" w:cs="Times New Roman"/>
        </w:rPr>
        <w:t>how an individual may access their personal information and have it corrected</w:t>
      </w:r>
      <w:r w:rsidR="00AF2E9D" w:rsidRPr="006D2720">
        <w:rPr>
          <w:rFonts w:ascii="Times New Roman" w:hAnsi="Times New Roman" w:cs="Times New Roman"/>
        </w:rPr>
        <w:t>;</w:t>
      </w:r>
    </w:p>
    <w:p w14:paraId="60A5E5A1" w14:textId="7D97A00C" w:rsidR="00AF2E9D" w:rsidRPr="006D2720" w:rsidRDefault="004267C3">
      <w:pPr>
        <w:numPr>
          <w:ilvl w:val="0"/>
          <w:numId w:val="12"/>
        </w:numPr>
        <w:rPr>
          <w:rFonts w:ascii="Times New Roman" w:hAnsi="Times New Roman" w:cs="Times New Roman"/>
        </w:rPr>
      </w:pPr>
      <w:r w:rsidRPr="006D2720">
        <w:rPr>
          <w:rFonts w:ascii="Times New Roman" w:hAnsi="Times New Roman" w:cs="Times New Roman"/>
        </w:rPr>
        <w:t>how an individual may complain about a</w:t>
      </w:r>
      <w:r w:rsidR="008D75E5" w:rsidRPr="006D2720">
        <w:rPr>
          <w:rFonts w:ascii="Times New Roman" w:hAnsi="Times New Roman" w:cs="Times New Roman"/>
        </w:rPr>
        <w:t xml:space="preserve"> privacy breach</w:t>
      </w:r>
      <w:r w:rsidR="00AF2E9D" w:rsidRPr="006D2720">
        <w:rPr>
          <w:rFonts w:ascii="Times New Roman" w:hAnsi="Times New Roman" w:cs="Times New Roman"/>
        </w:rPr>
        <w:t xml:space="preserve">; and </w:t>
      </w:r>
    </w:p>
    <w:p w14:paraId="5EF5EE7A" w14:textId="584DD103" w:rsidR="00747C12" w:rsidRPr="006D2720" w:rsidRDefault="008D75E5">
      <w:pPr>
        <w:numPr>
          <w:ilvl w:val="0"/>
          <w:numId w:val="12"/>
        </w:numPr>
        <w:rPr>
          <w:rFonts w:ascii="Times New Roman" w:hAnsi="Times New Roman" w:cs="Times New Roman"/>
        </w:rPr>
      </w:pPr>
      <w:r w:rsidRPr="006D2720">
        <w:rPr>
          <w:rFonts w:ascii="Times New Roman" w:hAnsi="Times New Roman" w:cs="Times New Roman"/>
        </w:rPr>
        <w:t xml:space="preserve">whether </w:t>
      </w:r>
      <w:r w:rsidR="00FE65A6" w:rsidRPr="006D2720">
        <w:rPr>
          <w:rFonts w:ascii="Times New Roman" w:hAnsi="Times New Roman" w:cs="Times New Roman"/>
        </w:rPr>
        <w:t xml:space="preserve">the entity is likely to disclose personal information to overseas recipients, and if yes, </w:t>
      </w:r>
      <w:r w:rsidR="00747C12" w:rsidRPr="006D2720">
        <w:rPr>
          <w:rFonts w:ascii="Times New Roman" w:hAnsi="Times New Roman" w:cs="Times New Roman"/>
        </w:rPr>
        <w:t xml:space="preserve">where </w:t>
      </w:r>
      <w:r w:rsidR="00FE65A6" w:rsidRPr="006D2720">
        <w:rPr>
          <w:rFonts w:ascii="Times New Roman" w:hAnsi="Times New Roman" w:cs="Times New Roman"/>
        </w:rPr>
        <w:t xml:space="preserve">such </w:t>
      </w:r>
      <w:r w:rsidR="00F3792B" w:rsidRPr="006D2720">
        <w:rPr>
          <w:rFonts w:ascii="Times New Roman" w:hAnsi="Times New Roman" w:cs="Times New Roman"/>
        </w:rPr>
        <w:t>recipients</w:t>
      </w:r>
      <w:r w:rsidR="00FE65A6" w:rsidRPr="006D2720">
        <w:rPr>
          <w:rFonts w:ascii="Times New Roman" w:hAnsi="Times New Roman" w:cs="Times New Roman"/>
        </w:rPr>
        <w:t xml:space="preserve"> are likely to be located</w:t>
      </w:r>
      <w:r w:rsidR="00747C12" w:rsidRPr="006D2720">
        <w:rPr>
          <w:rFonts w:ascii="Times New Roman" w:hAnsi="Times New Roman" w:cs="Times New Roman"/>
        </w:rPr>
        <w:t>.</w:t>
      </w:r>
    </w:p>
    <w:p w14:paraId="67F80B7F" w14:textId="220A5AE3" w:rsidR="00815490" w:rsidRPr="006D2720" w:rsidRDefault="00747C12" w:rsidP="005875C4">
      <w:pPr>
        <w:pStyle w:val="Heading3"/>
        <w:rPr>
          <w:rFonts w:ascii="Times New Roman" w:hAnsi="Times New Roman" w:cs="Times New Roman"/>
        </w:rPr>
      </w:pPr>
      <w:bookmarkStart w:id="277" w:name="_Ref91150333"/>
      <w:r w:rsidRPr="006D2720">
        <w:rPr>
          <w:rFonts w:ascii="Times New Roman" w:hAnsi="Times New Roman" w:cs="Times New Roman"/>
        </w:rPr>
        <w:t xml:space="preserve">In addition, APP 1(2) requires entities to take reasonable steps </w:t>
      </w:r>
      <w:r w:rsidR="00E74EE1" w:rsidRPr="006D2720">
        <w:rPr>
          <w:rFonts w:ascii="Times New Roman" w:hAnsi="Times New Roman" w:cs="Times New Roman"/>
        </w:rPr>
        <w:t>to implement practices, procedures</w:t>
      </w:r>
      <w:r w:rsidR="0021547A" w:rsidRPr="006D2720">
        <w:rPr>
          <w:rFonts w:ascii="Times New Roman" w:hAnsi="Times New Roman" w:cs="Times New Roman"/>
        </w:rPr>
        <w:t>,</w:t>
      </w:r>
      <w:r w:rsidR="00E74EE1" w:rsidRPr="006D2720">
        <w:rPr>
          <w:rFonts w:ascii="Times New Roman" w:hAnsi="Times New Roman" w:cs="Times New Roman"/>
        </w:rPr>
        <w:t xml:space="preserve"> and systems to ensure </w:t>
      </w:r>
      <w:r w:rsidR="00317837" w:rsidRPr="006D2720">
        <w:rPr>
          <w:rFonts w:ascii="Times New Roman" w:hAnsi="Times New Roman" w:cs="Times New Roman"/>
        </w:rPr>
        <w:t xml:space="preserve">compliance with </w:t>
      </w:r>
      <w:r w:rsidR="00081625" w:rsidRPr="006D2720">
        <w:rPr>
          <w:rFonts w:ascii="Times New Roman" w:hAnsi="Times New Roman" w:cs="Times New Roman"/>
        </w:rPr>
        <w:t xml:space="preserve">their privacy obligations </w:t>
      </w:r>
      <w:r w:rsidR="00317837" w:rsidRPr="006D2720">
        <w:rPr>
          <w:rFonts w:ascii="Times New Roman" w:hAnsi="Times New Roman" w:cs="Times New Roman"/>
        </w:rPr>
        <w:t xml:space="preserve">and </w:t>
      </w:r>
      <w:r w:rsidR="0021547A" w:rsidRPr="006D2720">
        <w:rPr>
          <w:rFonts w:ascii="Times New Roman" w:hAnsi="Times New Roman" w:cs="Times New Roman"/>
        </w:rPr>
        <w:t xml:space="preserve">to </w:t>
      </w:r>
      <w:r w:rsidR="00317837" w:rsidRPr="006D2720">
        <w:rPr>
          <w:rFonts w:ascii="Times New Roman" w:hAnsi="Times New Roman" w:cs="Times New Roman"/>
        </w:rPr>
        <w:t>enable the entity to deal with inquiries or complaints.</w:t>
      </w:r>
      <w:r w:rsidR="002A31AF" w:rsidRPr="006D2720">
        <w:rPr>
          <w:rFonts w:ascii="Times New Roman" w:hAnsi="Times New Roman" w:cs="Times New Roman"/>
        </w:rPr>
        <w:t xml:space="preserve"> </w:t>
      </w:r>
      <w:r w:rsidR="00081625" w:rsidRPr="006D2720">
        <w:rPr>
          <w:rFonts w:ascii="Times New Roman" w:hAnsi="Times New Roman" w:cs="Times New Roman"/>
        </w:rPr>
        <w:t xml:space="preserve">To implement </w:t>
      </w:r>
      <w:r w:rsidR="0021547A" w:rsidRPr="006D2720">
        <w:rPr>
          <w:rFonts w:ascii="Times New Roman" w:hAnsi="Times New Roman" w:cs="Times New Roman"/>
        </w:rPr>
        <w:t>APP 1(2)</w:t>
      </w:r>
      <w:r w:rsidR="00081625" w:rsidRPr="006D2720">
        <w:rPr>
          <w:rFonts w:ascii="Times New Roman" w:hAnsi="Times New Roman" w:cs="Times New Roman"/>
        </w:rPr>
        <w:t xml:space="preserve">, </w:t>
      </w:r>
      <w:r w:rsidR="00B66A21" w:rsidRPr="006D2720">
        <w:rPr>
          <w:rFonts w:ascii="Times New Roman" w:hAnsi="Times New Roman" w:cs="Times New Roman"/>
        </w:rPr>
        <w:t>the O</w:t>
      </w:r>
      <w:r w:rsidR="0021547A" w:rsidRPr="006D2720">
        <w:rPr>
          <w:rFonts w:ascii="Times New Roman" w:hAnsi="Times New Roman" w:cs="Times New Roman"/>
        </w:rPr>
        <w:t xml:space="preserve">AIC </w:t>
      </w:r>
      <w:r w:rsidR="00CC7B7D" w:rsidRPr="006D2720">
        <w:rPr>
          <w:rFonts w:ascii="Times New Roman" w:hAnsi="Times New Roman" w:cs="Times New Roman"/>
        </w:rPr>
        <w:t xml:space="preserve">developed the </w:t>
      </w:r>
      <w:r w:rsidR="00875735" w:rsidRPr="006D2720">
        <w:rPr>
          <w:rFonts w:ascii="Times New Roman" w:hAnsi="Times New Roman" w:cs="Times New Roman"/>
          <w:i/>
          <w:iCs/>
        </w:rPr>
        <w:t>Privacy (Australian Government Agencies – Governance) APP Code 2017</w:t>
      </w:r>
      <w:r w:rsidR="00CC7B7D" w:rsidRPr="006D2720">
        <w:rPr>
          <w:rFonts w:ascii="Times New Roman" w:hAnsi="Times New Roman" w:cs="Times New Roman"/>
        </w:rPr>
        <w:t>.</w:t>
      </w:r>
      <w:r w:rsidR="00CC7B7D" w:rsidRPr="006D2720">
        <w:rPr>
          <w:rStyle w:val="FootnoteReference"/>
          <w:rFonts w:ascii="Times New Roman" w:hAnsi="Times New Roman" w:cs="Times New Roman"/>
        </w:rPr>
        <w:footnoteReference w:id="164"/>
      </w:r>
      <w:r w:rsidR="009165A9" w:rsidRPr="006D2720">
        <w:rPr>
          <w:rFonts w:ascii="Times New Roman" w:hAnsi="Times New Roman" w:cs="Times New Roman"/>
        </w:rPr>
        <w:t xml:space="preserve"> This is registered </w:t>
      </w:r>
      <w:r w:rsidR="00642D7D" w:rsidRPr="006D2720">
        <w:rPr>
          <w:rFonts w:ascii="Times New Roman" w:hAnsi="Times New Roman" w:cs="Times New Roman"/>
        </w:rPr>
        <w:t xml:space="preserve">under the </w:t>
      </w:r>
      <w:r w:rsidR="00815490" w:rsidRPr="006D2720">
        <w:rPr>
          <w:rFonts w:ascii="Times New Roman" w:hAnsi="Times New Roman" w:cs="Times New Roman"/>
        </w:rPr>
        <w:t>Privacy Act</w:t>
      </w:r>
      <w:r w:rsidR="00642D7D" w:rsidRPr="006D2720">
        <w:rPr>
          <w:rFonts w:ascii="Times New Roman" w:hAnsi="Times New Roman" w:cs="Times New Roman"/>
        </w:rPr>
        <w:t xml:space="preserve"> as an </w:t>
      </w:r>
      <w:r w:rsidR="0043412E" w:rsidRPr="006D2720">
        <w:rPr>
          <w:rFonts w:ascii="Times New Roman" w:hAnsi="Times New Roman" w:cs="Times New Roman"/>
        </w:rPr>
        <w:t>‘APP code’—</w:t>
      </w:r>
      <w:r w:rsidR="00312538" w:rsidRPr="006D2720">
        <w:rPr>
          <w:rFonts w:ascii="Times New Roman" w:hAnsi="Times New Roman" w:cs="Times New Roman"/>
        </w:rPr>
        <w:t xml:space="preserve">a </w:t>
      </w:r>
      <w:r w:rsidR="00E17DE6" w:rsidRPr="006D2720">
        <w:rPr>
          <w:rFonts w:ascii="Times New Roman" w:hAnsi="Times New Roman" w:cs="Times New Roman"/>
        </w:rPr>
        <w:t xml:space="preserve">code of practice </w:t>
      </w:r>
      <w:r w:rsidR="00312538" w:rsidRPr="006D2720">
        <w:rPr>
          <w:rFonts w:ascii="Times New Roman" w:hAnsi="Times New Roman" w:cs="Times New Roman"/>
        </w:rPr>
        <w:t>that sets out how one or more APPs are to be complied with</w:t>
      </w:r>
      <w:r w:rsidR="00EF78E6" w:rsidRPr="006D2720">
        <w:rPr>
          <w:rFonts w:ascii="Times New Roman" w:hAnsi="Times New Roman" w:cs="Times New Roman"/>
        </w:rPr>
        <w:t xml:space="preserve">, </w:t>
      </w:r>
      <w:r w:rsidR="000D2AC1" w:rsidRPr="006D2720">
        <w:rPr>
          <w:rFonts w:ascii="Times New Roman" w:hAnsi="Times New Roman" w:cs="Times New Roman"/>
        </w:rPr>
        <w:t xml:space="preserve">and </w:t>
      </w:r>
      <w:r w:rsidR="00AC3D1E" w:rsidRPr="006D2720">
        <w:rPr>
          <w:rFonts w:ascii="Times New Roman" w:hAnsi="Times New Roman" w:cs="Times New Roman"/>
        </w:rPr>
        <w:t>which has the same legally binding effect as the APPs themselves</w:t>
      </w:r>
      <w:r w:rsidR="00000BF6" w:rsidRPr="006D2720">
        <w:rPr>
          <w:rFonts w:ascii="Times New Roman" w:hAnsi="Times New Roman" w:cs="Times New Roman"/>
        </w:rPr>
        <w:t>.</w:t>
      </w:r>
      <w:bookmarkEnd w:id="277"/>
      <w:r w:rsidR="005875C4" w:rsidRPr="006D2720">
        <w:rPr>
          <w:rFonts w:ascii="Times New Roman" w:hAnsi="Times New Roman" w:cs="Times New Roman"/>
        </w:rPr>
        <w:t xml:space="preserve"> </w:t>
      </w:r>
    </w:p>
    <w:p w14:paraId="5DCD8130" w14:textId="687D8A14" w:rsidR="00EC1C56" w:rsidRPr="006D2720" w:rsidRDefault="005875C4" w:rsidP="005875C4">
      <w:pPr>
        <w:pStyle w:val="Heading3"/>
        <w:rPr>
          <w:rFonts w:ascii="Times New Roman" w:hAnsi="Times New Roman" w:cs="Times New Roman"/>
        </w:rPr>
      </w:pPr>
      <w:bookmarkStart w:id="278" w:name="_Ref91150334"/>
      <w:r w:rsidRPr="006D2720">
        <w:rPr>
          <w:rFonts w:ascii="Times New Roman" w:hAnsi="Times New Roman" w:cs="Times New Roman"/>
        </w:rPr>
        <w:t xml:space="preserve">The </w:t>
      </w:r>
      <w:r w:rsidR="00322C71" w:rsidRPr="006D2720">
        <w:rPr>
          <w:rFonts w:ascii="Times New Roman" w:hAnsi="Times New Roman" w:cs="Times New Roman"/>
        </w:rPr>
        <w:t>code</w:t>
      </w:r>
      <w:r w:rsidR="00DF3523" w:rsidRPr="006D2720">
        <w:rPr>
          <w:rFonts w:ascii="Times New Roman" w:hAnsi="Times New Roman" w:cs="Times New Roman"/>
          <w:i/>
          <w:iCs/>
        </w:rPr>
        <w:t xml:space="preserve"> </w:t>
      </w:r>
      <w:r w:rsidRPr="006D2720">
        <w:rPr>
          <w:rFonts w:ascii="Times New Roman" w:hAnsi="Times New Roman" w:cs="Times New Roman"/>
        </w:rPr>
        <w:t>establishe</w:t>
      </w:r>
      <w:r w:rsidR="00F029BD" w:rsidRPr="006D2720">
        <w:rPr>
          <w:rFonts w:ascii="Times New Roman" w:hAnsi="Times New Roman" w:cs="Times New Roman"/>
        </w:rPr>
        <w:t xml:space="preserve">s </w:t>
      </w:r>
      <w:r w:rsidR="00EC1C56" w:rsidRPr="006D2720">
        <w:rPr>
          <w:rFonts w:ascii="Times New Roman" w:hAnsi="Times New Roman" w:cs="Times New Roman"/>
        </w:rPr>
        <w:t xml:space="preserve">various measures that agencies </w:t>
      </w:r>
      <w:r w:rsidR="00FC2484" w:rsidRPr="006D2720">
        <w:rPr>
          <w:rFonts w:ascii="Times New Roman" w:hAnsi="Times New Roman" w:cs="Times New Roman"/>
        </w:rPr>
        <w:t>must</w:t>
      </w:r>
      <w:r w:rsidR="00EC1C56" w:rsidRPr="006D2720">
        <w:rPr>
          <w:rFonts w:ascii="Times New Roman" w:hAnsi="Times New Roman" w:cs="Times New Roman"/>
        </w:rPr>
        <w:t xml:space="preserve"> put in place in order to comply with APP 1(2). Th</w:t>
      </w:r>
      <w:r w:rsidR="0095524F" w:rsidRPr="006D2720">
        <w:rPr>
          <w:rFonts w:ascii="Times New Roman" w:hAnsi="Times New Roman" w:cs="Times New Roman"/>
        </w:rPr>
        <w:t>is</w:t>
      </w:r>
      <w:r w:rsidR="00EC1C56" w:rsidRPr="006D2720">
        <w:rPr>
          <w:rFonts w:ascii="Times New Roman" w:hAnsi="Times New Roman" w:cs="Times New Roman"/>
        </w:rPr>
        <w:t xml:space="preserve"> include</w:t>
      </w:r>
      <w:r w:rsidR="0095524F" w:rsidRPr="006D2720">
        <w:rPr>
          <w:rFonts w:ascii="Times New Roman" w:hAnsi="Times New Roman" w:cs="Times New Roman"/>
        </w:rPr>
        <w:t>s</w:t>
      </w:r>
      <w:r w:rsidR="00EC1C56" w:rsidRPr="006D2720">
        <w:rPr>
          <w:rFonts w:ascii="Times New Roman" w:hAnsi="Times New Roman" w:cs="Times New Roman"/>
        </w:rPr>
        <w:t xml:space="preserve"> for agencies to:</w:t>
      </w:r>
      <w:bookmarkEnd w:id="278"/>
    </w:p>
    <w:p w14:paraId="03B41FE9" w14:textId="12BA5D82" w:rsidR="00EC1C56" w:rsidRPr="006D2720" w:rsidRDefault="00EC1C56" w:rsidP="00EC1C56">
      <w:pPr>
        <w:pStyle w:val="Dotpointlist"/>
        <w:rPr>
          <w:rFonts w:ascii="Times New Roman" w:hAnsi="Times New Roman" w:cs="Times New Roman"/>
        </w:rPr>
      </w:pPr>
      <w:r w:rsidRPr="006D2720">
        <w:rPr>
          <w:rFonts w:ascii="Times New Roman" w:hAnsi="Times New Roman" w:cs="Times New Roman"/>
        </w:rPr>
        <w:t>create a privacy management plan;</w:t>
      </w:r>
    </w:p>
    <w:p w14:paraId="56193D73" w14:textId="4D8897CC" w:rsidR="00EC1C56" w:rsidRPr="006D2720" w:rsidRDefault="00EC1C56" w:rsidP="00EC1C56">
      <w:pPr>
        <w:pStyle w:val="Dotpointlist"/>
        <w:rPr>
          <w:rFonts w:ascii="Times New Roman" w:hAnsi="Times New Roman" w:cs="Times New Roman"/>
        </w:rPr>
      </w:pPr>
      <w:r w:rsidRPr="006D2720">
        <w:rPr>
          <w:rFonts w:ascii="Times New Roman" w:hAnsi="Times New Roman" w:cs="Times New Roman"/>
        </w:rPr>
        <w:t>designate privacy officers and privacy champions;</w:t>
      </w:r>
    </w:p>
    <w:p w14:paraId="1163C88B" w14:textId="77777777" w:rsidR="00EC1C56" w:rsidRPr="006D2720" w:rsidRDefault="00EC1C56" w:rsidP="00EC1C56">
      <w:pPr>
        <w:pStyle w:val="Dotpointlist"/>
        <w:rPr>
          <w:rFonts w:ascii="Times New Roman" w:hAnsi="Times New Roman" w:cs="Times New Roman"/>
        </w:rPr>
      </w:pPr>
      <w:r w:rsidRPr="006D2720">
        <w:rPr>
          <w:rFonts w:ascii="Times New Roman" w:hAnsi="Times New Roman" w:cs="Times New Roman"/>
        </w:rPr>
        <w:t>provide appropriate privacy education and training for all new and continuing staff;</w:t>
      </w:r>
    </w:p>
    <w:p w14:paraId="72EA6CB2" w14:textId="77777777" w:rsidR="00EC1C56" w:rsidRPr="006D2720" w:rsidRDefault="00EC1C56" w:rsidP="00EC1C56">
      <w:pPr>
        <w:pStyle w:val="Dotpointlist"/>
        <w:rPr>
          <w:rFonts w:ascii="Times New Roman" w:hAnsi="Times New Roman" w:cs="Times New Roman"/>
        </w:rPr>
      </w:pPr>
      <w:r w:rsidRPr="006D2720">
        <w:rPr>
          <w:rFonts w:ascii="Times New Roman" w:hAnsi="Times New Roman" w:cs="Times New Roman"/>
        </w:rPr>
        <w:t xml:space="preserve">conduct regular reviews of internal privacy processes; and </w:t>
      </w:r>
    </w:p>
    <w:p w14:paraId="24088D59" w14:textId="3796DCB5" w:rsidR="00EC1C56" w:rsidRPr="006D2720" w:rsidRDefault="00EC1C56" w:rsidP="00CA1A69">
      <w:pPr>
        <w:pStyle w:val="Dotpointlist"/>
        <w:rPr>
          <w:rFonts w:ascii="Times New Roman" w:hAnsi="Times New Roman" w:cs="Times New Roman"/>
        </w:rPr>
      </w:pPr>
      <w:r w:rsidRPr="006D2720">
        <w:rPr>
          <w:rFonts w:ascii="Times New Roman" w:hAnsi="Times New Roman" w:cs="Times New Roman"/>
        </w:rPr>
        <w:t>conduct a privacy impact assessment for all privacy projects which are likely to have a significant impact on the privacy of individuals, and to make the assessment publicly available and listed on a publicly available register.</w:t>
      </w:r>
    </w:p>
    <w:p w14:paraId="16C65D59" w14:textId="3746766C" w:rsidR="00A26B2F" w:rsidRPr="006D2720" w:rsidRDefault="00A26B2F" w:rsidP="00BF551D">
      <w:pPr>
        <w:rPr>
          <w:rFonts w:ascii="Times New Roman" w:hAnsi="Times New Roman" w:cs="Times New Roman"/>
          <w:b/>
          <w:bCs/>
          <w:i/>
          <w:iCs/>
        </w:rPr>
      </w:pPr>
      <w:r w:rsidRPr="006D2720">
        <w:rPr>
          <w:rFonts w:ascii="Times New Roman" w:hAnsi="Times New Roman" w:cs="Times New Roman"/>
          <w:b/>
          <w:bCs/>
          <w:i/>
          <w:iCs/>
        </w:rPr>
        <w:t>Access and correction</w:t>
      </w:r>
    </w:p>
    <w:p w14:paraId="6E913643" w14:textId="28420291" w:rsidR="00B07AFC" w:rsidRPr="006D2720" w:rsidRDefault="00197192" w:rsidP="0066337D">
      <w:pPr>
        <w:pStyle w:val="Heading3"/>
        <w:rPr>
          <w:rFonts w:ascii="Times New Roman" w:hAnsi="Times New Roman" w:cs="Times New Roman"/>
        </w:rPr>
      </w:pPr>
      <w:r w:rsidRPr="006D2720">
        <w:rPr>
          <w:rFonts w:ascii="Times New Roman" w:hAnsi="Times New Roman" w:cs="Times New Roman"/>
        </w:rPr>
        <w:t xml:space="preserve">Under Tasmanian law, </w:t>
      </w:r>
      <w:r w:rsidR="009E2C84" w:rsidRPr="006D2720">
        <w:rPr>
          <w:rFonts w:ascii="Times New Roman" w:hAnsi="Times New Roman" w:cs="Times New Roman"/>
        </w:rPr>
        <w:t xml:space="preserve">PIPP </w:t>
      </w:r>
      <w:r w:rsidR="00D871C0" w:rsidRPr="006D2720">
        <w:rPr>
          <w:rFonts w:ascii="Times New Roman" w:hAnsi="Times New Roman" w:cs="Times New Roman"/>
        </w:rPr>
        <w:t>6 allows a custodian to provide access to personal information it holds upon request from the person concerned</w:t>
      </w:r>
      <w:r w:rsidR="006738C9" w:rsidRPr="006D2720">
        <w:rPr>
          <w:rFonts w:ascii="Times New Roman" w:hAnsi="Times New Roman" w:cs="Times New Roman"/>
        </w:rPr>
        <w:t>, or else to provide access</w:t>
      </w:r>
      <w:r w:rsidR="00F7019C" w:rsidRPr="006D2720">
        <w:rPr>
          <w:rFonts w:ascii="Times New Roman" w:hAnsi="Times New Roman" w:cs="Times New Roman"/>
        </w:rPr>
        <w:t xml:space="preserve"> under section 13 of the </w:t>
      </w:r>
      <w:r w:rsidR="00F7019C" w:rsidRPr="006D2720">
        <w:rPr>
          <w:rFonts w:ascii="Times New Roman" w:hAnsi="Times New Roman" w:cs="Times New Roman"/>
          <w:i/>
          <w:iCs/>
        </w:rPr>
        <w:t>Right to Information Act 2009</w:t>
      </w:r>
      <w:r w:rsidR="00F7019C" w:rsidRPr="006D2720">
        <w:rPr>
          <w:rFonts w:ascii="Times New Roman" w:hAnsi="Times New Roman" w:cs="Times New Roman"/>
        </w:rPr>
        <w:t xml:space="preserve"> (Tas) as if the custodian were </w:t>
      </w:r>
      <w:r w:rsidR="0021547A" w:rsidRPr="006D2720">
        <w:rPr>
          <w:rFonts w:ascii="Times New Roman" w:hAnsi="Times New Roman" w:cs="Times New Roman"/>
        </w:rPr>
        <w:t>bound by</w:t>
      </w:r>
      <w:r w:rsidR="00F7019C" w:rsidRPr="006D2720">
        <w:rPr>
          <w:rFonts w:ascii="Times New Roman" w:hAnsi="Times New Roman" w:cs="Times New Roman"/>
        </w:rPr>
        <w:t xml:space="preserve"> that Act. </w:t>
      </w:r>
      <w:r w:rsidR="005A6CA2" w:rsidRPr="006D2720">
        <w:rPr>
          <w:rFonts w:ascii="Times New Roman" w:hAnsi="Times New Roman" w:cs="Times New Roman"/>
        </w:rPr>
        <w:t>PIPP 6(2) also allows an individual to request their information be amended if it is incorrect, incomplete, out of date</w:t>
      </w:r>
      <w:r w:rsidR="0021547A" w:rsidRPr="006D2720">
        <w:rPr>
          <w:rFonts w:ascii="Times New Roman" w:hAnsi="Times New Roman" w:cs="Times New Roman"/>
        </w:rPr>
        <w:t>,</w:t>
      </w:r>
      <w:r w:rsidR="005A6CA2" w:rsidRPr="006D2720">
        <w:rPr>
          <w:rFonts w:ascii="Times New Roman" w:hAnsi="Times New Roman" w:cs="Times New Roman"/>
        </w:rPr>
        <w:t xml:space="preserve"> or misleading. Part 3A of the PIPA</w:t>
      </w:r>
      <w:r w:rsidR="00F956A3" w:rsidRPr="006D2720">
        <w:rPr>
          <w:rFonts w:ascii="Times New Roman" w:hAnsi="Times New Roman" w:cs="Times New Roman"/>
        </w:rPr>
        <w:t xml:space="preserve"> provides further detail</w:t>
      </w:r>
      <w:r w:rsidR="0021547A" w:rsidRPr="006D2720">
        <w:rPr>
          <w:rFonts w:ascii="Times New Roman" w:hAnsi="Times New Roman" w:cs="Times New Roman"/>
        </w:rPr>
        <w:t>s, including</w:t>
      </w:r>
      <w:r w:rsidR="00F956A3" w:rsidRPr="006D2720">
        <w:rPr>
          <w:rFonts w:ascii="Times New Roman" w:hAnsi="Times New Roman" w:cs="Times New Roman"/>
        </w:rPr>
        <w:t xml:space="preserve"> </w:t>
      </w:r>
      <w:r w:rsidR="00E734A9" w:rsidRPr="006D2720">
        <w:rPr>
          <w:rFonts w:ascii="Times New Roman" w:hAnsi="Times New Roman" w:cs="Times New Roman"/>
        </w:rPr>
        <w:t xml:space="preserve">what form the request must </w:t>
      </w:r>
      <w:r w:rsidR="007A7ADA" w:rsidRPr="006D2720">
        <w:rPr>
          <w:rFonts w:ascii="Times New Roman" w:hAnsi="Times New Roman" w:cs="Times New Roman"/>
        </w:rPr>
        <w:t>be in</w:t>
      </w:r>
      <w:r w:rsidR="00F956A3" w:rsidRPr="006D2720">
        <w:rPr>
          <w:rFonts w:ascii="Times New Roman" w:hAnsi="Times New Roman" w:cs="Times New Roman"/>
        </w:rPr>
        <w:t xml:space="preserve">, </w:t>
      </w:r>
      <w:r w:rsidR="007A7ADA" w:rsidRPr="006D2720">
        <w:rPr>
          <w:rFonts w:ascii="Times New Roman" w:hAnsi="Times New Roman" w:cs="Times New Roman"/>
        </w:rPr>
        <w:t>what information it must contain</w:t>
      </w:r>
      <w:r w:rsidR="00F956A3" w:rsidRPr="006D2720">
        <w:rPr>
          <w:rFonts w:ascii="Times New Roman" w:hAnsi="Times New Roman" w:cs="Times New Roman"/>
        </w:rPr>
        <w:t>, and what must be done if a custodian refuses the request</w:t>
      </w:r>
      <w:r w:rsidR="005A57B2" w:rsidRPr="006D2720">
        <w:rPr>
          <w:rFonts w:ascii="Times New Roman" w:hAnsi="Times New Roman" w:cs="Times New Roman"/>
        </w:rPr>
        <w:t>.</w:t>
      </w:r>
      <w:r w:rsidR="005A57B2" w:rsidRPr="006D2720">
        <w:rPr>
          <w:rStyle w:val="FootnoteReference"/>
          <w:rFonts w:ascii="Times New Roman" w:hAnsi="Times New Roman" w:cs="Times New Roman"/>
        </w:rPr>
        <w:footnoteReference w:id="165"/>
      </w:r>
    </w:p>
    <w:p w14:paraId="4E6A0BFD" w14:textId="13D7B1D3" w:rsidR="003C0CAC" w:rsidRPr="006D2720" w:rsidRDefault="00197192" w:rsidP="006C4493">
      <w:pPr>
        <w:pStyle w:val="Heading3"/>
        <w:rPr>
          <w:rFonts w:ascii="Times New Roman" w:hAnsi="Times New Roman" w:cs="Times New Roman"/>
        </w:rPr>
      </w:pPr>
      <w:r w:rsidRPr="006D2720">
        <w:rPr>
          <w:rFonts w:ascii="Times New Roman" w:hAnsi="Times New Roman" w:cs="Times New Roman"/>
        </w:rPr>
        <w:t xml:space="preserve">Under Commonwealth law, </w:t>
      </w:r>
      <w:r w:rsidR="00E058C6" w:rsidRPr="006D2720">
        <w:rPr>
          <w:rFonts w:ascii="Times New Roman" w:hAnsi="Times New Roman" w:cs="Times New Roman"/>
        </w:rPr>
        <w:t xml:space="preserve">APP 12 </w:t>
      </w:r>
      <w:r w:rsidR="0025301C" w:rsidRPr="006D2720">
        <w:rPr>
          <w:rFonts w:ascii="Times New Roman" w:hAnsi="Times New Roman" w:cs="Times New Roman"/>
        </w:rPr>
        <w:t xml:space="preserve">on </w:t>
      </w:r>
      <w:r w:rsidR="00E058C6" w:rsidRPr="006D2720">
        <w:rPr>
          <w:rFonts w:ascii="Times New Roman" w:hAnsi="Times New Roman" w:cs="Times New Roman"/>
        </w:rPr>
        <w:t xml:space="preserve">access to personal information </w:t>
      </w:r>
      <w:r w:rsidR="005A57B2" w:rsidRPr="006D2720">
        <w:rPr>
          <w:rFonts w:ascii="Times New Roman" w:hAnsi="Times New Roman" w:cs="Times New Roman"/>
        </w:rPr>
        <w:t xml:space="preserve">and APP 13 </w:t>
      </w:r>
      <w:r w:rsidR="0025301C" w:rsidRPr="006D2720">
        <w:rPr>
          <w:rFonts w:ascii="Times New Roman" w:hAnsi="Times New Roman" w:cs="Times New Roman"/>
        </w:rPr>
        <w:t xml:space="preserve">on correction of personal information </w:t>
      </w:r>
      <w:r w:rsidR="00F3664D" w:rsidRPr="006D2720">
        <w:rPr>
          <w:rFonts w:ascii="Times New Roman" w:hAnsi="Times New Roman" w:cs="Times New Roman"/>
        </w:rPr>
        <w:t>make similar provisions</w:t>
      </w:r>
      <w:r w:rsidR="005A57B2" w:rsidRPr="006D2720">
        <w:rPr>
          <w:rFonts w:ascii="Times New Roman" w:hAnsi="Times New Roman" w:cs="Times New Roman"/>
        </w:rPr>
        <w:t xml:space="preserve">. </w:t>
      </w:r>
      <w:r w:rsidR="003C0CAC" w:rsidRPr="006D2720">
        <w:rPr>
          <w:rFonts w:ascii="Times New Roman" w:hAnsi="Times New Roman" w:cs="Times New Roman"/>
        </w:rPr>
        <w:t xml:space="preserve">However, there are </w:t>
      </w:r>
      <w:r w:rsidR="00E21C37" w:rsidRPr="006D2720">
        <w:rPr>
          <w:rFonts w:ascii="Times New Roman" w:hAnsi="Times New Roman" w:cs="Times New Roman"/>
        </w:rPr>
        <w:t>some</w:t>
      </w:r>
      <w:r w:rsidR="003C0CAC" w:rsidRPr="006D2720">
        <w:rPr>
          <w:rFonts w:ascii="Times New Roman" w:hAnsi="Times New Roman" w:cs="Times New Roman"/>
        </w:rPr>
        <w:t xml:space="preserve"> differences</w:t>
      </w:r>
      <w:r w:rsidR="00DD1EF3" w:rsidRPr="006D2720">
        <w:rPr>
          <w:rFonts w:ascii="Times New Roman" w:hAnsi="Times New Roman" w:cs="Times New Roman"/>
        </w:rPr>
        <w:t xml:space="preserve"> from PIPP 6</w:t>
      </w:r>
      <w:r w:rsidR="003C0CAC" w:rsidRPr="006D2720">
        <w:rPr>
          <w:rFonts w:ascii="Times New Roman" w:hAnsi="Times New Roman" w:cs="Times New Roman"/>
        </w:rPr>
        <w:t xml:space="preserve"> </w:t>
      </w:r>
      <w:r w:rsidR="00DD1EF3" w:rsidRPr="006D2720">
        <w:rPr>
          <w:rFonts w:ascii="Times New Roman" w:hAnsi="Times New Roman" w:cs="Times New Roman"/>
        </w:rPr>
        <w:t>in relation to</w:t>
      </w:r>
      <w:r w:rsidR="003C0CAC" w:rsidRPr="006D2720">
        <w:rPr>
          <w:rFonts w:ascii="Times New Roman" w:hAnsi="Times New Roman" w:cs="Times New Roman"/>
        </w:rPr>
        <w:t xml:space="preserve"> time limits, </w:t>
      </w:r>
      <w:r w:rsidR="00D35784" w:rsidRPr="006D2720">
        <w:rPr>
          <w:rFonts w:ascii="Times New Roman" w:hAnsi="Times New Roman" w:cs="Times New Roman"/>
        </w:rPr>
        <w:t xml:space="preserve">allowing access to information, </w:t>
      </w:r>
      <w:r w:rsidR="003C0CAC" w:rsidRPr="006D2720">
        <w:rPr>
          <w:rFonts w:ascii="Times New Roman" w:hAnsi="Times New Roman" w:cs="Times New Roman"/>
        </w:rPr>
        <w:t xml:space="preserve">bases for correction, and </w:t>
      </w:r>
      <w:r w:rsidR="0021547A" w:rsidRPr="006D2720">
        <w:rPr>
          <w:rFonts w:ascii="Times New Roman" w:hAnsi="Times New Roman" w:cs="Times New Roman"/>
        </w:rPr>
        <w:t>notifying third parties of correction</w:t>
      </w:r>
      <w:r w:rsidR="00DB031B" w:rsidRPr="006D2720">
        <w:rPr>
          <w:rFonts w:ascii="Times New Roman" w:hAnsi="Times New Roman" w:cs="Times New Roman"/>
        </w:rPr>
        <w:t>s</w:t>
      </w:r>
      <w:r w:rsidR="00E21C37" w:rsidRPr="006D2720">
        <w:rPr>
          <w:rFonts w:ascii="Times New Roman" w:hAnsi="Times New Roman" w:cs="Times New Roman"/>
        </w:rPr>
        <w:t>, as outlined below.</w:t>
      </w:r>
    </w:p>
    <w:p w14:paraId="5D859B74" w14:textId="6F5BA6C9" w:rsidR="00D35784" w:rsidRPr="006D2720" w:rsidRDefault="00DD1EF3" w:rsidP="00DD1EF3">
      <w:pPr>
        <w:pStyle w:val="Dotpointlist"/>
        <w:rPr>
          <w:rFonts w:ascii="Times New Roman" w:hAnsi="Times New Roman" w:cs="Times New Roman"/>
        </w:rPr>
      </w:pPr>
      <w:r w:rsidRPr="006D2720">
        <w:rPr>
          <w:rFonts w:ascii="Times New Roman" w:hAnsi="Times New Roman" w:cs="Times New Roman"/>
        </w:rPr>
        <w:t xml:space="preserve">Time limits: </w:t>
      </w:r>
      <w:r w:rsidR="00D35784" w:rsidRPr="006D2720">
        <w:rPr>
          <w:rFonts w:ascii="Times New Roman" w:hAnsi="Times New Roman" w:cs="Times New Roman"/>
        </w:rPr>
        <w:t>under APP</w:t>
      </w:r>
      <w:r w:rsidR="00E21C37" w:rsidRPr="006D2720">
        <w:rPr>
          <w:rFonts w:ascii="Times New Roman" w:hAnsi="Times New Roman" w:cs="Times New Roman"/>
        </w:rPr>
        <w:t>s</w:t>
      </w:r>
      <w:r w:rsidR="00D35784" w:rsidRPr="006D2720">
        <w:rPr>
          <w:rFonts w:ascii="Times New Roman" w:hAnsi="Times New Roman" w:cs="Times New Roman"/>
        </w:rPr>
        <w:t xml:space="preserve"> 12 and 13, </w:t>
      </w:r>
      <w:r w:rsidR="000C38FB" w:rsidRPr="006D2720">
        <w:rPr>
          <w:rFonts w:ascii="Times New Roman" w:hAnsi="Times New Roman" w:cs="Times New Roman"/>
        </w:rPr>
        <w:t xml:space="preserve">requests to </w:t>
      </w:r>
      <w:r w:rsidR="005A57B2" w:rsidRPr="006D2720">
        <w:rPr>
          <w:rFonts w:ascii="Times New Roman" w:hAnsi="Times New Roman" w:cs="Times New Roman"/>
        </w:rPr>
        <w:t xml:space="preserve">access </w:t>
      </w:r>
      <w:r w:rsidR="000C38FB" w:rsidRPr="006D2720">
        <w:rPr>
          <w:rFonts w:ascii="Times New Roman" w:hAnsi="Times New Roman" w:cs="Times New Roman"/>
        </w:rPr>
        <w:t xml:space="preserve">or </w:t>
      </w:r>
      <w:r w:rsidR="005A57B2" w:rsidRPr="006D2720">
        <w:rPr>
          <w:rFonts w:ascii="Times New Roman" w:hAnsi="Times New Roman" w:cs="Times New Roman"/>
        </w:rPr>
        <w:t>correct</w:t>
      </w:r>
      <w:r w:rsidR="000C38FB" w:rsidRPr="006D2720">
        <w:rPr>
          <w:rFonts w:ascii="Times New Roman" w:hAnsi="Times New Roman" w:cs="Times New Roman"/>
        </w:rPr>
        <w:t xml:space="preserve"> personal information </w:t>
      </w:r>
      <w:r w:rsidR="005A57B2" w:rsidRPr="006D2720">
        <w:rPr>
          <w:rFonts w:ascii="Times New Roman" w:hAnsi="Times New Roman" w:cs="Times New Roman"/>
        </w:rPr>
        <w:t xml:space="preserve">must be </w:t>
      </w:r>
      <w:r w:rsidR="00691FEE" w:rsidRPr="006D2720">
        <w:rPr>
          <w:rFonts w:ascii="Times New Roman" w:hAnsi="Times New Roman" w:cs="Times New Roman"/>
        </w:rPr>
        <w:t>handled</w:t>
      </w:r>
      <w:r w:rsidR="005A57B2" w:rsidRPr="006D2720">
        <w:rPr>
          <w:rFonts w:ascii="Times New Roman" w:hAnsi="Times New Roman" w:cs="Times New Roman"/>
        </w:rPr>
        <w:t xml:space="preserve"> within 30 days</w:t>
      </w:r>
      <w:r w:rsidR="000C38FB" w:rsidRPr="006D2720">
        <w:rPr>
          <w:rFonts w:ascii="Times New Roman" w:hAnsi="Times New Roman" w:cs="Times New Roman"/>
        </w:rPr>
        <w:t xml:space="preserve"> </w:t>
      </w:r>
      <w:r w:rsidR="005A57B2" w:rsidRPr="006D2720">
        <w:rPr>
          <w:rFonts w:ascii="Times New Roman" w:hAnsi="Times New Roman" w:cs="Times New Roman"/>
        </w:rPr>
        <w:t xml:space="preserve">and reasons </w:t>
      </w:r>
      <w:r w:rsidR="00691FEE" w:rsidRPr="006D2720">
        <w:rPr>
          <w:rFonts w:ascii="Times New Roman" w:hAnsi="Times New Roman" w:cs="Times New Roman"/>
        </w:rPr>
        <w:t xml:space="preserve">must be </w:t>
      </w:r>
      <w:r w:rsidR="005A57B2" w:rsidRPr="006D2720">
        <w:rPr>
          <w:rFonts w:ascii="Times New Roman" w:hAnsi="Times New Roman" w:cs="Times New Roman"/>
        </w:rPr>
        <w:t>given for any refusal</w:t>
      </w:r>
      <w:r w:rsidR="004866B7" w:rsidRPr="006D2720">
        <w:rPr>
          <w:rFonts w:ascii="Times New Roman" w:hAnsi="Times New Roman" w:cs="Times New Roman"/>
        </w:rPr>
        <w:t>, whereas u</w:t>
      </w:r>
      <w:r w:rsidR="00E21C37" w:rsidRPr="006D2720">
        <w:rPr>
          <w:rFonts w:ascii="Times New Roman" w:hAnsi="Times New Roman" w:cs="Times New Roman"/>
        </w:rPr>
        <w:t>nder</w:t>
      </w:r>
      <w:r w:rsidR="00D35784" w:rsidRPr="006D2720">
        <w:rPr>
          <w:rFonts w:ascii="Times New Roman" w:hAnsi="Times New Roman" w:cs="Times New Roman"/>
        </w:rPr>
        <w:t xml:space="preserve"> PIPP 6, the time limit is 20 working days.</w:t>
      </w:r>
      <w:r w:rsidR="00D35784" w:rsidRPr="006D2720">
        <w:rPr>
          <w:rStyle w:val="FootnoteReference"/>
          <w:rFonts w:ascii="Times New Roman" w:hAnsi="Times New Roman" w:cs="Times New Roman"/>
        </w:rPr>
        <w:footnoteReference w:id="166"/>
      </w:r>
    </w:p>
    <w:p w14:paraId="3A22444A" w14:textId="5369CF0B" w:rsidR="00DD1EF3" w:rsidRPr="006D2720" w:rsidRDefault="00D35784" w:rsidP="00DD1EF3">
      <w:pPr>
        <w:pStyle w:val="Dotpointlist"/>
        <w:rPr>
          <w:rFonts w:ascii="Times New Roman" w:hAnsi="Times New Roman" w:cs="Times New Roman"/>
        </w:rPr>
      </w:pPr>
      <w:r w:rsidRPr="006D2720">
        <w:rPr>
          <w:rFonts w:ascii="Times New Roman" w:hAnsi="Times New Roman" w:cs="Times New Roman"/>
        </w:rPr>
        <w:t>Allowing access: under APP 12, i</w:t>
      </w:r>
      <w:r w:rsidR="00A736AC" w:rsidRPr="006D2720">
        <w:rPr>
          <w:rFonts w:ascii="Times New Roman" w:hAnsi="Times New Roman" w:cs="Times New Roman"/>
        </w:rPr>
        <w:t xml:space="preserve">f the </w:t>
      </w:r>
      <w:r w:rsidR="00862AE8" w:rsidRPr="006D2720">
        <w:rPr>
          <w:rFonts w:ascii="Times New Roman" w:hAnsi="Times New Roman" w:cs="Times New Roman"/>
        </w:rPr>
        <w:t>request for how to access personal information is reasonable and practicable to fulfil, it should be accepted</w:t>
      </w:r>
      <w:r w:rsidR="004866B7" w:rsidRPr="006D2720">
        <w:rPr>
          <w:rFonts w:ascii="Times New Roman" w:hAnsi="Times New Roman" w:cs="Times New Roman"/>
        </w:rPr>
        <w:t xml:space="preserve">, whereas under </w:t>
      </w:r>
      <w:r w:rsidRPr="006D2720">
        <w:rPr>
          <w:rFonts w:ascii="Times New Roman" w:hAnsi="Times New Roman" w:cs="Times New Roman"/>
        </w:rPr>
        <w:t>the PIPA t</w:t>
      </w:r>
      <w:r w:rsidR="0092291F" w:rsidRPr="006D2720">
        <w:rPr>
          <w:rFonts w:ascii="Times New Roman" w:hAnsi="Times New Roman" w:cs="Times New Roman"/>
        </w:rPr>
        <w:t xml:space="preserve">here is no analogous obligation to </w:t>
      </w:r>
      <w:r w:rsidRPr="006D2720">
        <w:rPr>
          <w:rFonts w:ascii="Times New Roman" w:hAnsi="Times New Roman" w:cs="Times New Roman"/>
        </w:rPr>
        <w:t>allow access</w:t>
      </w:r>
      <w:r w:rsidR="0092291F" w:rsidRPr="006D2720">
        <w:rPr>
          <w:rFonts w:ascii="Times New Roman" w:hAnsi="Times New Roman" w:cs="Times New Roman"/>
        </w:rPr>
        <w:t>.</w:t>
      </w:r>
      <w:r w:rsidR="001A1829" w:rsidRPr="006D2720">
        <w:rPr>
          <w:rFonts w:ascii="Times New Roman" w:hAnsi="Times New Roman" w:cs="Times New Roman"/>
        </w:rPr>
        <w:t xml:space="preserve"> </w:t>
      </w:r>
    </w:p>
    <w:p w14:paraId="194C4534" w14:textId="5475AF9B" w:rsidR="004721A3" w:rsidRPr="006D2720" w:rsidRDefault="00BD29F7" w:rsidP="00CA1A69">
      <w:pPr>
        <w:pStyle w:val="Dotpointlist"/>
        <w:rPr>
          <w:rFonts w:ascii="Times New Roman" w:hAnsi="Times New Roman" w:cs="Times New Roman"/>
        </w:rPr>
      </w:pPr>
      <w:r w:rsidRPr="006D2720">
        <w:rPr>
          <w:rFonts w:ascii="Times New Roman" w:hAnsi="Times New Roman" w:cs="Times New Roman"/>
        </w:rPr>
        <w:t>Access charge</w:t>
      </w:r>
      <w:r w:rsidR="00DD1EF3" w:rsidRPr="006D2720">
        <w:rPr>
          <w:rFonts w:ascii="Times New Roman" w:hAnsi="Times New Roman" w:cs="Times New Roman"/>
        </w:rPr>
        <w:t xml:space="preserve">: the </w:t>
      </w:r>
      <w:r w:rsidR="00E21C37" w:rsidRPr="006D2720">
        <w:rPr>
          <w:rFonts w:ascii="Times New Roman" w:hAnsi="Times New Roman" w:cs="Times New Roman"/>
        </w:rPr>
        <w:t xml:space="preserve">Commonwealth Privacy </w:t>
      </w:r>
      <w:r w:rsidR="00DD1EF3" w:rsidRPr="006D2720">
        <w:rPr>
          <w:rFonts w:ascii="Times New Roman" w:hAnsi="Times New Roman" w:cs="Times New Roman"/>
        </w:rPr>
        <w:t xml:space="preserve">Act expressly provides that </w:t>
      </w:r>
      <w:r w:rsidR="00D81BA8" w:rsidRPr="006D2720">
        <w:rPr>
          <w:rFonts w:ascii="Times New Roman" w:hAnsi="Times New Roman" w:cs="Times New Roman"/>
        </w:rPr>
        <w:t>a</w:t>
      </w:r>
      <w:r w:rsidR="0075039A" w:rsidRPr="006D2720">
        <w:rPr>
          <w:rFonts w:ascii="Times New Roman" w:hAnsi="Times New Roman" w:cs="Times New Roman"/>
        </w:rPr>
        <w:t xml:space="preserve">n agency </w:t>
      </w:r>
      <w:r w:rsidR="00C55135" w:rsidRPr="006D2720">
        <w:rPr>
          <w:rFonts w:ascii="Times New Roman" w:hAnsi="Times New Roman" w:cs="Times New Roman"/>
        </w:rPr>
        <w:t xml:space="preserve">cannot </w:t>
      </w:r>
      <w:r w:rsidR="00F25256" w:rsidRPr="006D2720">
        <w:rPr>
          <w:rFonts w:ascii="Times New Roman" w:hAnsi="Times New Roman" w:cs="Times New Roman"/>
        </w:rPr>
        <w:t xml:space="preserve">charge </w:t>
      </w:r>
      <w:r w:rsidR="00DD1EF3" w:rsidRPr="006D2720">
        <w:rPr>
          <w:rFonts w:ascii="Times New Roman" w:hAnsi="Times New Roman" w:cs="Times New Roman"/>
        </w:rPr>
        <w:t xml:space="preserve">an individual </w:t>
      </w:r>
      <w:r w:rsidR="00F25256" w:rsidRPr="006D2720">
        <w:rPr>
          <w:rFonts w:ascii="Times New Roman" w:hAnsi="Times New Roman" w:cs="Times New Roman"/>
        </w:rPr>
        <w:t>for access</w:t>
      </w:r>
      <w:r w:rsidR="00DD1EF3" w:rsidRPr="006D2720">
        <w:rPr>
          <w:rFonts w:ascii="Times New Roman" w:hAnsi="Times New Roman" w:cs="Times New Roman"/>
        </w:rPr>
        <w:t xml:space="preserve"> to their information</w:t>
      </w:r>
      <w:r w:rsidR="00F25256" w:rsidRPr="006D2720">
        <w:rPr>
          <w:rFonts w:ascii="Times New Roman" w:hAnsi="Times New Roman" w:cs="Times New Roman"/>
        </w:rPr>
        <w:t>.</w:t>
      </w:r>
      <w:r w:rsidR="005A57B2" w:rsidRPr="006D2720">
        <w:rPr>
          <w:rStyle w:val="FootnoteReference"/>
          <w:rFonts w:ascii="Times New Roman" w:hAnsi="Times New Roman" w:cs="Times New Roman"/>
        </w:rPr>
        <w:footnoteReference w:id="167"/>
      </w:r>
      <w:r w:rsidR="005A57B2" w:rsidRPr="006D2720">
        <w:rPr>
          <w:rFonts w:ascii="Times New Roman" w:hAnsi="Times New Roman" w:cs="Times New Roman"/>
        </w:rPr>
        <w:t xml:space="preserve"> </w:t>
      </w:r>
    </w:p>
    <w:p w14:paraId="3BDD1CD2" w14:textId="5A1CC88E" w:rsidR="007341C4" w:rsidRPr="006D2720" w:rsidRDefault="004721A3" w:rsidP="004721A3">
      <w:pPr>
        <w:pStyle w:val="Dotpointlist"/>
        <w:rPr>
          <w:rFonts w:ascii="Times New Roman" w:hAnsi="Times New Roman" w:cs="Times New Roman"/>
        </w:rPr>
      </w:pPr>
      <w:r w:rsidRPr="006D2720">
        <w:rPr>
          <w:rFonts w:ascii="Times New Roman" w:hAnsi="Times New Roman" w:cs="Times New Roman"/>
        </w:rPr>
        <w:t xml:space="preserve">Grounds for correction: </w:t>
      </w:r>
      <w:r w:rsidR="004866B7" w:rsidRPr="006D2720">
        <w:rPr>
          <w:rFonts w:ascii="Times New Roman" w:hAnsi="Times New Roman" w:cs="Times New Roman"/>
        </w:rPr>
        <w:t>under APP 13, as well as</w:t>
      </w:r>
      <w:r w:rsidRPr="006D2720">
        <w:rPr>
          <w:rFonts w:ascii="Times New Roman" w:hAnsi="Times New Roman" w:cs="Times New Roman"/>
        </w:rPr>
        <w:t xml:space="preserve"> the grounds </w:t>
      </w:r>
      <w:r w:rsidR="004866B7" w:rsidRPr="006D2720">
        <w:rPr>
          <w:rFonts w:ascii="Times New Roman" w:hAnsi="Times New Roman" w:cs="Times New Roman"/>
        </w:rPr>
        <w:t xml:space="preserve">provided under </w:t>
      </w:r>
      <w:r w:rsidRPr="006D2720">
        <w:rPr>
          <w:rFonts w:ascii="Times New Roman" w:hAnsi="Times New Roman" w:cs="Times New Roman"/>
        </w:rPr>
        <w:t xml:space="preserve">PIPP 6, </w:t>
      </w:r>
      <w:r w:rsidR="004866B7" w:rsidRPr="006D2720">
        <w:rPr>
          <w:rFonts w:ascii="Times New Roman" w:hAnsi="Times New Roman" w:cs="Times New Roman"/>
        </w:rPr>
        <w:t xml:space="preserve">there is an additional ground allowing </w:t>
      </w:r>
      <w:r w:rsidR="005A57B2" w:rsidRPr="006D2720">
        <w:rPr>
          <w:rFonts w:ascii="Times New Roman" w:hAnsi="Times New Roman" w:cs="Times New Roman"/>
        </w:rPr>
        <w:t xml:space="preserve">information </w:t>
      </w:r>
      <w:r w:rsidR="00574029" w:rsidRPr="006D2720">
        <w:rPr>
          <w:rFonts w:ascii="Times New Roman" w:hAnsi="Times New Roman" w:cs="Times New Roman"/>
        </w:rPr>
        <w:t>to</w:t>
      </w:r>
      <w:r w:rsidR="005A57B2" w:rsidRPr="006D2720">
        <w:rPr>
          <w:rFonts w:ascii="Times New Roman" w:hAnsi="Times New Roman" w:cs="Times New Roman"/>
        </w:rPr>
        <w:t xml:space="preserve"> be corrected where </w:t>
      </w:r>
      <w:r w:rsidRPr="006D2720">
        <w:rPr>
          <w:rFonts w:ascii="Times New Roman" w:hAnsi="Times New Roman" w:cs="Times New Roman"/>
        </w:rPr>
        <w:t xml:space="preserve">it is </w:t>
      </w:r>
      <w:r w:rsidR="005A57B2" w:rsidRPr="006D2720">
        <w:rPr>
          <w:rFonts w:ascii="Times New Roman" w:hAnsi="Times New Roman" w:cs="Times New Roman"/>
        </w:rPr>
        <w:t>irrelevant</w:t>
      </w:r>
      <w:r w:rsidR="001109F4" w:rsidRPr="006D2720">
        <w:rPr>
          <w:rFonts w:ascii="Times New Roman" w:hAnsi="Times New Roman" w:cs="Times New Roman"/>
        </w:rPr>
        <w:t xml:space="preserve">. </w:t>
      </w:r>
      <w:r w:rsidR="007341C4" w:rsidRPr="006D2720">
        <w:rPr>
          <w:rFonts w:ascii="Times New Roman" w:hAnsi="Times New Roman" w:cs="Times New Roman"/>
        </w:rPr>
        <w:t>Relevance</w:t>
      </w:r>
      <w:r w:rsidR="001109F4" w:rsidRPr="006D2720">
        <w:rPr>
          <w:rFonts w:ascii="Times New Roman" w:hAnsi="Times New Roman" w:cs="Times New Roman"/>
        </w:rPr>
        <w:t xml:space="preserve"> is </w:t>
      </w:r>
      <w:r w:rsidR="003C623C" w:rsidRPr="006D2720">
        <w:rPr>
          <w:rFonts w:ascii="Times New Roman" w:hAnsi="Times New Roman" w:cs="Times New Roman"/>
        </w:rPr>
        <w:t xml:space="preserve">considered </w:t>
      </w:r>
      <w:r w:rsidRPr="006D2720">
        <w:rPr>
          <w:rFonts w:ascii="Times New Roman" w:hAnsi="Times New Roman" w:cs="Times New Roman"/>
        </w:rPr>
        <w:t xml:space="preserve">by the entity holding the information, </w:t>
      </w:r>
      <w:r w:rsidR="003C623C" w:rsidRPr="006D2720">
        <w:rPr>
          <w:rFonts w:ascii="Times New Roman" w:hAnsi="Times New Roman" w:cs="Times New Roman"/>
        </w:rPr>
        <w:t xml:space="preserve">from the perspective of </w:t>
      </w:r>
      <w:r w:rsidR="003C623C" w:rsidRPr="006D2720">
        <w:rPr>
          <w:rFonts w:ascii="Times New Roman" w:hAnsi="Times New Roman" w:cs="Times New Roman"/>
          <w:i/>
          <w:iCs/>
        </w:rPr>
        <w:t>the purpose for which the information is held</w:t>
      </w:r>
      <w:r w:rsidR="003C623C" w:rsidRPr="006D2720">
        <w:rPr>
          <w:rFonts w:ascii="Times New Roman" w:hAnsi="Times New Roman" w:cs="Times New Roman"/>
        </w:rPr>
        <w:t>.</w:t>
      </w:r>
      <w:r w:rsidR="007341C4" w:rsidRPr="006D2720">
        <w:rPr>
          <w:rStyle w:val="FootnoteReference"/>
          <w:rFonts w:ascii="Times New Roman" w:hAnsi="Times New Roman" w:cs="Times New Roman"/>
        </w:rPr>
        <w:footnoteReference w:id="168"/>
      </w:r>
      <w:r w:rsidR="0078352D" w:rsidRPr="006D2720">
        <w:rPr>
          <w:rFonts w:ascii="Times New Roman" w:hAnsi="Times New Roman" w:cs="Times New Roman"/>
        </w:rPr>
        <w:t xml:space="preserve"> </w:t>
      </w:r>
    </w:p>
    <w:p w14:paraId="08345E1F" w14:textId="37E4B33E" w:rsidR="00B62801" w:rsidRPr="006D2720" w:rsidRDefault="00CF6E72" w:rsidP="00CA1A69">
      <w:pPr>
        <w:pStyle w:val="Dotpointlist"/>
        <w:rPr>
          <w:rFonts w:ascii="Times New Roman" w:hAnsi="Times New Roman" w:cs="Times New Roman"/>
        </w:rPr>
      </w:pPr>
      <w:r w:rsidRPr="006D2720">
        <w:rPr>
          <w:rFonts w:ascii="Times New Roman" w:hAnsi="Times New Roman" w:cs="Times New Roman"/>
        </w:rPr>
        <w:t xml:space="preserve">Notice to third parties: </w:t>
      </w:r>
      <w:r w:rsidR="004866B7" w:rsidRPr="006D2720">
        <w:rPr>
          <w:rFonts w:ascii="Times New Roman" w:hAnsi="Times New Roman" w:cs="Times New Roman"/>
        </w:rPr>
        <w:t xml:space="preserve">under APP 13, </w:t>
      </w:r>
      <w:r w:rsidR="00B07C71" w:rsidRPr="006D2720">
        <w:rPr>
          <w:rFonts w:ascii="Times New Roman" w:hAnsi="Times New Roman" w:cs="Times New Roman"/>
        </w:rPr>
        <w:t>in circumstances where an individual’s personal information has been disclosed by one entity to another entity</w:t>
      </w:r>
      <w:r w:rsidRPr="006D2720">
        <w:rPr>
          <w:rFonts w:ascii="Times New Roman" w:hAnsi="Times New Roman" w:cs="Times New Roman"/>
        </w:rPr>
        <w:t>, t</w:t>
      </w:r>
      <w:r w:rsidR="00B07C71" w:rsidRPr="006D2720">
        <w:rPr>
          <w:rFonts w:ascii="Times New Roman" w:hAnsi="Times New Roman" w:cs="Times New Roman"/>
        </w:rPr>
        <w:t>he individual can request that the entity notify the other entity of the correction</w:t>
      </w:r>
      <w:r w:rsidRPr="006D2720">
        <w:rPr>
          <w:rFonts w:ascii="Times New Roman" w:hAnsi="Times New Roman" w:cs="Times New Roman"/>
        </w:rPr>
        <w:t>. R</w:t>
      </w:r>
      <w:r w:rsidR="00B07C71" w:rsidRPr="006D2720">
        <w:rPr>
          <w:rFonts w:ascii="Times New Roman" w:hAnsi="Times New Roman" w:cs="Times New Roman"/>
        </w:rPr>
        <w:t xml:space="preserve">easonable steps must be taken to comply with this request </w:t>
      </w:r>
      <w:r w:rsidR="000B4A39" w:rsidRPr="006D2720">
        <w:rPr>
          <w:rFonts w:ascii="Times New Roman" w:hAnsi="Times New Roman" w:cs="Times New Roman"/>
        </w:rPr>
        <w:t xml:space="preserve">unless </w:t>
      </w:r>
      <w:r w:rsidR="000B6B53" w:rsidRPr="006D2720">
        <w:rPr>
          <w:rFonts w:ascii="Times New Roman" w:hAnsi="Times New Roman" w:cs="Times New Roman"/>
        </w:rPr>
        <w:t>doing so</w:t>
      </w:r>
      <w:r w:rsidR="00F14B96" w:rsidRPr="006D2720">
        <w:rPr>
          <w:rFonts w:ascii="Times New Roman" w:hAnsi="Times New Roman" w:cs="Times New Roman"/>
        </w:rPr>
        <w:t xml:space="preserve"> would be </w:t>
      </w:r>
      <w:r w:rsidR="000B4A39" w:rsidRPr="006D2720">
        <w:rPr>
          <w:rFonts w:ascii="Times New Roman" w:hAnsi="Times New Roman" w:cs="Times New Roman"/>
        </w:rPr>
        <w:t>impracticable or unlawful.</w:t>
      </w:r>
      <w:r w:rsidR="00C2745E" w:rsidRPr="006D2720">
        <w:rPr>
          <w:rStyle w:val="FootnoteReference"/>
          <w:rFonts w:ascii="Times New Roman" w:hAnsi="Times New Roman" w:cs="Times New Roman"/>
        </w:rPr>
        <w:footnoteReference w:id="169"/>
      </w:r>
      <w:r w:rsidR="000B4A39" w:rsidRPr="006D2720">
        <w:rPr>
          <w:rFonts w:ascii="Times New Roman" w:hAnsi="Times New Roman" w:cs="Times New Roman"/>
        </w:rPr>
        <w:t xml:space="preserve"> </w:t>
      </w:r>
      <w:r w:rsidR="00E35ED1" w:rsidRPr="006D2720">
        <w:rPr>
          <w:rFonts w:ascii="Times New Roman" w:hAnsi="Times New Roman" w:cs="Times New Roman"/>
        </w:rPr>
        <w:t>PIPP 6 does not contain an analogous ability.</w:t>
      </w:r>
    </w:p>
    <w:p w14:paraId="4699F821" w14:textId="5E45CF5F" w:rsidR="00C61940" w:rsidRPr="006D2720" w:rsidRDefault="009A7D84" w:rsidP="0066337D">
      <w:pPr>
        <w:pStyle w:val="Heading3"/>
        <w:rPr>
          <w:rFonts w:ascii="Times New Roman" w:hAnsi="Times New Roman" w:cs="Times New Roman"/>
        </w:rPr>
      </w:pPr>
      <w:r w:rsidRPr="006D2720">
        <w:rPr>
          <w:rFonts w:ascii="Times New Roman" w:hAnsi="Times New Roman" w:cs="Times New Roman"/>
        </w:rPr>
        <w:t xml:space="preserve">Only personal information that </w:t>
      </w:r>
      <w:r w:rsidR="001144AA" w:rsidRPr="006D2720">
        <w:rPr>
          <w:rFonts w:ascii="Times New Roman" w:hAnsi="Times New Roman" w:cs="Times New Roman"/>
        </w:rPr>
        <w:t xml:space="preserve">the custodian </w:t>
      </w:r>
      <w:r w:rsidRPr="006D2720">
        <w:rPr>
          <w:rFonts w:ascii="Times New Roman" w:hAnsi="Times New Roman" w:cs="Times New Roman"/>
        </w:rPr>
        <w:t>‘</w:t>
      </w:r>
      <w:r w:rsidR="001144AA" w:rsidRPr="006D2720">
        <w:rPr>
          <w:rFonts w:ascii="Times New Roman" w:hAnsi="Times New Roman" w:cs="Times New Roman"/>
        </w:rPr>
        <w:t xml:space="preserve">holds’ </w:t>
      </w:r>
      <w:r w:rsidRPr="006D2720">
        <w:rPr>
          <w:rFonts w:ascii="Times New Roman" w:hAnsi="Times New Roman" w:cs="Times New Roman"/>
        </w:rPr>
        <w:t xml:space="preserve">may be </w:t>
      </w:r>
      <w:r w:rsidR="00A574FC" w:rsidRPr="006D2720">
        <w:rPr>
          <w:rFonts w:ascii="Times New Roman" w:hAnsi="Times New Roman" w:cs="Times New Roman"/>
        </w:rPr>
        <w:t>access</w:t>
      </w:r>
      <w:r w:rsidRPr="006D2720">
        <w:rPr>
          <w:rFonts w:ascii="Times New Roman" w:hAnsi="Times New Roman" w:cs="Times New Roman"/>
        </w:rPr>
        <w:t xml:space="preserve">ed </w:t>
      </w:r>
      <w:r w:rsidR="00A574FC" w:rsidRPr="006D2720">
        <w:rPr>
          <w:rFonts w:ascii="Times New Roman" w:hAnsi="Times New Roman" w:cs="Times New Roman"/>
        </w:rPr>
        <w:t>and correct</w:t>
      </w:r>
      <w:r w:rsidRPr="006D2720">
        <w:rPr>
          <w:rFonts w:ascii="Times New Roman" w:hAnsi="Times New Roman" w:cs="Times New Roman"/>
        </w:rPr>
        <w:t>ed</w:t>
      </w:r>
      <w:r w:rsidR="00A574FC" w:rsidRPr="006D2720">
        <w:rPr>
          <w:rFonts w:ascii="Times New Roman" w:hAnsi="Times New Roman" w:cs="Times New Roman"/>
        </w:rPr>
        <w:t xml:space="preserve">. </w:t>
      </w:r>
      <w:r w:rsidRPr="006D2720">
        <w:rPr>
          <w:rFonts w:ascii="Times New Roman" w:hAnsi="Times New Roman" w:cs="Times New Roman"/>
        </w:rPr>
        <w:t>This means that information published on social media falls outside of the operation of PIPP 6</w:t>
      </w:r>
      <w:r w:rsidR="002912B4" w:rsidRPr="006D2720">
        <w:rPr>
          <w:rFonts w:ascii="Times New Roman" w:hAnsi="Times New Roman" w:cs="Times New Roman"/>
        </w:rPr>
        <w:t xml:space="preserve">. As </w:t>
      </w:r>
      <w:r w:rsidR="00A71F5D" w:rsidRPr="006D2720">
        <w:rPr>
          <w:rFonts w:ascii="Times New Roman" w:hAnsi="Times New Roman" w:cs="Times New Roman"/>
        </w:rPr>
        <w:t>the OAIC</w:t>
      </w:r>
      <w:r w:rsidR="003C42F5" w:rsidRPr="006D2720">
        <w:rPr>
          <w:rFonts w:ascii="Times New Roman" w:hAnsi="Times New Roman" w:cs="Times New Roman"/>
        </w:rPr>
        <w:t xml:space="preserve"> has noted</w:t>
      </w:r>
      <w:r w:rsidRPr="006D2720">
        <w:rPr>
          <w:rFonts w:ascii="Times New Roman" w:hAnsi="Times New Roman" w:cs="Times New Roman"/>
        </w:rPr>
        <w:t xml:space="preserve">, such information is no longer within an agency’s possession or control and is </w:t>
      </w:r>
      <w:r w:rsidR="00624126" w:rsidRPr="006D2720">
        <w:rPr>
          <w:rFonts w:ascii="Times New Roman" w:hAnsi="Times New Roman" w:cs="Times New Roman"/>
        </w:rPr>
        <w:t xml:space="preserve">therefore </w:t>
      </w:r>
      <w:r w:rsidRPr="006D2720">
        <w:rPr>
          <w:rFonts w:ascii="Times New Roman" w:hAnsi="Times New Roman" w:cs="Times New Roman"/>
        </w:rPr>
        <w:t>not ‘held’ by that agency.</w:t>
      </w:r>
      <w:r w:rsidR="00FF4225" w:rsidRPr="006D2720">
        <w:rPr>
          <w:rFonts w:ascii="Times New Roman" w:hAnsi="Times New Roman" w:cs="Times New Roman"/>
        </w:rPr>
        <w:t xml:space="preserve"> </w:t>
      </w:r>
      <w:r w:rsidRPr="006D2720">
        <w:rPr>
          <w:rFonts w:ascii="Times New Roman" w:hAnsi="Times New Roman" w:cs="Times New Roman"/>
        </w:rPr>
        <w:t xml:space="preserve">The </w:t>
      </w:r>
      <w:r w:rsidR="007626A9" w:rsidRPr="006D2720">
        <w:rPr>
          <w:rFonts w:ascii="Times New Roman" w:hAnsi="Times New Roman" w:cs="Times New Roman"/>
        </w:rPr>
        <w:t xml:space="preserve">OAIC </w:t>
      </w:r>
      <w:r w:rsidR="003C42F5" w:rsidRPr="006D2720">
        <w:rPr>
          <w:rFonts w:ascii="Times New Roman" w:hAnsi="Times New Roman" w:cs="Times New Roman"/>
        </w:rPr>
        <w:t xml:space="preserve">has </w:t>
      </w:r>
      <w:r w:rsidR="00A8437B" w:rsidRPr="006D2720">
        <w:rPr>
          <w:rFonts w:ascii="Times New Roman" w:hAnsi="Times New Roman" w:cs="Times New Roman"/>
        </w:rPr>
        <w:t xml:space="preserve">recommended that the obligation to correct personal information should extend to </w:t>
      </w:r>
      <w:r w:rsidR="002F5153" w:rsidRPr="006D2720">
        <w:rPr>
          <w:rFonts w:ascii="Times New Roman" w:hAnsi="Times New Roman" w:cs="Times New Roman"/>
        </w:rPr>
        <w:t>tak</w:t>
      </w:r>
      <w:r w:rsidR="00C61940" w:rsidRPr="006D2720">
        <w:rPr>
          <w:rFonts w:ascii="Times New Roman" w:hAnsi="Times New Roman" w:cs="Times New Roman"/>
        </w:rPr>
        <w:t>ing</w:t>
      </w:r>
      <w:r w:rsidR="002F5153" w:rsidRPr="006D2720">
        <w:rPr>
          <w:rFonts w:ascii="Times New Roman" w:hAnsi="Times New Roman" w:cs="Times New Roman"/>
        </w:rPr>
        <w:t xml:space="preserve"> steps to </w:t>
      </w:r>
      <w:r w:rsidR="00A8437B" w:rsidRPr="006D2720">
        <w:rPr>
          <w:rFonts w:ascii="Times New Roman" w:hAnsi="Times New Roman" w:cs="Times New Roman"/>
        </w:rPr>
        <w:t xml:space="preserve">correct </w:t>
      </w:r>
      <w:r w:rsidR="002F5153" w:rsidRPr="006D2720">
        <w:rPr>
          <w:rFonts w:ascii="Times New Roman" w:hAnsi="Times New Roman" w:cs="Times New Roman"/>
        </w:rPr>
        <w:t>publicly available information that has been posted online.</w:t>
      </w:r>
      <w:r w:rsidR="008E4970" w:rsidRPr="006D2720">
        <w:rPr>
          <w:rStyle w:val="FootnoteReference"/>
          <w:rFonts w:ascii="Times New Roman" w:hAnsi="Times New Roman" w:cs="Times New Roman"/>
        </w:rPr>
        <w:footnoteReference w:id="170"/>
      </w:r>
      <w:r w:rsidR="004868FE" w:rsidRPr="006D2720">
        <w:rPr>
          <w:rFonts w:ascii="Times New Roman" w:hAnsi="Times New Roman" w:cs="Times New Roman"/>
        </w:rPr>
        <w:t xml:space="preserve"> </w:t>
      </w:r>
    </w:p>
    <w:p w14:paraId="35AAF40A" w14:textId="4D6399F3" w:rsidR="001376EC" w:rsidRPr="006D2720" w:rsidRDefault="004B691A" w:rsidP="0066337D">
      <w:pPr>
        <w:pStyle w:val="Heading3"/>
        <w:rPr>
          <w:rFonts w:ascii="Times New Roman" w:hAnsi="Times New Roman" w:cs="Times New Roman"/>
        </w:rPr>
      </w:pPr>
      <w:r w:rsidRPr="006D2720">
        <w:rPr>
          <w:rFonts w:ascii="Times New Roman" w:hAnsi="Times New Roman" w:cs="Times New Roman"/>
        </w:rPr>
        <w:t>The approach can be seen in the GDPR</w:t>
      </w:r>
      <w:r w:rsidR="001144AA" w:rsidRPr="006D2720">
        <w:rPr>
          <w:rFonts w:ascii="Times New Roman" w:hAnsi="Times New Roman" w:cs="Times New Roman"/>
        </w:rPr>
        <w:t xml:space="preserve">, where </w:t>
      </w:r>
      <w:r w:rsidR="006B523A" w:rsidRPr="006D2720">
        <w:rPr>
          <w:rFonts w:ascii="Times New Roman" w:hAnsi="Times New Roman" w:cs="Times New Roman"/>
        </w:rPr>
        <w:t xml:space="preserve">the </w:t>
      </w:r>
      <w:r w:rsidR="001144AA" w:rsidRPr="006D2720">
        <w:rPr>
          <w:rFonts w:ascii="Times New Roman" w:hAnsi="Times New Roman" w:cs="Times New Roman"/>
        </w:rPr>
        <w:t>right</w:t>
      </w:r>
      <w:r w:rsidR="006B523A" w:rsidRPr="006D2720">
        <w:rPr>
          <w:rFonts w:ascii="Times New Roman" w:hAnsi="Times New Roman" w:cs="Times New Roman"/>
        </w:rPr>
        <w:t xml:space="preserve"> </w:t>
      </w:r>
      <w:r w:rsidR="001144AA" w:rsidRPr="006D2720">
        <w:rPr>
          <w:rFonts w:ascii="Times New Roman" w:hAnsi="Times New Roman" w:cs="Times New Roman"/>
        </w:rPr>
        <w:t xml:space="preserve">to </w:t>
      </w:r>
      <w:r w:rsidR="00624126" w:rsidRPr="006D2720">
        <w:rPr>
          <w:rFonts w:ascii="Times New Roman" w:hAnsi="Times New Roman" w:cs="Times New Roman"/>
        </w:rPr>
        <w:t>rectify</w:t>
      </w:r>
      <w:r w:rsidR="00CE4301" w:rsidRPr="006D2720">
        <w:rPr>
          <w:rFonts w:ascii="Times New Roman" w:hAnsi="Times New Roman" w:cs="Times New Roman"/>
        </w:rPr>
        <w:t xml:space="preserve"> inaccurate data appl</w:t>
      </w:r>
      <w:r w:rsidR="006B523A" w:rsidRPr="006D2720">
        <w:rPr>
          <w:rFonts w:ascii="Times New Roman" w:hAnsi="Times New Roman" w:cs="Times New Roman"/>
        </w:rPr>
        <w:t>ies</w:t>
      </w:r>
      <w:r w:rsidR="00CE4301" w:rsidRPr="006D2720">
        <w:rPr>
          <w:rFonts w:ascii="Times New Roman" w:hAnsi="Times New Roman" w:cs="Times New Roman"/>
        </w:rPr>
        <w:t xml:space="preserve"> even </w:t>
      </w:r>
      <w:r w:rsidR="00387665" w:rsidRPr="006D2720">
        <w:rPr>
          <w:rFonts w:ascii="Times New Roman" w:hAnsi="Times New Roman" w:cs="Times New Roman"/>
        </w:rPr>
        <w:t>where</w:t>
      </w:r>
      <w:r w:rsidR="00CE4301" w:rsidRPr="006D2720">
        <w:rPr>
          <w:rFonts w:ascii="Times New Roman" w:hAnsi="Times New Roman" w:cs="Times New Roman"/>
        </w:rPr>
        <w:t xml:space="preserve"> the personal data is public</w:t>
      </w:r>
      <w:r w:rsidR="00C53743" w:rsidRPr="006D2720">
        <w:rPr>
          <w:rFonts w:ascii="Times New Roman" w:hAnsi="Times New Roman" w:cs="Times New Roman"/>
        </w:rPr>
        <w:t>ly available</w:t>
      </w:r>
      <w:r w:rsidR="00CE4301" w:rsidRPr="006D2720">
        <w:rPr>
          <w:rFonts w:ascii="Times New Roman" w:hAnsi="Times New Roman" w:cs="Times New Roman"/>
        </w:rPr>
        <w:t xml:space="preserve">. </w:t>
      </w:r>
      <w:r w:rsidR="00CA18C3" w:rsidRPr="006D2720">
        <w:rPr>
          <w:rFonts w:ascii="Times New Roman" w:hAnsi="Times New Roman" w:cs="Times New Roman"/>
        </w:rPr>
        <w:t>I</w:t>
      </w:r>
      <w:r w:rsidR="008C4845" w:rsidRPr="006D2720">
        <w:rPr>
          <w:rFonts w:ascii="Times New Roman" w:hAnsi="Times New Roman" w:cs="Times New Roman"/>
        </w:rPr>
        <w:t xml:space="preserve">n </w:t>
      </w:r>
      <w:r w:rsidR="00CF1508" w:rsidRPr="006D2720">
        <w:rPr>
          <w:rFonts w:ascii="Times New Roman" w:hAnsi="Times New Roman" w:cs="Times New Roman"/>
        </w:rPr>
        <w:t>article 5(1)(d) of the</w:t>
      </w:r>
      <w:r w:rsidR="008C4845" w:rsidRPr="006D2720">
        <w:rPr>
          <w:rFonts w:ascii="Times New Roman" w:hAnsi="Times New Roman" w:cs="Times New Roman"/>
        </w:rPr>
        <w:t xml:space="preserve"> </w:t>
      </w:r>
      <w:r w:rsidR="00CA18C3" w:rsidRPr="006D2720">
        <w:rPr>
          <w:rFonts w:ascii="Times New Roman" w:hAnsi="Times New Roman" w:cs="Times New Roman"/>
        </w:rPr>
        <w:t>GDPR</w:t>
      </w:r>
      <w:r w:rsidR="008C4845" w:rsidRPr="006D2720">
        <w:rPr>
          <w:rFonts w:ascii="Times New Roman" w:hAnsi="Times New Roman" w:cs="Times New Roman"/>
        </w:rPr>
        <w:t>, the</w:t>
      </w:r>
      <w:r w:rsidR="009D702C" w:rsidRPr="006D2720">
        <w:rPr>
          <w:rFonts w:ascii="Times New Roman" w:hAnsi="Times New Roman" w:cs="Times New Roman"/>
        </w:rPr>
        <w:t xml:space="preserve"> ‘accuracy principle’ require</w:t>
      </w:r>
      <w:r w:rsidR="00922015" w:rsidRPr="006D2720">
        <w:rPr>
          <w:rFonts w:ascii="Times New Roman" w:hAnsi="Times New Roman" w:cs="Times New Roman"/>
        </w:rPr>
        <w:t>s</w:t>
      </w:r>
      <w:r w:rsidR="009D702C" w:rsidRPr="006D2720">
        <w:rPr>
          <w:rFonts w:ascii="Times New Roman" w:hAnsi="Times New Roman" w:cs="Times New Roman"/>
        </w:rPr>
        <w:t xml:space="preserve"> information to be accurate and </w:t>
      </w:r>
      <w:r w:rsidR="00922015" w:rsidRPr="006D2720">
        <w:rPr>
          <w:rFonts w:ascii="Times New Roman" w:hAnsi="Times New Roman" w:cs="Times New Roman"/>
        </w:rPr>
        <w:t>up to date</w:t>
      </w:r>
      <w:r w:rsidR="00CF1508" w:rsidRPr="006D2720">
        <w:rPr>
          <w:rFonts w:ascii="Times New Roman" w:hAnsi="Times New Roman" w:cs="Times New Roman"/>
        </w:rPr>
        <w:t xml:space="preserve">, and mandates that </w:t>
      </w:r>
      <w:r w:rsidR="00922015" w:rsidRPr="006D2720">
        <w:rPr>
          <w:rFonts w:ascii="Times New Roman" w:hAnsi="Times New Roman" w:cs="Times New Roman"/>
        </w:rPr>
        <w:t xml:space="preserve">reasonable steps </w:t>
      </w:r>
      <w:r w:rsidR="00466579" w:rsidRPr="006D2720">
        <w:rPr>
          <w:rFonts w:ascii="Times New Roman" w:hAnsi="Times New Roman" w:cs="Times New Roman"/>
        </w:rPr>
        <w:t>must</w:t>
      </w:r>
      <w:r w:rsidR="00CF1508" w:rsidRPr="006D2720">
        <w:rPr>
          <w:rFonts w:ascii="Times New Roman" w:hAnsi="Times New Roman" w:cs="Times New Roman"/>
        </w:rPr>
        <w:t xml:space="preserve"> </w:t>
      </w:r>
      <w:r w:rsidR="00922015" w:rsidRPr="006D2720">
        <w:rPr>
          <w:rFonts w:ascii="Times New Roman" w:hAnsi="Times New Roman" w:cs="Times New Roman"/>
        </w:rPr>
        <w:t>be taken to rectify or erase inaccurate data.</w:t>
      </w:r>
      <w:r w:rsidR="005C0AAB" w:rsidRPr="006D2720">
        <w:rPr>
          <w:rFonts w:ascii="Times New Roman" w:hAnsi="Times New Roman" w:cs="Times New Roman"/>
        </w:rPr>
        <w:t xml:space="preserve"> </w:t>
      </w:r>
    </w:p>
    <w:p w14:paraId="55435F9D" w14:textId="290D6E89" w:rsidR="00B07AFC" w:rsidRPr="006D2720" w:rsidRDefault="000307C2" w:rsidP="00BF551D">
      <w:pPr>
        <w:keepNext/>
        <w:rPr>
          <w:rFonts w:ascii="Times New Roman" w:hAnsi="Times New Roman" w:cs="Times New Roman"/>
          <w:b/>
          <w:bCs/>
          <w:i/>
          <w:iCs/>
        </w:rPr>
      </w:pPr>
      <w:r w:rsidRPr="006D2720">
        <w:rPr>
          <w:rFonts w:ascii="Times New Roman" w:hAnsi="Times New Roman" w:cs="Times New Roman"/>
          <w:b/>
          <w:bCs/>
          <w:i/>
          <w:iCs/>
        </w:rPr>
        <w:t>Unique identifiers</w:t>
      </w:r>
    </w:p>
    <w:p w14:paraId="2E288F5F" w14:textId="2783B3A0" w:rsidR="00091CFF" w:rsidRPr="006D2720" w:rsidRDefault="00091CFF" w:rsidP="00EB2F71">
      <w:pPr>
        <w:pStyle w:val="Heading3"/>
        <w:rPr>
          <w:rFonts w:ascii="Times New Roman" w:hAnsi="Times New Roman" w:cs="Times New Roman"/>
        </w:rPr>
      </w:pPr>
      <w:r w:rsidRPr="006D2720">
        <w:rPr>
          <w:rFonts w:ascii="Times New Roman" w:hAnsi="Times New Roman" w:cs="Times New Roman"/>
        </w:rPr>
        <w:t xml:space="preserve">An ‘identifier’ </w:t>
      </w:r>
      <w:r w:rsidR="0033146B" w:rsidRPr="006D2720">
        <w:rPr>
          <w:rFonts w:ascii="Times New Roman" w:hAnsi="Times New Roman" w:cs="Times New Roman"/>
        </w:rPr>
        <w:t xml:space="preserve">is </w:t>
      </w:r>
      <w:r w:rsidRPr="006D2720">
        <w:rPr>
          <w:rFonts w:ascii="Times New Roman" w:hAnsi="Times New Roman" w:cs="Times New Roman"/>
        </w:rPr>
        <w:t xml:space="preserve">anything a personal information custodian assigns to an individual </w:t>
      </w:r>
      <w:r w:rsidR="003C42F5" w:rsidRPr="006D2720">
        <w:rPr>
          <w:rFonts w:ascii="Times New Roman" w:hAnsi="Times New Roman" w:cs="Times New Roman"/>
        </w:rPr>
        <w:t>to</w:t>
      </w:r>
      <w:r w:rsidRPr="006D2720">
        <w:rPr>
          <w:rFonts w:ascii="Times New Roman" w:hAnsi="Times New Roman" w:cs="Times New Roman"/>
        </w:rPr>
        <w:t xml:space="preserve"> identify </w:t>
      </w:r>
      <w:r w:rsidR="00366D72" w:rsidRPr="006D2720">
        <w:rPr>
          <w:rFonts w:ascii="Times New Roman" w:hAnsi="Times New Roman" w:cs="Times New Roman"/>
        </w:rPr>
        <w:t>them</w:t>
      </w:r>
      <w:r w:rsidRPr="006D2720">
        <w:rPr>
          <w:rFonts w:ascii="Times New Roman" w:hAnsi="Times New Roman" w:cs="Times New Roman"/>
        </w:rPr>
        <w:t xml:space="preserve"> for the purposes of the custodian’s operations</w:t>
      </w:r>
      <w:r w:rsidR="00BB54BC" w:rsidRPr="006D2720">
        <w:rPr>
          <w:rFonts w:ascii="Times New Roman" w:hAnsi="Times New Roman" w:cs="Times New Roman"/>
        </w:rPr>
        <w:t>.</w:t>
      </w:r>
      <w:r w:rsidRPr="006D2720">
        <w:rPr>
          <w:rFonts w:ascii="Times New Roman" w:hAnsi="Times New Roman" w:cs="Times New Roman"/>
        </w:rPr>
        <w:t xml:space="preserve"> </w:t>
      </w:r>
      <w:r w:rsidR="00BB54BC" w:rsidRPr="006D2720">
        <w:rPr>
          <w:rFonts w:ascii="Times New Roman" w:hAnsi="Times New Roman" w:cs="Times New Roman"/>
        </w:rPr>
        <w:t>It could be a number, letter, symbol, or a combination</w:t>
      </w:r>
      <w:r w:rsidR="00E41DB2" w:rsidRPr="006D2720">
        <w:rPr>
          <w:rFonts w:ascii="Times New Roman" w:hAnsi="Times New Roman" w:cs="Times New Roman"/>
        </w:rPr>
        <w:t xml:space="preserve"> of these</w:t>
      </w:r>
      <w:r w:rsidR="00BB54BC" w:rsidRPr="006D2720">
        <w:rPr>
          <w:rFonts w:ascii="Times New Roman" w:hAnsi="Times New Roman" w:cs="Times New Roman"/>
        </w:rPr>
        <w:t xml:space="preserve">. However, </w:t>
      </w:r>
      <w:r w:rsidR="004824EA" w:rsidRPr="006D2720">
        <w:rPr>
          <w:rFonts w:ascii="Times New Roman" w:hAnsi="Times New Roman" w:cs="Times New Roman"/>
        </w:rPr>
        <w:t xml:space="preserve">the definition explicitly clarifies that an </w:t>
      </w:r>
      <w:r w:rsidRPr="006D2720">
        <w:rPr>
          <w:rFonts w:ascii="Times New Roman" w:hAnsi="Times New Roman" w:cs="Times New Roman"/>
        </w:rPr>
        <w:t xml:space="preserve">individual’s name or an Australian Business Number </w:t>
      </w:r>
      <w:r w:rsidR="004824EA" w:rsidRPr="006D2720">
        <w:rPr>
          <w:rFonts w:ascii="Times New Roman" w:hAnsi="Times New Roman" w:cs="Times New Roman"/>
        </w:rPr>
        <w:t xml:space="preserve">are </w:t>
      </w:r>
      <w:r w:rsidRPr="006D2720">
        <w:rPr>
          <w:rFonts w:ascii="Times New Roman" w:hAnsi="Times New Roman" w:cs="Times New Roman"/>
          <w:i/>
          <w:iCs/>
        </w:rPr>
        <w:t xml:space="preserve">not </w:t>
      </w:r>
      <w:r w:rsidRPr="006D2720">
        <w:rPr>
          <w:rFonts w:ascii="Times New Roman" w:hAnsi="Times New Roman" w:cs="Times New Roman"/>
        </w:rPr>
        <w:t>identifiers</w:t>
      </w:r>
      <w:r w:rsidR="0033146B" w:rsidRPr="006D2720">
        <w:rPr>
          <w:rFonts w:ascii="Times New Roman" w:hAnsi="Times New Roman" w:cs="Times New Roman"/>
        </w:rPr>
        <w:t>.</w:t>
      </w:r>
      <w:r w:rsidR="0033146B" w:rsidRPr="006D2720">
        <w:rPr>
          <w:rStyle w:val="FootnoteReference"/>
          <w:rFonts w:ascii="Times New Roman" w:hAnsi="Times New Roman" w:cs="Times New Roman"/>
        </w:rPr>
        <w:footnoteReference w:id="171"/>
      </w:r>
      <w:r w:rsidR="00BB54BC" w:rsidRPr="006D2720">
        <w:rPr>
          <w:rFonts w:ascii="Times New Roman" w:hAnsi="Times New Roman" w:cs="Times New Roman"/>
        </w:rPr>
        <w:t xml:space="preserve"> </w:t>
      </w:r>
    </w:p>
    <w:p w14:paraId="7096588C" w14:textId="3CC954C8" w:rsidR="00B07AFC" w:rsidRPr="006D2720" w:rsidRDefault="003C42F5" w:rsidP="0066337D">
      <w:pPr>
        <w:pStyle w:val="Heading3"/>
        <w:rPr>
          <w:rFonts w:ascii="Times New Roman" w:hAnsi="Times New Roman" w:cs="Times New Roman"/>
        </w:rPr>
      </w:pPr>
      <w:r w:rsidRPr="006D2720">
        <w:rPr>
          <w:rFonts w:ascii="Times New Roman" w:hAnsi="Times New Roman" w:cs="Times New Roman"/>
        </w:rPr>
        <w:t xml:space="preserve">Under Tasmanian law, </w:t>
      </w:r>
      <w:r w:rsidR="004A6974" w:rsidRPr="006D2720">
        <w:rPr>
          <w:rFonts w:ascii="Times New Roman" w:hAnsi="Times New Roman" w:cs="Times New Roman"/>
        </w:rPr>
        <w:t xml:space="preserve">PIPP 7 </w:t>
      </w:r>
      <w:r w:rsidR="00436818" w:rsidRPr="006D2720">
        <w:rPr>
          <w:rFonts w:ascii="Times New Roman" w:hAnsi="Times New Roman" w:cs="Times New Roman"/>
        </w:rPr>
        <w:t>restricts</w:t>
      </w:r>
      <w:r w:rsidR="003847B8" w:rsidRPr="006D2720">
        <w:rPr>
          <w:rFonts w:ascii="Times New Roman" w:hAnsi="Times New Roman" w:cs="Times New Roman"/>
        </w:rPr>
        <w:t xml:space="preserve"> the use of unique identifiers. It </w:t>
      </w:r>
      <w:r w:rsidR="00762741" w:rsidRPr="006D2720">
        <w:rPr>
          <w:rFonts w:ascii="Times New Roman" w:hAnsi="Times New Roman" w:cs="Times New Roman"/>
        </w:rPr>
        <w:t xml:space="preserve">prevents a custodian </w:t>
      </w:r>
      <w:r w:rsidR="00A25A6B" w:rsidRPr="006D2720">
        <w:rPr>
          <w:rFonts w:ascii="Times New Roman" w:hAnsi="Times New Roman" w:cs="Times New Roman"/>
        </w:rPr>
        <w:t xml:space="preserve">assigning </w:t>
      </w:r>
      <w:r w:rsidR="00762741" w:rsidRPr="006D2720">
        <w:rPr>
          <w:rFonts w:ascii="Times New Roman" w:hAnsi="Times New Roman" w:cs="Times New Roman"/>
        </w:rPr>
        <w:t>a unique iden</w:t>
      </w:r>
      <w:r w:rsidR="00012B8B" w:rsidRPr="006D2720">
        <w:rPr>
          <w:rFonts w:ascii="Times New Roman" w:hAnsi="Times New Roman" w:cs="Times New Roman"/>
        </w:rPr>
        <w:t>tifier to an individual unless it is necessary to carry out any of its functions efficiently.</w:t>
      </w:r>
      <w:r w:rsidR="00852DA1" w:rsidRPr="006D2720">
        <w:rPr>
          <w:rStyle w:val="FootnoteReference"/>
          <w:rFonts w:ascii="Times New Roman" w:hAnsi="Times New Roman" w:cs="Times New Roman"/>
        </w:rPr>
        <w:footnoteReference w:id="172"/>
      </w:r>
      <w:r w:rsidR="00852DA1" w:rsidRPr="006D2720">
        <w:rPr>
          <w:rFonts w:ascii="Times New Roman" w:hAnsi="Times New Roman" w:cs="Times New Roman"/>
        </w:rPr>
        <w:t xml:space="preserve"> </w:t>
      </w:r>
      <w:r w:rsidR="00012B8B" w:rsidRPr="006D2720">
        <w:rPr>
          <w:rFonts w:ascii="Times New Roman" w:hAnsi="Times New Roman" w:cs="Times New Roman"/>
        </w:rPr>
        <w:t xml:space="preserve"> </w:t>
      </w:r>
      <w:r w:rsidR="00852DA1" w:rsidRPr="006D2720">
        <w:rPr>
          <w:rFonts w:ascii="Times New Roman" w:hAnsi="Times New Roman" w:cs="Times New Roman"/>
        </w:rPr>
        <w:t xml:space="preserve">The custodian also cannot adopt unique </w:t>
      </w:r>
      <w:r w:rsidR="00012B8B" w:rsidRPr="006D2720">
        <w:rPr>
          <w:rFonts w:ascii="Times New Roman" w:hAnsi="Times New Roman" w:cs="Times New Roman"/>
        </w:rPr>
        <w:t xml:space="preserve">identifiers </w:t>
      </w:r>
      <w:r w:rsidR="00637D1D" w:rsidRPr="006D2720">
        <w:rPr>
          <w:rFonts w:ascii="Times New Roman" w:hAnsi="Times New Roman" w:cs="Times New Roman"/>
        </w:rPr>
        <w:t xml:space="preserve">assigned by other custodians unless necessary to carry out its functions, the individual has consented, </w:t>
      </w:r>
      <w:r w:rsidR="009450E7" w:rsidRPr="006D2720">
        <w:rPr>
          <w:rFonts w:ascii="Times New Roman" w:hAnsi="Times New Roman" w:cs="Times New Roman"/>
        </w:rPr>
        <w:t>or it</w:t>
      </w:r>
      <w:r w:rsidR="00C47E00" w:rsidRPr="006D2720">
        <w:rPr>
          <w:rFonts w:ascii="Times New Roman" w:hAnsi="Times New Roman" w:cs="Times New Roman"/>
        </w:rPr>
        <w:t xml:space="preserve"> i</w:t>
      </w:r>
      <w:r w:rsidR="009450E7" w:rsidRPr="006D2720">
        <w:rPr>
          <w:rFonts w:ascii="Times New Roman" w:hAnsi="Times New Roman" w:cs="Times New Roman"/>
        </w:rPr>
        <w:t xml:space="preserve">s to </w:t>
      </w:r>
      <w:r w:rsidR="00476430" w:rsidRPr="006D2720">
        <w:rPr>
          <w:rFonts w:ascii="Times New Roman" w:hAnsi="Times New Roman" w:cs="Times New Roman"/>
        </w:rPr>
        <w:t xml:space="preserve">perform a contractual obligation to that custodian. </w:t>
      </w:r>
      <w:r w:rsidR="005777A6" w:rsidRPr="006D2720">
        <w:rPr>
          <w:rFonts w:ascii="Times New Roman" w:hAnsi="Times New Roman" w:cs="Times New Roman"/>
        </w:rPr>
        <w:t xml:space="preserve">A custodian </w:t>
      </w:r>
      <w:r w:rsidR="003E275A" w:rsidRPr="006D2720">
        <w:rPr>
          <w:rFonts w:ascii="Times New Roman" w:hAnsi="Times New Roman" w:cs="Times New Roman"/>
        </w:rPr>
        <w:t xml:space="preserve">cannot </w:t>
      </w:r>
      <w:r w:rsidR="005777A6" w:rsidRPr="006D2720">
        <w:rPr>
          <w:rFonts w:ascii="Times New Roman" w:hAnsi="Times New Roman" w:cs="Times New Roman"/>
        </w:rPr>
        <w:t xml:space="preserve">use or disclose </w:t>
      </w:r>
      <w:r w:rsidR="00022440" w:rsidRPr="006D2720">
        <w:rPr>
          <w:rFonts w:ascii="Times New Roman" w:hAnsi="Times New Roman" w:cs="Times New Roman"/>
        </w:rPr>
        <w:t xml:space="preserve">a unique identifier </w:t>
      </w:r>
      <w:r w:rsidR="00122989" w:rsidRPr="006D2720">
        <w:rPr>
          <w:rFonts w:ascii="Times New Roman" w:hAnsi="Times New Roman" w:cs="Times New Roman"/>
        </w:rPr>
        <w:t xml:space="preserve">assigned by another custodian unless necessary to fulfil functions to that other custodian or the custodian complies with </w:t>
      </w:r>
      <w:r w:rsidR="0010789E" w:rsidRPr="006D2720">
        <w:rPr>
          <w:rFonts w:ascii="Times New Roman" w:hAnsi="Times New Roman" w:cs="Times New Roman"/>
        </w:rPr>
        <w:t>its obligations under PIPP 2(1) relating to use and disclosure of personal information.</w:t>
      </w:r>
    </w:p>
    <w:p w14:paraId="1669A592" w14:textId="77DF355F" w:rsidR="00A07D47" w:rsidRPr="006D2720" w:rsidRDefault="001129B7" w:rsidP="00EB2F71">
      <w:pPr>
        <w:pStyle w:val="Heading3"/>
        <w:rPr>
          <w:rFonts w:ascii="Times New Roman" w:hAnsi="Times New Roman" w:cs="Times New Roman"/>
        </w:rPr>
      </w:pPr>
      <w:r w:rsidRPr="006D2720">
        <w:rPr>
          <w:rFonts w:ascii="Times New Roman" w:hAnsi="Times New Roman" w:cs="Times New Roman"/>
        </w:rPr>
        <w:t xml:space="preserve">In contrast, </w:t>
      </w:r>
      <w:r w:rsidR="003C42F5" w:rsidRPr="006D2720">
        <w:rPr>
          <w:rFonts w:ascii="Times New Roman" w:hAnsi="Times New Roman" w:cs="Times New Roman"/>
        </w:rPr>
        <w:t xml:space="preserve">under Commonwealth law, </w:t>
      </w:r>
      <w:r w:rsidR="00BA7898" w:rsidRPr="006D2720">
        <w:rPr>
          <w:rFonts w:ascii="Times New Roman" w:hAnsi="Times New Roman" w:cs="Times New Roman"/>
        </w:rPr>
        <w:t xml:space="preserve">APP 9 </w:t>
      </w:r>
      <w:r w:rsidR="00FC048E" w:rsidRPr="006D2720">
        <w:rPr>
          <w:rFonts w:ascii="Times New Roman" w:hAnsi="Times New Roman" w:cs="Times New Roman"/>
        </w:rPr>
        <w:t xml:space="preserve">on the </w:t>
      </w:r>
      <w:r w:rsidR="00942C8A" w:rsidRPr="006D2720">
        <w:rPr>
          <w:rFonts w:ascii="Times New Roman" w:hAnsi="Times New Roman" w:cs="Times New Roman"/>
        </w:rPr>
        <w:t>adoption, use</w:t>
      </w:r>
      <w:r w:rsidR="00EE6D3D" w:rsidRPr="006D2720">
        <w:rPr>
          <w:rFonts w:ascii="Times New Roman" w:hAnsi="Times New Roman" w:cs="Times New Roman"/>
        </w:rPr>
        <w:t>,</w:t>
      </w:r>
      <w:r w:rsidR="00942C8A" w:rsidRPr="006D2720">
        <w:rPr>
          <w:rFonts w:ascii="Times New Roman" w:hAnsi="Times New Roman" w:cs="Times New Roman"/>
        </w:rPr>
        <w:t xml:space="preserve"> or disclosure of </w:t>
      </w:r>
      <w:r w:rsidR="00FE741F" w:rsidRPr="006D2720">
        <w:rPr>
          <w:rFonts w:ascii="Times New Roman" w:hAnsi="Times New Roman" w:cs="Times New Roman"/>
        </w:rPr>
        <w:t>government-</w:t>
      </w:r>
      <w:r w:rsidR="00942C8A" w:rsidRPr="006D2720">
        <w:rPr>
          <w:rFonts w:ascii="Times New Roman" w:hAnsi="Times New Roman" w:cs="Times New Roman"/>
        </w:rPr>
        <w:t xml:space="preserve">related identifiers only </w:t>
      </w:r>
      <w:r w:rsidRPr="006D2720">
        <w:rPr>
          <w:rFonts w:ascii="Times New Roman" w:hAnsi="Times New Roman" w:cs="Times New Roman"/>
        </w:rPr>
        <w:t xml:space="preserve">restricts the use of </w:t>
      </w:r>
      <w:r w:rsidR="00C71695" w:rsidRPr="006D2720">
        <w:rPr>
          <w:rFonts w:ascii="Times New Roman" w:hAnsi="Times New Roman" w:cs="Times New Roman"/>
        </w:rPr>
        <w:t>such</w:t>
      </w:r>
      <w:r w:rsidRPr="006D2720">
        <w:rPr>
          <w:rFonts w:ascii="Times New Roman" w:hAnsi="Times New Roman" w:cs="Times New Roman"/>
        </w:rPr>
        <w:t xml:space="preserve"> identifiers by </w:t>
      </w:r>
      <w:r w:rsidR="000E4B0C" w:rsidRPr="006D2720">
        <w:rPr>
          <w:rFonts w:ascii="Times New Roman" w:hAnsi="Times New Roman" w:cs="Times New Roman"/>
          <w:i/>
          <w:iCs/>
        </w:rPr>
        <w:t>non-government</w:t>
      </w:r>
      <w:r w:rsidR="000E4B0C" w:rsidRPr="006D2720">
        <w:rPr>
          <w:rFonts w:ascii="Times New Roman" w:hAnsi="Times New Roman" w:cs="Times New Roman"/>
        </w:rPr>
        <w:t xml:space="preserve"> organisations</w:t>
      </w:r>
      <w:r w:rsidR="00942C8A" w:rsidRPr="006D2720">
        <w:rPr>
          <w:rFonts w:ascii="Times New Roman" w:hAnsi="Times New Roman" w:cs="Times New Roman"/>
        </w:rPr>
        <w:t>.</w:t>
      </w:r>
      <w:r w:rsidR="000E4B0C" w:rsidRPr="006D2720">
        <w:rPr>
          <w:rFonts w:ascii="Times New Roman" w:hAnsi="Times New Roman" w:cs="Times New Roman"/>
        </w:rPr>
        <w:t xml:space="preserve"> </w:t>
      </w:r>
      <w:r w:rsidR="00804F55" w:rsidRPr="006D2720">
        <w:rPr>
          <w:rFonts w:ascii="Times New Roman" w:hAnsi="Times New Roman" w:cs="Times New Roman"/>
        </w:rPr>
        <w:t>Generally</w:t>
      </w:r>
      <w:r w:rsidR="4598AD43" w:rsidRPr="006D2720">
        <w:rPr>
          <w:rFonts w:ascii="Times New Roman" w:hAnsi="Times New Roman" w:cs="Times New Roman"/>
        </w:rPr>
        <w:t>,</w:t>
      </w:r>
      <w:r w:rsidR="00804F55" w:rsidRPr="006D2720">
        <w:rPr>
          <w:rFonts w:ascii="Times New Roman" w:hAnsi="Times New Roman" w:cs="Times New Roman"/>
        </w:rPr>
        <w:t xml:space="preserve"> </w:t>
      </w:r>
      <w:r w:rsidR="001143BB" w:rsidRPr="006D2720">
        <w:rPr>
          <w:rFonts w:ascii="Times New Roman" w:hAnsi="Times New Roman" w:cs="Times New Roman"/>
        </w:rPr>
        <w:t>government-</w:t>
      </w:r>
      <w:r w:rsidR="00804F55" w:rsidRPr="006D2720">
        <w:rPr>
          <w:rFonts w:ascii="Times New Roman" w:hAnsi="Times New Roman" w:cs="Times New Roman"/>
        </w:rPr>
        <w:t xml:space="preserve">related identifiers </w:t>
      </w:r>
      <w:r w:rsidR="00E868A0" w:rsidRPr="006D2720">
        <w:rPr>
          <w:rFonts w:ascii="Times New Roman" w:hAnsi="Times New Roman" w:cs="Times New Roman"/>
        </w:rPr>
        <w:t xml:space="preserve">cannot be adopted by </w:t>
      </w:r>
      <w:r w:rsidRPr="006D2720">
        <w:rPr>
          <w:rFonts w:ascii="Times New Roman" w:hAnsi="Times New Roman" w:cs="Times New Roman"/>
        </w:rPr>
        <w:t xml:space="preserve">non-government </w:t>
      </w:r>
      <w:r w:rsidR="00E868A0" w:rsidRPr="006D2720">
        <w:rPr>
          <w:rFonts w:ascii="Times New Roman" w:hAnsi="Times New Roman" w:cs="Times New Roman"/>
        </w:rPr>
        <w:t xml:space="preserve">organisations </w:t>
      </w:r>
      <w:r w:rsidR="00804F55" w:rsidRPr="006D2720">
        <w:rPr>
          <w:rFonts w:ascii="Times New Roman" w:hAnsi="Times New Roman" w:cs="Times New Roman"/>
        </w:rPr>
        <w:t>unless authorised by law</w:t>
      </w:r>
      <w:r w:rsidR="00E868A0" w:rsidRPr="006D2720">
        <w:rPr>
          <w:rFonts w:ascii="Times New Roman" w:hAnsi="Times New Roman" w:cs="Times New Roman"/>
        </w:rPr>
        <w:t>,</w:t>
      </w:r>
      <w:r w:rsidR="00C61940" w:rsidRPr="006D2720">
        <w:rPr>
          <w:rStyle w:val="FootnoteReference"/>
          <w:rFonts w:ascii="Times New Roman" w:hAnsi="Times New Roman" w:cs="Times New Roman"/>
        </w:rPr>
        <w:footnoteReference w:id="173"/>
      </w:r>
      <w:r w:rsidR="00E868A0" w:rsidRPr="006D2720">
        <w:rPr>
          <w:rFonts w:ascii="Times New Roman" w:hAnsi="Times New Roman" w:cs="Times New Roman"/>
        </w:rPr>
        <w:t xml:space="preserve"> and </w:t>
      </w:r>
      <w:r w:rsidR="008226E6" w:rsidRPr="006D2720">
        <w:rPr>
          <w:rFonts w:ascii="Times New Roman" w:hAnsi="Times New Roman" w:cs="Times New Roman"/>
        </w:rPr>
        <w:t xml:space="preserve">cannot </w:t>
      </w:r>
      <w:r w:rsidR="00E868A0" w:rsidRPr="006D2720">
        <w:rPr>
          <w:rFonts w:ascii="Times New Roman" w:hAnsi="Times New Roman" w:cs="Times New Roman"/>
        </w:rPr>
        <w:t xml:space="preserve">be used or disclosed unless </w:t>
      </w:r>
      <w:r w:rsidR="00A07D47" w:rsidRPr="006D2720">
        <w:rPr>
          <w:rFonts w:ascii="Times New Roman" w:hAnsi="Times New Roman" w:cs="Times New Roman"/>
        </w:rPr>
        <w:t>it is:</w:t>
      </w:r>
    </w:p>
    <w:p w14:paraId="339E5422" w14:textId="77777777" w:rsidR="00A07D47" w:rsidRPr="006D2720" w:rsidRDefault="00C45187" w:rsidP="00A07D47">
      <w:pPr>
        <w:pStyle w:val="Dotpointlist"/>
        <w:rPr>
          <w:rFonts w:ascii="Times New Roman" w:hAnsi="Times New Roman" w:cs="Times New Roman"/>
        </w:rPr>
      </w:pPr>
      <w:r w:rsidRPr="006D2720">
        <w:rPr>
          <w:rFonts w:ascii="Times New Roman" w:hAnsi="Times New Roman" w:cs="Times New Roman"/>
        </w:rPr>
        <w:t>reasonably necessary to verify identification for the purposes of its activities or functions</w:t>
      </w:r>
      <w:r w:rsidR="00A07D47" w:rsidRPr="006D2720">
        <w:rPr>
          <w:rFonts w:ascii="Times New Roman" w:hAnsi="Times New Roman" w:cs="Times New Roman"/>
        </w:rPr>
        <w:t>;</w:t>
      </w:r>
    </w:p>
    <w:p w14:paraId="02202E59" w14:textId="71AD2FB8" w:rsidR="00A07D47" w:rsidRPr="006D2720" w:rsidRDefault="00A07D47" w:rsidP="00A07D47">
      <w:pPr>
        <w:pStyle w:val="Dotpointlist"/>
        <w:rPr>
          <w:rFonts w:ascii="Times New Roman" w:hAnsi="Times New Roman" w:cs="Times New Roman"/>
        </w:rPr>
      </w:pPr>
      <w:r w:rsidRPr="006D2720">
        <w:rPr>
          <w:rFonts w:ascii="Times New Roman" w:hAnsi="Times New Roman" w:cs="Times New Roman"/>
        </w:rPr>
        <w:t xml:space="preserve">done in order to </w:t>
      </w:r>
      <w:r w:rsidR="007F2334" w:rsidRPr="006D2720">
        <w:rPr>
          <w:rFonts w:ascii="Times New Roman" w:hAnsi="Times New Roman" w:cs="Times New Roman"/>
        </w:rPr>
        <w:t xml:space="preserve">fulfill obligations to </w:t>
      </w:r>
      <w:r w:rsidR="003F2EA9" w:rsidRPr="006D2720">
        <w:rPr>
          <w:rFonts w:ascii="Times New Roman" w:hAnsi="Times New Roman" w:cs="Times New Roman"/>
        </w:rPr>
        <w:t>s</w:t>
      </w:r>
      <w:r w:rsidR="007F2334" w:rsidRPr="006D2720">
        <w:rPr>
          <w:rFonts w:ascii="Times New Roman" w:hAnsi="Times New Roman" w:cs="Times New Roman"/>
        </w:rPr>
        <w:t xml:space="preserve">tate or </w:t>
      </w:r>
      <w:r w:rsidR="003F2EA9" w:rsidRPr="006D2720">
        <w:rPr>
          <w:rFonts w:ascii="Times New Roman" w:hAnsi="Times New Roman" w:cs="Times New Roman"/>
        </w:rPr>
        <w:t>t</w:t>
      </w:r>
      <w:r w:rsidR="007F2334" w:rsidRPr="006D2720">
        <w:rPr>
          <w:rFonts w:ascii="Times New Roman" w:hAnsi="Times New Roman" w:cs="Times New Roman"/>
        </w:rPr>
        <w:t>erritory authorities</w:t>
      </w:r>
      <w:r w:rsidRPr="006D2720">
        <w:rPr>
          <w:rFonts w:ascii="Times New Roman" w:hAnsi="Times New Roman" w:cs="Times New Roman"/>
        </w:rPr>
        <w:t>;</w:t>
      </w:r>
    </w:p>
    <w:p w14:paraId="725DA04E" w14:textId="4B733570" w:rsidR="00A07D47" w:rsidRPr="006D2720" w:rsidRDefault="007F2334" w:rsidP="00A07D47">
      <w:pPr>
        <w:pStyle w:val="Dotpointlist"/>
        <w:rPr>
          <w:rFonts w:ascii="Times New Roman" w:hAnsi="Times New Roman" w:cs="Times New Roman"/>
        </w:rPr>
      </w:pPr>
      <w:r w:rsidRPr="006D2720">
        <w:rPr>
          <w:rFonts w:ascii="Times New Roman" w:hAnsi="Times New Roman" w:cs="Times New Roman"/>
        </w:rPr>
        <w:t>required under law or</w:t>
      </w:r>
      <w:r w:rsidR="00A07D47" w:rsidRPr="006D2720">
        <w:rPr>
          <w:rFonts w:ascii="Times New Roman" w:hAnsi="Times New Roman" w:cs="Times New Roman"/>
        </w:rPr>
        <w:t xml:space="preserve"> a</w:t>
      </w:r>
      <w:r w:rsidRPr="006D2720">
        <w:rPr>
          <w:rFonts w:ascii="Times New Roman" w:hAnsi="Times New Roman" w:cs="Times New Roman"/>
        </w:rPr>
        <w:t xml:space="preserve"> court or tribunal order</w:t>
      </w:r>
      <w:r w:rsidR="00A07D47" w:rsidRPr="006D2720">
        <w:rPr>
          <w:rFonts w:ascii="Times New Roman" w:hAnsi="Times New Roman" w:cs="Times New Roman"/>
        </w:rPr>
        <w:t>;</w:t>
      </w:r>
    </w:p>
    <w:p w14:paraId="1126B631" w14:textId="6F07654A" w:rsidR="004C3D90" w:rsidRPr="006D2720" w:rsidRDefault="006E7B54" w:rsidP="00A07D47">
      <w:pPr>
        <w:pStyle w:val="Dotpointlist"/>
        <w:rPr>
          <w:rFonts w:ascii="Times New Roman" w:hAnsi="Times New Roman" w:cs="Times New Roman"/>
        </w:rPr>
      </w:pPr>
      <w:r w:rsidRPr="006D2720">
        <w:rPr>
          <w:rFonts w:ascii="Times New Roman" w:hAnsi="Times New Roman" w:cs="Times New Roman"/>
        </w:rPr>
        <w:t xml:space="preserve">a </w:t>
      </w:r>
      <w:r w:rsidR="00A6151F" w:rsidRPr="006D2720">
        <w:rPr>
          <w:rFonts w:ascii="Times New Roman" w:hAnsi="Times New Roman" w:cs="Times New Roman"/>
        </w:rPr>
        <w:t>situation</w:t>
      </w:r>
      <w:r w:rsidR="003D3FD8" w:rsidRPr="006D2720">
        <w:rPr>
          <w:rFonts w:ascii="Times New Roman" w:hAnsi="Times New Roman" w:cs="Times New Roman"/>
        </w:rPr>
        <w:t xml:space="preserve"> that </w:t>
      </w:r>
      <w:r w:rsidR="000D761C" w:rsidRPr="006D2720">
        <w:rPr>
          <w:rFonts w:ascii="Times New Roman" w:hAnsi="Times New Roman" w:cs="Times New Roman"/>
        </w:rPr>
        <w:t>constitutes a ‘</w:t>
      </w:r>
      <w:r w:rsidR="00A60BAB" w:rsidRPr="006D2720">
        <w:rPr>
          <w:rFonts w:ascii="Times New Roman" w:hAnsi="Times New Roman" w:cs="Times New Roman"/>
        </w:rPr>
        <w:t>permitted general situation</w:t>
      </w:r>
      <w:r w:rsidR="000D761C" w:rsidRPr="006D2720">
        <w:rPr>
          <w:rFonts w:ascii="Times New Roman" w:hAnsi="Times New Roman" w:cs="Times New Roman"/>
        </w:rPr>
        <w:t>’</w:t>
      </w:r>
      <w:r w:rsidR="00155184" w:rsidRPr="006D2720">
        <w:rPr>
          <w:rFonts w:ascii="Times New Roman" w:hAnsi="Times New Roman" w:cs="Times New Roman"/>
        </w:rPr>
        <w:t xml:space="preserve"> where information </w:t>
      </w:r>
      <w:r w:rsidR="006D2B58" w:rsidRPr="006D2720">
        <w:rPr>
          <w:rFonts w:ascii="Times New Roman" w:hAnsi="Times New Roman" w:cs="Times New Roman"/>
        </w:rPr>
        <w:t xml:space="preserve">or identifiers </w:t>
      </w:r>
      <w:r w:rsidR="00155184" w:rsidRPr="006D2720">
        <w:rPr>
          <w:rFonts w:ascii="Times New Roman" w:hAnsi="Times New Roman" w:cs="Times New Roman"/>
        </w:rPr>
        <w:t>can be used</w:t>
      </w:r>
      <w:r w:rsidR="0022330F" w:rsidRPr="006D2720">
        <w:rPr>
          <w:rFonts w:ascii="Times New Roman" w:hAnsi="Times New Roman" w:cs="Times New Roman"/>
        </w:rPr>
        <w:t xml:space="preserve"> or </w:t>
      </w:r>
      <w:r w:rsidR="00155184" w:rsidRPr="006D2720">
        <w:rPr>
          <w:rFonts w:ascii="Times New Roman" w:hAnsi="Times New Roman" w:cs="Times New Roman"/>
        </w:rPr>
        <w:t>disclosed</w:t>
      </w:r>
      <w:r w:rsidR="004C3D90" w:rsidRPr="006D2720">
        <w:rPr>
          <w:rFonts w:ascii="Times New Roman" w:hAnsi="Times New Roman" w:cs="Times New Roman"/>
        </w:rPr>
        <w:t>;</w:t>
      </w:r>
      <w:r w:rsidR="008F1540" w:rsidRPr="006D2720">
        <w:rPr>
          <w:rStyle w:val="FootnoteReference"/>
          <w:rFonts w:ascii="Times New Roman" w:hAnsi="Times New Roman" w:cs="Times New Roman"/>
        </w:rPr>
        <w:footnoteReference w:id="174"/>
      </w:r>
      <w:r w:rsidR="00FD3E6F" w:rsidRPr="006D2720">
        <w:rPr>
          <w:rFonts w:ascii="Times New Roman" w:hAnsi="Times New Roman" w:cs="Times New Roman"/>
        </w:rPr>
        <w:t xml:space="preserve"> or</w:t>
      </w:r>
    </w:p>
    <w:p w14:paraId="3E1A6F0B" w14:textId="2A78996B" w:rsidR="00A07D47" w:rsidRPr="006D2720" w:rsidRDefault="001A178C" w:rsidP="00A07D47">
      <w:pPr>
        <w:pStyle w:val="Dotpointlist"/>
        <w:rPr>
          <w:rFonts w:ascii="Times New Roman" w:hAnsi="Times New Roman" w:cs="Times New Roman"/>
        </w:rPr>
      </w:pPr>
      <w:r w:rsidRPr="006D2720">
        <w:rPr>
          <w:rFonts w:ascii="Times New Roman" w:hAnsi="Times New Roman" w:cs="Times New Roman"/>
        </w:rPr>
        <w:t>reasonably believed to be necessary for an enforcement activity conducted by or on behalf of an enforcement body</w:t>
      </w:r>
      <w:r w:rsidR="005D3D9B" w:rsidRPr="006D2720">
        <w:rPr>
          <w:rFonts w:ascii="Times New Roman" w:hAnsi="Times New Roman" w:cs="Times New Roman"/>
        </w:rPr>
        <w:t>.</w:t>
      </w:r>
      <w:r w:rsidR="008206C4" w:rsidRPr="006D2720">
        <w:rPr>
          <w:rFonts w:ascii="Times New Roman" w:hAnsi="Times New Roman" w:cs="Times New Roman"/>
        </w:rPr>
        <w:t xml:space="preserve"> </w:t>
      </w:r>
    </w:p>
    <w:p w14:paraId="65119877" w14:textId="5AFADCD7" w:rsidR="0021161B" w:rsidRPr="006D2720" w:rsidRDefault="00CD0E52" w:rsidP="0066337D">
      <w:pPr>
        <w:pStyle w:val="Heading3"/>
        <w:rPr>
          <w:rFonts w:ascii="Times New Roman" w:hAnsi="Times New Roman" w:cs="Times New Roman"/>
        </w:rPr>
      </w:pPr>
      <w:r w:rsidRPr="006D2720">
        <w:rPr>
          <w:rFonts w:ascii="Times New Roman" w:hAnsi="Times New Roman" w:cs="Times New Roman"/>
        </w:rPr>
        <w:t xml:space="preserve">In contrast to the rules </w:t>
      </w:r>
      <w:r w:rsidR="004C6A65" w:rsidRPr="006D2720">
        <w:rPr>
          <w:rFonts w:ascii="Times New Roman" w:hAnsi="Times New Roman" w:cs="Times New Roman"/>
        </w:rPr>
        <w:t>restricting</w:t>
      </w:r>
      <w:r w:rsidRPr="006D2720">
        <w:rPr>
          <w:rFonts w:ascii="Times New Roman" w:hAnsi="Times New Roman" w:cs="Times New Roman"/>
        </w:rPr>
        <w:t xml:space="preserve"> </w:t>
      </w:r>
      <w:r w:rsidR="004C6A65" w:rsidRPr="006D2720">
        <w:rPr>
          <w:rFonts w:ascii="Times New Roman" w:hAnsi="Times New Roman" w:cs="Times New Roman"/>
        </w:rPr>
        <w:t xml:space="preserve">the </w:t>
      </w:r>
      <w:r w:rsidRPr="006D2720">
        <w:rPr>
          <w:rFonts w:ascii="Times New Roman" w:hAnsi="Times New Roman" w:cs="Times New Roman"/>
        </w:rPr>
        <w:t xml:space="preserve">use of identifiers by non-government organisations, </w:t>
      </w:r>
      <w:r w:rsidR="00E46DCD" w:rsidRPr="006D2720">
        <w:rPr>
          <w:rFonts w:ascii="Times New Roman" w:hAnsi="Times New Roman" w:cs="Times New Roman"/>
        </w:rPr>
        <w:t>the</w:t>
      </w:r>
      <w:r w:rsidRPr="006D2720">
        <w:rPr>
          <w:rFonts w:ascii="Times New Roman" w:hAnsi="Times New Roman" w:cs="Times New Roman"/>
        </w:rPr>
        <w:t xml:space="preserve"> use </w:t>
      </w:r>
      <w:r w:rsidR="00E46DCD" w:rsidRPr="006D2720">
        <w:rPr>
          <w:rFonts w:ascii="Times New Roman" w:hAnsi="Times New Roman" w:cs="Times New Roman"/>
        </w:rPr>
        <w:t xml:space="preserve">of </w:t>
      </w:r>
      <w:r w:rsidR="00387AB2" w:rsidRPr="006D2720">
        <w:rPr>
          <w:rFonts w:ascii="Times New Roman" w:hAnsi="Times New Roman" w:cs="Times New Roman"/>
        </w:rPr>
        <w:t>identifiers</w:t>
      </w:r>
      <w:r w:rsidR="00E46DCD" w:rsidRPr="006D2720">
        <w:rPr>
          <w:rFonts w:ascii="Times New Roman" w:hAnsi="Times New Roman" w:cs="Times New Roman"/>
        </w:rPr>
        <w:t xml:space="preserve"> </w:t>
      </w:r>
      <w:r w:rsidRPr="006D2720">
        <w:rPr>
          <w:rFonts w:ascii="Times New Roman" w:hAnsi="Times New Roman" w:cs="Times New Roman"/>
        </w:rPr>
        <w:t>by</w:t>
      </w:r>
      <w:r w:rsidR="008206C4" w:rsidRPr="006D2720">
        <w:rPr>
          <w:rFonts w:ascii="Times New Roman" w:hAnsi="Times New Roman" w:cs="Times New Roman"/>
        </w:rPr>
        <w:t xml:space="preserve"> </w:t>
      </w:r>
      <w:r w:rsidR="008206C4" w:rsidRPr="006D2720">
        <w:rPr>
          <w:rFonts w:ascii="Times New Roman" w:hAnsi="Times New Roman" w:cs="Times New Roman"/>
          <w:i/>
          <w:iCs/>
        </w:rPr>
        <w:t>government</w:t>
      </w:r>
      <w:r w:rsidR="008206C4" w:rsidRPr="006D2720">
        <w:rPr>
          <w:rFonts w:ascii="Times New Roman" w:hAnsi="Times New Roman" w:cs="Times New Roman"/>
        </w:rPr>
        <w:t xml:space="preserve"> </w:t>
      </w:r>
      <w:r w:rsidR="00A07D47" w:rsidRPr="006D2720">
        <w:rPr>
          <w:rFonts w:ascii="Times New Roman" w:hAnsi="Times New Roman" w:cs="Times New Roman"/>
        </w:rPr>
        <w:t>organisations</w:t>
      </w:r>
      <w:r w:rsidRPr="006D2720">
        <w:rPr>
          <w:rFonts w:ascii="Times New Roman" w:hAnsi="Times New Roman" w:cs="Times New Roman"/>
        </w:rPr>
        <w:t xml:space="preserve"> </w:t>
      </w:r>
      <w:r w:rsidR="008206C4" w:rsidRPr="006D2720">
        <w:rPr>
          <w:rFonts w:ascii="Times New Roman" w:hAnsi="Times New Roman" w:cs="Times New Roman"/>
        </w:rPr>
        <w:t xml:space="preserve">are generally subject to the APPs </w:t>
      </w:r>
      <w:r w:rsidR="008206C4" w:rsidRPr="006D2720">
        <w:rPr>
          <w:rFonts w:ascii="Times New Roman" w:hAnsi="Times New Roman" w:cs="Times New Roman"/>
          <w:color w:val="auto"/>
        </w:rPr>
        <w:t xml:space="preserve">only where </w:t>
      </w:r>
      <w:r w:rsidR="008A30FE" w:rsidRPr="006D2720">
        <w:rPr>
          <w:rFonts w:ascii="Times New Roman" w:hAnsi="Times New Roman" w:cs="Times New Roman"/>
        </w:rPr>
        <w:t>identifiers</w:t>
      </w:r>
      <w:r w:rsidR="008A30FE" w:rsidRPr="006D2720">
        <w:rPr>
          <w:rFonts w:ascii="Times New Roman" w:hAnsi="Times New Roman" w:cs="Times New Roman"/>
          <w:color w:val="auto"/>
        </w:rPr>
        <w:t xml:space="preserve"> </w:t>
      </w:r>
      <w:r w:rsidR="008206C4" w:rsidRPr="006D2720">
        <w:rPr>
          <w:rFonts w:ascii="Times New Roman" w:hAnsi="Times New Roman" w:cs="Times New Roman"/>
          <w:color w:val="auto"/>
        </w:rPr>
        <w:t>amount to personal information</w:t>
      </w:r>
      <w:r w:rsidR="008206C4" w:rsidRPr="006D2720">
        <w:rPr>
          <w:rFonts w:ascii="Times New Roman" w:hAnsi="Times New Roman" w:cs="Times New Roman"/>
        </w:rPr>
        <w:t>.</w:t>
      </w:r>
    </w:p>
    <w:p w14:paraId="1B81B09D" w14:textId="0E4E8887" w:rsidR="005D3D9B" w:rsidRPr="006D2720" w:rsidRDefault="005D3D9B" w:rsidP="00BF551D">
      <w:pPr>
        <w:keepNext/>
        <w:rPr>
          <w:rFonts w:ascii="Times New Roman" w:hAnsi="Times New Roman" w:cs="Times New Roman"/>
          <w:b/>
          <w:bCs/>
          <w:i/>
          <w:iCs/>
        </w:rPr>
      </w:pPr>
      <w:r w:rsidRPr="006D2720">
        <w:rPr>
          <w:rFonts w:ascii="Times New Roman" w:hAnsi="Times New Roman" w:cs="Times New Roman"/>
          <w:b/>
          <w:bCs/>
          <w:i/>
          <w:iCs/>
        </w:rPr>
        <w:t>Anonymity</w:t>
      </w:r>
    </w:p>
    <w:p w14:paraId="77E74DA1" w14:textId="4826D605" w:rsidR="00A74AB0" w:rsidRPr="006D2720" w:rsidRDefault="002658C6" w:rsidP="0066337D">
      <w:pPr>
        <w:pStyle w:val="Heading3"/>
        <w:rPr>
          <w:rFonts w:ascii="Times New Roman" w:hAnsi="Times New Roman" w:cs="Times New Roman"/>
        </w:rPr>
      </w:pPr>
      <w:r w:rsidRPr="006D2720">
        <w:rPr>
          <w:rFonts w:ascii="Times New Roman" w:hAnsi="Times New Roman" w:cs="Times New Roman"/>
        </w:rPr>
        <w:t xml:space="preserve">Under Tasmanian law, </w:t>
      </w:r>
      <w:r w:rsidR="009A11E4" w:rsidRPr="006D2720">
        <w:rPr>
          <w:rFonts w:ascii="Times New Roman" w:hAnsi="Times New Roman" w:cs="Times New Roman"/>
        </w:rPr>
        <w:t>PIPP 8 states that ‘[w]herever it is lawful and practicable, individuals must have the option of not identifying themselves when entering transactions with a personal information custodian</w:t>
      </w:r>
      <w:r w:rsidR="00137AB5" w:rsidRPr="006D2720">
        <w:rPr>
          <w:rFonts w:ascii="Times New Roman" w:hAnsi="Times New Roman" w:cs="Times New Roman"/>
        </w:rPr>
        <w:t>’</w:t>
      </w:r>
      <w:r w:rsidR="009A11E4" w:rsidRPr="006D2720">
        <w:rPr>
          <w:rFonts w:ascii="Times New Roman" w:hAnsi="Times New Roman" w:cs="Times New Roman"/>
        </w:rPr>
        <w:t>.</w:t>
      </w:r>
    </w:p>
    <w:p w14:paraId="516134C5" w14:textId="2A4C58E2" w:rsidR="009A11E4" w:rsidRPr="006D2720" w:rsidRDefault="002658C6" w:rsidP="0066337D">
      <w:pPr>
        <w:pStyle w:val="Heading3"/>
        <w:rPr>
          <w:rFonts w:ascii="Times New Roman" w:hAnsi="Times New Roman" w:cs="Times New Roman"/>
        </w:rPr>
      </w:pPr>
      <w:r w:rsidRPr="006D2720">
        <w:rPr>
          <w:rFonts w:ascii="Times New Roman" w:hAnsi="Times New Roman" w:cs="Times New Roman"/>
        </w:rPr>
        <w:t>Under</w:t>
      </w:r>
      <w:r w:rsidR="00C96C07" w:rsidRPr="006D2720">
        <w:rPr>
          <w:rFonts w:ascii="Times New Roman" w:hAnsi="Times New Roman" w:cs="Times New Roman"/>
        </w:rPr>
        <w:t xml:space="preserve"> Commonwealth </w:t>
      </w:r>
      <w:r w:rsidRPr="006D2720">
        <w:rPr>
          <w:rFonts w:ascii="Times New Roman" w:hAnsi="Times New Roman" w:cs="Times New Roman"/>
        </w:rPr>
        <w:t>law</w:t>
      </w:r>
      <w:r w:rsidR="00C96C07" w:rsidRPr="006D2720">
        <w:rPr>
          <w:rFonts w:ascii="Times New Roman" w:hAnsi="Times New Roman" w:cs="Times New Roman"/>
        </w:rPr>
        <w:t xml:space="preserve">, </w:t>
      </w:r>
      <w:r w:rsidR="00EF0A69" w:rsidRPr="006D2720">
        <w:rPr>
          <w:rFonts w:ascii="Times New Roman" w:hAnsi="Times New Roman" w:cs="Times New Roman"/>
        </w:rPr>
        <w:t xml:space="preserve">APP 2 </w:t>
      </w:r>
      <w:r w:rsidR="00B337DD" w:rsidRPr="006D2720">
        <w:rPr>
          <w:rFonts w:ascii="Times New Roman" w:hAnsi="Times New Roman" w:cs="Times New Roman"/>
        </w:rPr>
        <w:t xml:space="preserve">on </w:t>
      </w:r>
      <w:r w:rsidR="00EF0A69" w:rsidRPr="006D2720">
        <w:rPr>
          <w:rFonts w:ascii="Times New Roman" w:hAnsi="Times New Roman" w:cs="Times New Roman"/>
        </w:rPr>
        <w:t>anonymity and pseudonymity adds the option of using a ps</w:t>
      </w:r>
      <w:r w:rsidR="00235E21" w:rsidRPr="006D2720">
        <w:rPr>
          <w:rFonts w:ascii="Times New Roman" w:hAnsi="Times New Roman" w:cs="Times New Roman"/>
        </w:rPr>
        <w:t>eudonym</w:t>
      </w:r>
      <w:r w:rsidR="00083B4C" w:rsidRPr="006D2720">
        <w:rPr>
          <w:rFonts w:ascii="Times New Roman" w:hAnsi="Times New Roman" w:cs="Times New Roman"/>
        </w:rPr>
        <w:t>. T</w:t>
      </w:r>
      <w:r w:rsidR="001C432A" w:rsidRPr="006D2720">
        <w:rPr>
          <w:rFonts w:ascii="Times New Roman" w:hAnsi="Times New Roman" w:cs="Times New Roman"/>
        </w:rPr>
        <w:t>h</w:t>
      </w:r>
      <w:r w:rsidR="00083B4C" w:rsidRPr="006D2720">
        <w:rPr>
          <w:rFonts w:ascii="Times New Roman" w:hAnsi="Times New Roman" w:cs="Times New Roman"/>
        </w:rPr>
        <w:t>is</w:t>
      </w:r>
      <w:r w:rsidR="00235E21" w:rsidRPr="006D2720">
        <w:rPr>
          <w:rFonts w:ascii="Times New Roman" w:hAnsi="Times New Roman" w:cs="Times New Roman"/>
        </w:rPr>
        <w:t xml:space="preserve"> may extend the range of lawful and practicable options available </w:t>
      </w:r>
      <w:r w:rsidR="00F878E1" w:rsidRPr="006D2720">
        <w:rPr>
          <w:rFonts w:ascii="Times New Roman" w:hAnsi="Times New Roman" w:cs="Times New Roman"/>
        </w:rPr>
        <w:t xml:space="preserve">to individuals seeking </w:t>
      </w:r>
      <w:r w:rsidR="00235E21" w:rsidRPr="006D2720">
        <w:rPr>
          <w:rFonts w:ascii="Times New Roman" w:hAnsi="Times New Roman" w:cs="Times New Roman"/>
        </w:rPr>
        <w:t>to avoid identification</w:t>
      </w:r>
      <w:r w:rsidR="00FA0CD9" w:rsidRPr="006D2720">
        <w:rPr>
          <w:rFonts w:ascii="Times New Roman" w:hAnsi="Times New Roman" w:cs="Times New Roman"/>
        </w:rPr>
        <w:t xml:space="preserve">. </w:t>
      </w:r>
      <w:r w:rsidR="00B1002B" w:rsidRPr="006D2720">
        <w:rPr>
          <w:rFonts w:ascii="Times New Roman" w:hAnsi="Times New Roman" w:cs="Times New Roman"/>
        </w:rPr>
        <w:t>However, a</w:t>
      </w:r>
      <w:r w:rsidR="00021D9D" w:rsidRPr="006D2720">
        <w:rPr>
          <w:rFonts w:ascii="Times New Roman" w:hAnsi="Times New Roman" w:cs="Times New Roman"/>
        </w:rPr>
        <w:t>s discussed above</w:t>
      </w:r>
      <w:r w:rsidR="00B1002B" w:rsidRPr="006D2720">
        <w:rPr>
          <w:rFonts w:ascii="Times New Roman" w:hAnsi="Times New Roman" w:cs="Times New Roman"/>
        </w:rPr>
        <w:t xml:space="preserve"> at </w:t>
      </w:r>
      <w:r w:rsidR="00D332F8" w:rsidRPr="006D2720">
        <w:rPr>
          <w:rFonts w:ascii="Times New Roman" w:hAnsi="Times New Roman" w:cs="Times New Roman"/>
        </w:rPr>
        <w:t>[</w:t>
      </w:r>
      <w:r w:rsidR="00B1002B" w:rsidRPr="006D2720">
        <w:rPr>
          <w:rFonts w:ascii="Times New Roman" w:hAnsi="Times New Roman" w:cs="Times New Roman"/>
        </w:rPr>
        <w:fldChar w:fldCharType="begin"/>
      </w:r>
      <w:r w:rsidR="00B1002B" w:rsidRPr="006D2720">
        <w:rPr>
          <w:rFonts w:ascii="Times New Roman" w:hAnsi="Times New Roman" w:cs="Times New Roman"/>
        </w:rPr>
        <w:instrText xml:space="preserve"> REF _Ref90068520 \r \h </w:instrText>
      </w:r>
      <w:r w:rsidR="00A660A0" w:rsidRPr="006D2720">
        <w:rPr>
          <w:rFonts w:ascii="Times New Roman" w:hAnsi="Times New Roman" w:cs="Times New Roman"/>
        </w:rPr>
        <w:instrText xml:space="preserve"> \* MERGEFORMAT </w:instrText>
      </w:r>
      <w:r w:rsidR="00B1002B" w:rsidRPr="006D2720">
        <w:rPr>
          <w:rFonts w:ascii="Times New Roman" w:hAnsi="Times New Roman" w:cs="Times New Roman"/>
        </w:rPr>
      </w:r>
      <w:r w:rsidR="00B1002B" w:rsidRPr="006D2720">
        <w:rPr>
          <w:rFonts w:ascii="Times New Roman" w:hAnsi="Times New Roman" w:cs="Times New Roman"/>
        </w:rPr>
        <w:fldChar w:fldCharType="separate"/>
      </w:r>
      <w:r w:rsidR="00E66B60">
        <w:rPr>
          <w:rFonts w:ascii="Times New Roman" w:hAnsi="Times New Roman" w:cs="Times New Roman"/>
        </w:rPr>
        <w:t>2.2.23</w:t>
      </w:r>
      <w:r w:rsidR="00B1002B" w:rsidRPr="006D2720">
        <w:rPr>
          <w:rFonts w:ascii="Times New Roman" w:hAnsi="Times New Roman" w:cs="Times New Roman"/>
        </w:rPr>
        <w:fldChar w:fldCharType="end"/>
      </w:r>
      <w:r w:rsidR="00D332F8" w:rsidRPr="006D2720">
        <w:rPr>
          <w:rFonts w:ascii="Times New Roman" w:hAnsi="Times New Roman" w:cs="Times New Roman"/>
        </w:rPr>
        <w:t>]</w:t>
      </w:r>
      <w:r w:rsidR="00B1002B" w:rsidRPr="006D2720">
        <w:rPr>
          <w:rFonts w:ascii="Times New Roman" w:hAnsi="Times New Roman" w:cs="Times New Roman"/>
        </w:rPr>
        <w:t xml:space="preserve"> regarding de-identification</w:t>
      </w:r>
      <w:r w:rsidR="00021D9D" w:rsidRPr="006D2720">
        <w:rPr>
          <w:rFonts w:ascii="Times New Roman" w:hAnsi="Times New Roman" w:cs="Times New Roman"/>
        </w:rPr>
        <w:t xml:space="preserve">, pseudonymous information may no longer be considered </w:t>
      </w:r>
      <w:r w:rsidR="00115248" w:rsidRPr="006D2720">
        <w:rPr>
          <w:rFonts w:ascii="Times New Roman" w:hAnsi="Times New Roman" w:cs="Times New Roman"/>
        </w:rPr>
        <w:t>‘</w:t>
      </w:r>
      <w:r w:rsidR="00021D9D" w:rsidRPr="006D2720">
        <w:rPr>
          <w:rFonts w:ascii="Times New Roman" w:hAnsi="Times New Roman" w:cs="Times New Roman"/>
        </w:rPr>
        <w:t>personal information</w:t>
      </w:r>
      <w:r w:rsidR="00115248" w:rsidRPr="006D2720">
        <w:rPr>
          <w:rFonts w:ascii="Times New Roman" w:hAnsi="Times New Roman" w:cs="Times New Roman"/>
        </w:rPr>
        <w:t>’</w:t>
      </w:r>
      <w:r w:rsidR="000D2C2D" w:rsidRPr="006D2720">
        <w:rPr>
          <w:rFonts w:ascii="Times New Roman" w:hAnsi="Times New Roman" w:cs="Times New Roman"/>
        </w:rPr>
        <w:t xml:space="preserve">, since </w:t>
      </w:r>
      <w:r w:rsidR="00E038FD" w:rsidRPr="006D2720">
        <w:rPr>
          <w:rFonts w:ascii="Times New Roman" w:hAnsi="Times New Roman" w:cs="Times New Roman"/>
        </w:rPr>
        <w:t>the identity of an individual is no longer apparent or reasonably ascertainable</w:t>
      </w:r>
      <w:r w:rsidR="000D2C2D" w:rsidRPr="006D2720">
        <w:rPr>
          <w:rFonts w:ascii="Times New Roman" w:hAnsi="Times New Roman" w:cs="Times New Roman"/>
        </w:rPr>
        <w:t xml:space="preserve">. If this is the case, then it will </w:t>
      </w:r>
      <w:r w:rsidR="00021D9D" w:rsidRPr="006D2720">
        <w:rPr>
          <w:rFonts w:ascii="Times New Roman" w:hAnsi="Times New Roman" w:cs="Times New Roman"/>
        </w:rPr>
        <w:t xml:space="preserve">no longer </w:t>
      </w:r>
      <w:r w:rsidR="00ED4BED" w:rsidRPr="006D2720">
        <w:rPr>
          <w:rFonts w:ascii="Times New Roman" w:hAnsi="Times New Roman" w:cs="Times New Roman"/>
        </w:rPr>
        <w:t xml:space="preserve">be protected </w:t>
      </w:r>
      <w:r w:rsidR="00021D9D" w:rsidRPr="006D2720">
        <w:rPr>
          <w:rFonts w:ascii="Times New Roman" w:hAnsi="Times New Roman" w:cs="Times New Roman"/>
        </w:rPr>
        <w:t xml:space="preserve">under the </w:t>
      </w:r>
      <w:r w:rsidR="00021D9D" w:rsidRPr="006D2720">
        <w:rPr>
          <w:rFonts w:ascii="Times New Roman" w:hAnsi="Times New Roman" w:cs="Times New Roman"/>
          <w:i/>
          <w:iCs/>
        </w:rPr>
        <w:t>Privacy Act</w:t>
      </w:r>
      <w:r w:rsidR="00021D9D" w:rsidRPr="006D2720">
        <w:rPr>
          <w:rFonts w:ascii="Times New Roman" w:hAnsi="Times New Roman" w:cs="Times New Roman"/>
        </w:rPr>
        <w:t xml:space="preserve"> or the </w:t>
      </w:r>
      <w:r w:rsidR="003956A1" w:rsidRPr="006D2720">
        <w:rPr>
          <w:rFonts w:ascii="Times New Roman" w:hAnsi="Times New Roman" w:cs="Times New Roman"/>
        </w:rPr>
        <w:t>PIPA</w:t>
      </w:r>
      <w:r w:rsidR="00021D9D" w:rsidRPr="006D2720">
        <w:rPr>
          <w:rFonts w:ascii="Times New Roman" w:hAnsi="Times New Roman" w:cs="Times New Roman"/>
        </w:rPr>
        <w:t xml:space="preserve">. </w:t>
      </w:r>
    </w:p>
    <w:p w14:paraId="0B05E1A0" w14:textId="05FC6104" w:rsidR="0065708B" w:rsidRPr="006D2720" w:rsidRDefault="0065708B" w:rsidP="00386071">
      <w:pPr>
        <w:rPr>
          <w:rFonts w:ascii="Times New Roman" w:hAnsi="Times New Roman" w:cs="Times New Roman"/>
          <w:b/>
          <w:bCs/>
          <w:i/>
          <w:iCs/>
        </w:rPr>
      </w:pPr>
      <w:r w:rsidRPr="006D2720">
        <w:rPr>
          <w:rFonts w:ascii="Times New Roman" w:hAnsi="Times New Roman" w:cs="Times New Roman"/>
          <w:b/>
          <w:bCs/>
          <w:i/>
          <w:iCs/>
        </w:rPr>
        <w:t>Disclosure of information outside Tasmania</w:t>
      </w:r>
    </w:p>
    <w:p w14:paraId="5B557618" w14:textId="475DB43E" w:rsidR="00F73BD3" w:rsidRPr="006D2720" w:rsidRDefault="002658C6" w:rsidP="0066337D">
      <w:pPr>
        <w:pStyle w:val="Heading3"/>
        <w:rPr>
          <w:rFonts w:ascii="Times New Roman" w:hAnsi="Times New Roman" w:cs="Times New Roman"/>
        </w:rPr>
      </w:pPr>
      <w:r w:rsidRPr="006D2720">
        <w:rPr>
          <w:rFonts w:ascii="Times New Roman" w:hAnsi="Times New Roman" w:cs="Times New Roman"/>
        </w:rPr>
        <w:t>Under Tasmanian law, i</w:t>
      </w:r>
      <w:r w:rsidR="00387AB2" w:rsidRPr="006D2720">
        <w:rPr>
          <w:rFonts w:ascii="Times New Roman" w:hAnsi="Times New Roman" w:cs="Times New Roman"/>
        </w:rPr>
        <w:t xml:space="preserve">n addition to the general limits on disclosure contained in PIPP 2, further </w:t>
      </w:r>
      <w:r w:rsidR="004E3E29" w:rsidRPr="006D2720">
        <w:rPr>
          <w:rFonts w:ascii="Times New Roman" w:hAnsi="Times New Roman" w:cs="Times New Roman"/>
        </w:rPr>
        <w:t>restricti</w:t>
      </w:r>
      <w:r w:rsidR="005C0054" w:rsidRPr="006D2720">
        <w:rPr>
          <w:rFonts w:ascii="Times New Roman" w:hAnsi="Times New Roman" w:cs="Times New Roman"/>
        </w:rPr>
        <w:t>ons</w:t>
      </w:r>
      <w:r w:rsidR="00D40E58" w:rsidRPr="006D2720">
        <w:rPr>
          <w:rFonts w:ascii="Times New Roman" w:hAnsi="Times New Roman" w:cs="Times New Roman"/>
        </w:rPr>
        <w:t>,</w:t>
      </w:r>
      <w:r w:rsidR="005C0054" w:rsidRPr="006D2720">
        <w:rPr>
          <w:rFonts w:ascii="Times New Roman" w:hAnsi="Times New Roman" w:cs="Times New Roman"/>
        </w:rPr>
        <w:t xml:space="preserve"> </w:t>
      </w:r>
      <w:r w:rsidR="00C60D3D" w:rsidRPr="006D2720">
        <w:rPr>
          <w:rFonts w:ascii="Times New Roman" w:hAnsi="Times New Roman" w:cs="Times New Roman"/>
        </w:rPr>
        <w:t>contained within</w:t>
      </w:r>
      <w:r w:rsidR="003864C4" w:rsidRPr="006D2720">
        <w:rPr>
          <w:rFonts w:ascii="Times New Roman" w:hAnsi="Times New Roman" w:cs="Times New Roman"/>
        </w:rPr>
        <w:t xml:space="preserve"> PIPP 9</w:t>
      </w:r>
      <w:r w:rsidR="00D40E58" w:rsidRPr="006D2720">
        <w:rPr>
          <w:rFonts w:ascii="Times New Roman" w:hAnsi="Times New Roman" w:cs="Times New Roman"/>
        </w:rPr>
        <w:t>,</w:t>
      </w:r>
      <w:r w:rsidR="003864C4" w:rsidRPr="006D2720">
        <w:rPr>
          <w:rFonts w:ascii="Times New Roman" w:hAnsi="Times New Roman" w:cs="Times New Roman"/>
        </w:rPr>
        <w:t xml:space="preserve"> apply </w:t>
      </w:r>
      <w:r w:rsidR="00105BD4" w:rsidRPr="006D2720">
        <w:rPr>
          <w:rFonts w:ascii="Times New Roman" w:hAnsi="Times New Roman" w:cs="Times New Roman"/>
        </w:rPr>
        <w:t xml:space="preserve">if </w:t>
      </w:r>
      <w:r w:rsidR="005C0054" w:rsidRPr="006D2720">
        <w:rPr>
          <w:rFonts w:ascii="Times New Roman" w:hAnsi="Times New Roman" w:cs="Times New Roman"/>
        </w:rPr>
        <w:t>the disclosure is</w:t>
      </w:r>
      <w:r w:rsidR="008F3898" w:rsidRPr="006D2720">
        <w:rPr>
          <w:rFonts w:ascii="Times New Roman" w:hAnsi="Times New Roman" w:cs="Times New Roman"/>
        </w:rPr>
        <w:t xml:space="preserve"> to</w:t>
      </w:r>
      <w:r w:rsidR="005C0054" w:rsidRPr="006D2720">
        <w:rPr>
          <w:rFonts w:ascii="Times New Roman" w:hAnsi="Times New Roman" w:cs="Times New Roman"/>
        </w:rPr>
        <w:t xml:space="preserve"> </w:t>
      </w:r>
      <w:r w:rsidR="00B7155E" w:rsidRPr="006D2720">
        <w:rPr>
          <w:rFonts w:ascii="Times New Roman" w:hAnsi="Times New Roman" w:cs="Times New Roman"/>
        </w:rPr>
        <w:t>anyone outside of Tasmania</w:t>
      </w:r>
      <w:r w:rsidR="00520A47" w:rsidRPr="006D2720">
        <w:rPr>
          <w:rFonts w:ascii="Times New Roman" w:hAnsi="Times New Roman" w:cs="Times New Roman"/>
        </w:rPr>
        <w:t>.</w:t>
      </w:r>
      <w:r w:rsidR="00021D9D" w:rsidRPr="006D2720">
        <w:rPr>
          <w:rStyle w:val="FootnoteReference"/>
          <w:rFonts w:ascii="Times New Roman" w:hAnsi="Times New Roman" w:cs="Times New Roman"/>
        </w:rPr>
        <w:footnoteReference w:id="175"/>
      </w:r>
      <w:r w:rsidR="00520A47" w:rsidRPr="006D2720">
        <w:rPr>
          <w:rFonts w:ascii="Times New Roman" w:hAnsi="Times New Roman" w:cs="Times New Roman"/>
        </w:rPr>
        <w:t xml:space="preserve"> </w:t>
      </w:r>
    </w:p>
    <w:p w14:paraId="2753644A" w14:textId="77777777" w:rsidR="00446C1E" w:rsidRPr="006D2720" w:rsidRDefault="002658C6" w:rsidP="00531CD8">
      <w:pPr>
        <w:pStyle w:val="Heading3"/>
        <w:rPr>
          <w:rFonts w:ascii="Times New Roman" w:hAnsi="Times New Roman" w:cs="Times New Roman"/>
        </w:rPr>
      </w:pPr>
      <w:r w:rsidRPr="006D2720">
        <w:rPr>
          <w:rFonts w:ascii="Times New Roman" w:hAnsi="Times New Roman" w:cs="Times New Roman"/>
        </w:rPr>
        <w:t>Under Commonwealth law</w:t>
      </w:r>
      <w:r w:rsidR="003C38B7" w:rsidRPr="006D2720">
        <w:rPr>
          <w:rFonts w:ascii="Times New Roman" w:hAnsi="Times New Roman" w:cs="Times New Roman"/>
        </w:rPr>
        <w:t xml:space="preserve">, </w:t>
      </w:r>
      <w:r w:rsidR="00FD241E" w:rsidRPr="006D2720">
        <w:rPr>
          <w:rFonts w:ascii="Times New Roman" w:hAnsi="Times New Roman" w:cs="Times New Roman"/>
        </w:rPr>
        <w:t xml:space="preserve">APP 8 </w:t>
      </w:r>
      <w:r w:rsidR="00625BC9" w:rsidRPr="006D2720">
        <w:rPr>
          <w:rFonts w:ascii="Times New Roman" w:hAnsi="Times New Roman" w:cs="Times New Roman"/>
        </w:rPr>
        <w:t>governs</w:t>
      </w:r>
      <w:r w:rsidR="003C38B7" w:rsidRPr="006D2720">
        <w:rPr>
          <w:rFonts w:ascii="Times New Roman" w:hAnsi="Times New Roman" w:cs="Times New Roman"/>
        </w:rPr>
        <w:t xml:space="preserve"> </w:t>
      </w:r>
      <w:r w:rsidR="00FD241E" w:rsidRPr="006D2720">
        <w:rPr>
          <w:rFonts w:ascii="Times New Roman" w:hAnsi="Times New Roman" w:cs="Times New Roman"/>
        </w:rPr>
        <w:t>cross-border disclosure of personal information</w:t>
      </w:r>
      <w:r w:rsidR="00625BC9" w:rsidRPr="006D2720">
        <w:rPr>
          <w:rFonts w:ascii="Times New Roman" w:hAnsi="Times New Roman" w:cs="Times New Roman"/>
        </w:rPr>
        <w:t>. Compared to PIPP 9, APP 8</w:t>
      </w:r>
      <w:r w:rsidR="003C38B7" w:rsidRPr="006D2720">
        <w:rPr>
          <w:rFonts w:ascii="Times New Roman" w:hAnsi="Times New Roman" w:cs="Times New Roman"/>
        </w:rPr>
        <w:t xml:space="preserve"> </w:t>
      </w:r>
      <w:r w:rsidR="002A3A31" w:rsidRPr="006D2720">
        <w:rPr>
          <w:rFonts w:ascii="Times New Roman" w:hAnsi="Times New Roman" w:cs="Times New Roman"/>
        </w:rPr>
        <w:t>allows cross-border disclosure in a broader range of circumstances</w:t>
      </w:r>
      <w:r w:rsidR="009F63DF" w:rsidRPr="006D2720">
        <w:rPr>
          <w:rFonts w:ascii="Times New Roman" w:hAnsi="Times New Roman" w:cs="Times New Roman"/>
        </w:rPr>
        <w:t xml:space="preserve">. </w:t>
      </w:r>
      <w:r w:rsidR="00021D9D" w:rsidRPr="006D2720">
        <w:rPr>
          <w:rFonts w:ascii="Times New Roman" w:hAnsi="Times New Roman" w:cs="Times New Roman"/>
        </w:rPr>
        <w:t xml:space="preserve">An agency </w:t>
      </w:r>
      <w:r w:rsidR="006925BB" w:rsidRPr="006D2720">
        <w:rPr>
          <w:rFonts w:ascii="Times New Roman" w:hAnsi="Times New Roman" w:cs="Times New Roman"/>
        </w:rPr>
        <w:t>can</w:t>
      </w:r>
      <w:r w:rsidR="00373AD2" w:rsidRPr="006D2720">
        <w:rPr>
          <w:rFonts w:ascii="Times New Roman" w:hAnsi="Times New Roman" w:cs="Times New Roman"/>
        </w:rPr>
        <w:t xml:space="preserve"> disclose information reasonably necessary for its enforcement activities</w:t>
      </w:r>
      <w:r w:rsidR="00021D9D" w:rsidRPr="006D2720">
        <w:rPr>
          <w:rFonts w:ascii="Times New Roman" w:hAnsi="Times New Roman" w:cs="Times New Roman"/>
        </w:rPr>
        <w:t xml:space="preserve"> or </w:t>
      </w:r>
      <w:r w:rsidR="00AF4D70" w:rsidRPr="006D2720">
        <w:rPr>
          <w:rFonts w:ascii="Times New Roman" w:hAnsi="Times New Roman" w:cs="Times New Roman"/>
        </w:rPr>
        <w:t xml:space="preserve">where the disclosure is </w:t>
      </w:r>
      <w:r w:rsidR="00373AD2" w:rsidRPr="006D2720">
        <w:rPr>
          <w:rFonts w:ascii="Times New Roman" w:hAnsi="Times New Roman" w:cs="Times New Roman"/>
        </w:rPr>
        <w:t>otherwise generally permitted</w:t>
      </w:r>
      <w:r w:rsidR="0014180D" w:rsidRPr="006D2720">
        <w:rPr>
          <w:rFonts w:ascii="Times New Roman" w:hAnsi="Times New Roman" w:cs="Times New Roman"/>
        </w:rPr>
        <w:t>.</w:t>
      </w:r>
      <w:r w:rsidR="00021D9D" w:rsidRPr="006D2720">
        <w:rPr>
          <w:rStyle w:val="FootnoteReference"/>
          <w:rFonts w:ascii="Times New Roman" w:hAnsi="Times New Roman" w:cs="Times New Roman"/>
        </w:rPr>
        <w:footnoteReference w:id="176"/>
      </w:r>
    </w:p>
    <w:p w14:paraId="0ADA00A3" w14:textId="77777777" w:rsidR="00446C1E" w:rsidRPr="006D2720" w:rsidRDefault="00446C1E">
      <w:pPr>
        <w:rPr>
          <w:rFonts w:ascii="Times New Roman" w:eastAsiaTheme="majorEastAsia" w:hAnsi="Times New Roman" w:cs="Times New Roman"/>
          <w:bCs/>
          <w:color w:val="0D0D0D" w:themeColor="text1" w:themeTint="F2"/>
          <w:szCs w:val="21"/>
        </w:rPr>
      </w:pPr>
      <w:r w:rsidRPr="006D2720">
        <w:rPr>
          <w:rFonts w:ascii="Times New Roman" w:hAnsi="Times New Roman" w:cs="Times New Roman"/>
        </w:rPr>
        <w:br w:type="page"/>
      </w:r>
    </w:p>
    <w:p w14:paraId="482EFE92" w14:textId="77777777" w:rsidR="00EE6B33" w:rsidRPr="006D2720" w:rsidRDefault="00B07382" w:rsidP="00641E6C">
      <w:pPr>
        <w:pStyle w:val="Heading3"/>
        <w:rPr>
          <w:rFonts w:ascii="Times New Roman" w:hAnsi="Times New Roman" w:cs="Times New Roman"/>
        </w:rPr>
      </w:pPr>
      <w:r w:rsidRPr="006D2720">
        <w:rPr>
          <w:rFonts w:ascii="Times New Roman" w:hAnsi="Times New Roman" w:cs="Times New Roman"/>
        </w:rPr>
        <w:t>However, in other ways, APP 8 is more restrictive. For example</w:t>
      </w:r>
      <w:r w:rsidR="00EE6B33" w:rsidRPr="006D2720">
        <w:rPr>
          <w:rFonts w:ascii="Times New Roman" w:hAnsi="Times New Roman" w:cs="Times New Roman"/>
        </w:rPr>
        <w:t xml:space="preserve">: </w:t>
      </w:r>
    </w:p>
    <w:p w14:paraId="65A0264F" w14:textId="1F69255A" w:rsidR="00641E6C" w:rsidRPr="006D2720" w:rsidRDefault="00CC4D73" w:rsidP="0066337D">
      <w:pPr>
        <w:pStyle w:val="Dotpointlist"/>
        <w:rPr>
          <w:rFonts w:ascii="Times New Roman" w:hAnsi="Times New Roman" w:cs="Times New Roman"/>
        </w:rPr>
      </w:pPr>
      <w:r w:rsidRPr="006D2720">
        <w:rPr>
          <w:rFonts w:ascii="Times New Roman" w:hAnsi="Times New Roman" w:cs="Times New Roman"/>
        </w:rPr>
        <w:t xml:space="preserve">Both </w:t>
      </w:r>
      <w:r w:rsidR="00021D9D" w:rsidRPr="006D2720">
        <w:rPr>
          <w:rFonts w:ascii="Times New Roman" w:hAnsi="Times New Roman" w:cs="Times New Roman"/>
        </w:rPr>
        <w:t xml:space="preserve">PIPP </w:t>
      </w:r>
      <w:r w:rsidRPr="006D2720">
        <w:rPr>
          <w:rFonts w:ascii="Times New Roman" w:hAnsi="Times New Roman" w:cs="Times New Roman"/>
        </w:rPr>
        <w:t>9 and</w:t>
      </w:r>
      <w:r w:rsidR="00933866" w:rsidRPr="006D2720">
        <w:rPr>
          <w:rFonts w:ascii="Times New Roman" w:hAnsi="Times New Roman" w:cs="Times New Roman"/>
        </w:rPr>
        <w:t xml:space="preserve"> </w:t>
      </w:r>
      <w:r w:rsidR="00021D9D" w:rsidRPr="006D2720">
        <w:rPr>
          <w:rFonts w:ascii="Times New Roman" w:hAnsi="Times New Roman" w:cs="Times New Roman"/>
        </w:rPr>
        <w:t>APP 8 allow</w:t>
      </w:r>
      <w:r w:rsidR="00E93979" w:rsidRPr="006D2720">
        <w:rPr>
          <w:rFonts w:ascii="Times New Roman" w:hAnsi="Times New Roman" w:cs="Times New Roman"/>
        </w:rPr>
        <w:t xml:space="preserve"> </w:t>
      </w:r>
      <w:r w:rsidR="00021D9D" w:rsidRPr="006D2720">
        <w:rPr>
          <w:rFonts w:ascii="Times New Roman" w:hAnsi="Times New Roman" w:cs="Times New Roman"/>
        </w:rPr>
        <w:t xml:space="preserve">disclosure where there is a reasonable belief that the recipient is subject to </w:t>
      </w:r>
      <w:r w:rsidR="00641E6C" w:rsidRPr="006D2720">
        <w:rPr>
          <w:rFonts w:ascii="Times New Roman" w:hAnsi="Times New Roman" w:cs="Times New Roman"/>
        </w:rPr>
        <w:t>privacy obligations</w:t>
      </w:r>
      <w:r w:rsidR="00933866" w:rsidRPr="006D2720">
        <w:rPr>
          <w:rFonts w:ascii="Times New Roman" w:hAnsi="Times New Roman" w:cs="Times New Roman"/>
        </w:rPr>
        <w:t xml:space="preserve"> </w:t>
      </w:r>
      <w:r w:rsidR="00641E6C" w:rsidRPr="006D2720">
        <w:rPr>
          <w:rFonts w:ascii="Times New Roman" w:hAnsi="Times New Roman" w:cs="Times New Roman"/>
        </w:rPr>
        <w:t xml:space="preserve">substantially similar </w:t>
      </w:r>
      <w:r w:rsidR="00933866" w:rsidRPr="006D2720">
        <w:rPr>
          <w:rFonts w:ascii="Times New Roman" w:hAnsi="Times New Roman" w:cs="Times New Roman"/>
        </w:rPr>
        <w:t xml:space="preserve">to those in Australia. </w:t>
      </w:r>
      <w:r w:rsidR="0014180D" w:rsidRPr="006D2720">
        <w:rPr>
          <w:rFonts w:ascii="Times New Roman" w:hAnsi="Times New Roman" w:cs="Times New Roman"/>
        </w:rPr>
        <w:t xml:space="preserve">However, </w:t>
      </w:r>
      <w:r w:rsidR="00933866" w:rsidRPr="006D2720">
        <w:rPr>
          <w:rFonts w:ascii="Times New Roman" w:hAnsi="Times New Roman" w:cs="Times New Roman"/>
        </w:rPr>
        <w:t>APP 8</w:t>
      </w:r>
      <w:r w:rsidRPr="006D2720">
        <w:rPr>
          <w:rFonts w:ascii="Times New Roman" w:hAnsi="Times New Roman" w:cs="Times New Roman"/>
        </w:rPr>
        <w:t xml:space="preserve"> </w:t>
      </w:r>
      <w:r w:rsidR="001D7DAD" w:rsidRPr="006D2720">
        <w:rPr>
          <w:rFonts w:ascii="Times New Roman" w:hAnsi="Times New Roman" w:cs="Times New Roman"/>
        </w:rPr>
        <w:t xml:space="preserve">additionally </w:t>
      </w:r>
      <w:r w:rsidRPr="006D2720">
        <w:rPr>
          <w:rFonts w:ascii="Times New Roman" w:hAnsi="Times New Roman" w:cs="Times New Roman"/>
        </w:rPr>
        <w:t>requires</w:t>
      </w:r>
      <w:r w:rsidR="00933866" w:rsidRPr="006D2720">
        <w:rPr>
          <w:rFonts w:ascii="Times New Roman" w:hAnsi="Times New Roman" w:cs="Times New Roman"/>
        </w:rPr>
        <w:t xml:space="preserve"> </w:t>
      </w:r>
      <w:r w:rsidR="005601DC" w:rsidRPr="006D2720">
        <w:rPr>
          <w:rFonts w:ascii="Times New Roman" w:hAnsi="Times New Roman" w:cs="Times New Roman"/>
        </w:rPr>
        <w:t xml:space="preserve">there to be </w:t>
      </w:r>
      <w:r w:rsidR="00AF4D70" w:rsidRPr="006D2720">
        <w:rPr>
          <w:rFonts w:ascii="Times New Roman" w:eastAsiaTheme="majorEastAsia" w:hAnsi="Times New Roman" w:cs="Times New Roman"/>
          <w:iCs/>
          <w:color w:val="0D0D0D" w:themeColor="text1" w:themeTint="F2"/>
          <w:szCs w:val="21"/>
        </w:rPr>
        <w:t xml:space="preserve">mechanisms </w:t>
      </w:r>
      <w:r w:rsidR="007C0DFA" w:rsidRPr="006D2720">
        <w:rPr>
          <w:rFonts w:ascii="Times New Roman" w:eastAsiaTheme="majorEastAsia" w:hAnsi="Times New Roman" w:cs="Times New Roman"/>
          <w:iCs/>
          <w:color w:val="0D0D0D" w:themeColor="text1" w:themeTint="F2"/>
          <w:szCs w:val="21"/>
        </w:rPr>
        <w:t xml:space="preserve">for the individual to </w:t>
      </w:r>
      <w:r w:rsidR="00AF4D70" w:rsidRPr="006D2720">
        <w:rPr>
          <w:rFonts w:ascii="Times New Roman" w:eastAsiaTheme="majorEastAsia" w:hAnsi="Times New Roman" w:cs="Times New Roman"/>
          <w:iCs/>
          <w:color w:val="0D0D0D" w:themeColor="text1" w:themeTint="F2"/>
          <w:szCs w:val="21"/>
        </w:rPr>
        <w:t>enforce that protection</w:t>
      </w:r>
      <w:r w:rsidR="00AF4D70" w:rsidRPr="006D2720">
        <w:rPr>
          <w:rFonts w:ascii="Times New Roman" w:hAnsi="Times New Roman" w:cs="Times New Roman"/>
        </w:rPr>
        <w:t xml:space="preserve">. </w:t>
      </w:r>
    </w:p>
    <w:p w14:paraId="41F29D10" w14:textId="1D45C662" w:rsidR="00641E6C" w:rsidRPr="006D2720" w:rsidRDefault="00030386" w:rsidP="00CA1A69">
      <w:pPr>
        <w:pStyle w:val="Dotpointlist"/>
        <w:rPr>
          <w:rFonts w:ascii="Times New Roman" w:hAnsi="Times New Roman" w:cs="Times New Roman"/>
        </w:rPr>
      </w:pPr>
      <w:r w:rsidRPr="006D2720">
        <w:rPr>
          <w:rFonts w:ascii="Times New Roman" w:hAnsi="Times New Roman" w:cs="Times New Roman"/>
        </w:rPr>
        <w:t>Both PIPP 9 and</w:t>
      </w:r>
      <w:r w:rsidR="00641E6C" w:rsidRPr="006D2720">
        <w:rPr>
          <w:rFonts w:ascii="Times New Roman" w:hAnsi="Times New Roman" w:cs="Times New Roman"/>
        </w:rPr>
        <w:t xml:space="preserve"> APP 8 allow an individual to consent to overseas disclosure. However, APP 8</w:t>
      </w:r>
      <w:r w:rsidR="00CE1CFC" w:rsidRPr="006D2720">
        <w:rPr>
          <w:rFonts w:ascii="Times New Roman" w:hAnsi="Times New Roman" w:cs="Times New Roman"/>
        </w:rPr>
        <w:t xml:space="preserve"> additionally provides that</w:t>
      </w:r>
      <w:r w:rsidR="00641E6C" w:rsidRPr="006D2720">
        <w:rPr>
          <w:rFonts w:ascii="Times New Roman" w:hAnsi="Times New Roman" w:cs="Times New Roman"/>
        </w:rPr>
        <w:t xml:space="preserve"> the </w:t>
      </w:r>
      <w:r w:rsidR="0023321E" w:rsidRPr="006D2720">
        <w:rPr>
          <w:rFonts w:ascii="Times New Roman" w:hAnsi="Times New Roman" w:cs="Times New Roman"/>
        </w:rPr>
        <w:t>custodian</w:t>
      </w:r>
      <w:r w:rsidR="00641E6C" w:rsidRPr="006D2720">
        <w:rPr>
          <w:rFonts w:ascii="Times New Roman" w:hAnsi="Times New Roman" w:cs="Times New Roman"/>
        </w:rPr>
        <w:t xml:space="preserve"> disclosing the information must expressly inform the individual that, if the individual consents, the </w:t>
      </w:r>
      <w:r w:rsidR="0023321E" w:rsidRPr="006D2720">
        <w:rPr>
          <w:rFonts w:ascii="Times New Roman" w:hAnsi="Times New Roman" w:cs="Times New Roman"/>
        </w:rPr>
        <w:t>custodian</w:t>
      </w:r>
      <w:r w:rsidR="00641E6C" w:rsidRPr="006D2720">
        <w:rPr>
          <w:rFonts w:ascii="Times New Roman" w:hAnsi="Times New Roman" w:cs="Times New Roman"/>
        </w:rPr>
        <w:t xml:space="preserve"> is no longer obliged to take reasonable steps to ensure the overseas recipient does not breach the APPs. </w:t>
      </w:r>
    </w:p>
    <w:p w14:paraId="6CFCAB3D" w14:textId="1FCA9E53" w:rsidR="0046517B" w:rsidRPr="006D2720" w:rsidRDefault="00110D86" w:rsidP="0066337D">
      <w:pPr>
        <w:pStyle w:val="Dotpointlist"/>
        <w:rPr>
          <w:rFonts w:ascii="Times New Roman" w:hAnsi="Times New Roman" w:cs="Times New Roman"/>
        </w:rPr>
      </w:pPr>
      <w:r w:rsidRPr="006D2720">
        <w:rPr>
          <w:rFonts w:ascii="Times New Roman" w:hAnsi="Times New Roman" w:cs="Times New Roman"/>
        </w:rPr>
        <w:t xml:space="preserve">APP 8 </w:t>
      </w:r>
      <w:r w:rsidR="00933866" w:rsidRPr="006D2720">
        <w:rPr>
          <w:rFonts w:ascii="Times New Roman" w:hAnsi="Times New Roman" w:cs="Times New Roman"/>
        </w:rPr>
        <w:t xml:space="preserve">does not make any provision for overseas </w:t>
      </w:r>
      <w:r w:rsidR="001148A8" w:rsidRPr="006D2720">
        <w:rPr>
          <w:rFonts w:ascii="Times New Roman" w:hAnsi="Times New Roman" w:cs="Times New Roman"/>
        </w:rPr>
        <w:t xml:space="preserve">disclosure </w:t>
      </w:r>
      <w:r w:rsidR="001D7DAD" w:rsidRPr="006D2720">
        <w:rPr>
          <w:rFonts w:ascii="Times New Roman" w:hAnsi="Times New Roman" w:cs="Times New Roman"/>
        </w:rPr>
        <w:t>to</w:t>
      </w:r>
      <w:r w:rsidR="009369A3" w:rsidRPr="006D2720">
        <w:rPr>
          <w:rFonts w:ascii="Times New Roman" w:hAnsi="Times New Roman" w:cs="Times New Roman"/>
        </w:rPr>
        <w:t xml:space="preserve"> perform certain contracts. In contrast, PIPP 9 allows such disclosure for the </w:t>
      </w:r>
      <w:r w:rsidR="001148A8" w:rsidRPr="006D2720">
        <w:rPr>
          <w:rFonts w:ascii="Times New Roman" w:hAnsi="Times New Roman" w:cs="Times New Roman"/>
        </w:rPr>
        <w:t xml:space="preserve">purposes of </w:t>
      </w:r>
      <w:r w:rsidR="003F01A8" w:rsidRPr="006D2720">
        <w:rPr>
          <w:rFonts w:ascii="Times New Roman" w:hAnsi="Times New Roman" w:cs="Times New Roman"/>
        </w:rPr>
        <w:t>performing a contract between</w:t>
      </w:r>
      <w:r w:rsidR="0023321E" w:rsidRPr="006D2720">
        <w:rPr>
          <w:rFonts w:ascii="Times New Roman" w:hAnsi="Times New Roman" w:cs="Times New Roman"/>
        </w:rPr>
        <w:t xml:space="preserve"> the individual and the custodian, </w:t>
      </w:r>
      <w:r w:rsidR="008337B0" w:rsidRPr="006D2720">
        <w:rPr>
          <w:rFonts w:ascii="Times New Roman" w:hAnsi="Times New Roman" w:cs="Times New Roman"/>
        </w:rPr>
        <w:t>or for concluding or performing a contract between the custodian and a third party that was made in the individual’s interests</w:t>
      </w:r>
      <w:r w:rsidR="00933866" w:rsidRPr="006D2720">
        <w:rPr>
          <w:rFonts w:ascii="Times New Roman" w:hAnsi="Times New Roman" w:cs="Times New Roman"/>
        </w:rPr>
        <w:t>.</w:t>
      </w:r>
      <w:r w:rsidR="00933866" w:rsidRPr="006D2720">
        <w:rPr>
          <w:rStyle w:val="FootnoteReference"/>
          <w:rFonts w:ascii="Times New Roman" w:hAnsi="Times New Roman" w:cs="Times New Roman"/>
        </w:rPr>
        <w:footnoteReference w:id="177"/>
      </w:r>
    </w:p>
    <w:p w14:paraId="31EF1B5F" w14:textId="1CF4A8C0" w:rsidR="00AF4D70" w:rsidRPr="006D2720" w:rsidRDefault="00A33682" w:rsidP="00CA1A69">
      <w:pPr>
        <w:pStyle w:val="Heading3"/>
        <w:rPr>
          <w:rFonts w:ascii="Times New Roman" w:hAnsi="Times New Roman" w:cs="Times New Roman"/>
        </w:rPr>
      </w:pPr>
      <w:r w:rsidRPr="006D2720">
        <w:rPr>
          <w:rFonts w:ascii="Times New Roman" w:hAnsi="Times New Roman" w:cs="Times New Roman"/>
        </w:rPr>
        <w:t xml:space="preserve">The </w:t>
      </w:r>
      <w:r w:rsidR="001D7DAD" w:rsidRPr="006D2720">
        <w:rPr>
          <w:rFonts w:ascii="Times New Roman" w:hAnsi="Times New Roman" w:cs="Times New Roman"/>
        </w:rPr>
        <w:t xml:space="preserve">Commonwealth and Tasmanian </w:t>
      </w:r>
      <w:r w:rsidRPr="006D2720">
        <w:rPr>
          <w:rFonts w:ascii="Times New Roman" w:hAnsi="Times New Roman" w:cs="Times New Roman"/>
        </w:rPr>
        <w:t xml:space="preserve">Acts </w:t>
      </w:r>
      <w:r w:rsidR="001D7DAD" w:rsidRPr="006D2720">
        <w:rPr>
          <w:rFonts w:ascii="Times New Roman" w:hAnsi="Times New Roman" w:cs="Times New Roman"/>
        </w:rPr>
        <w:t xml:space="preserve">and their respective principles </w:t>
      </w:r>
      <w:r w:rsidRPr="006D2720">
        <w:rPr>
          <w:rFonts w:ascii="Times New Roman" w:hAnsi="Times New Roman" w:cs="Times New Roman"/>
        </w:rPr>
        <w:t xml:space="preserve">also differ on who retains responsibility for breaches of privacy principles by the overseas recipients. </w:t>
      </w:r>
      <w:r w:rsidR="00DE1DAC" w:rsidRPr="006D2720">
        <w:rPr>
          <w:rFonts w:ascii="Times New Roman" w:hAnsi="Times New Roman" w:cs="Times New Roman"/>
        </w:rPr>
        <w:t xml:space="preserve">Both PIPP 9 and APP 8 allow overseas disclosures of personal information on the basis that the Australian custodian or entity has taken reasonable steps to ensure the overseas recipient does not breach the </w:t>
      </w:r>
      <w:r w:rsidR="00443B22" w:rsidRPr="006D2720">
        <w:rPr>
          <w:rFonts w:ascii="Times New Roman" w:hAnsi="Times New Roman" w:cs="Times New Roman"/>
        </w:rPr>
        <w:t>respective privacy principles</w:t>
      </w:r>
      <w:r w:rsidR="00406453" w:rsidRPr="006D2720">
        <w:rPr>
          <w:rFonts w:ascii="Times New Roman" w:hAnsi="Times New Roman" w:cs="Times New Roman"/>
        </w:rPr>
        <w:t xml:space="preserve"> that apply</w:t>
      </w:r>
      <w:r w:rsidR="00DE1DAC" w:rsidRPr="006D2720">
        <w:rPr>
          <w:rFonts w:ascii="Times New Roman" w:hAnsi="Times New Roman" w:cs="Times New Roman"/>
        </w:rPr>
        <w:t xml:space="preserve">. </w:t>
      </w:r>
      <w:r w:rsidR="00F12033" w:rsidRPr="006D2720">
        <w:rPr>
          <w:rFonts w:ascii="Times New Roman" w:hAnsi="Times New Roman" w:cs="Times New Roman"/>
        </w:rPr>
        <w:t xml:space="preserve">Under the PIPA, a custodian is no longer responsible once </w:t>
      </w:r>
      <w:r w:rsidR="0063083B" w:rsidRPr="006D2720">
        <w:rPr>
          <w:rFonts w:ascii="Times New Roman" w:hAnsi="Times New Roman" w:cs="Times New Roman"/>
        </w:rPr>
        <w:t>it has</w:t>
      </w:r>
      <w:r w:rsidR="00F12033" w:rsidRPr="006D2720">
        <w:rPr>
          <w:rFonts w:ascii="Times New Roman" w:hAnsi="Times New Roman" w:cs="Times New Roman"/>
        </w:rPr>
        <w:t xml:space="preserve"> taken reasonable steps. In contrast</w:t>
      </w:r>
      <w:r w:rsidR="00DE1DAC" w:rsidRPr="006D2720">
        <w:rPr>
          <w:rFonts w:ascii="Times New Roman" w:hAnsi="Times New Roman" w:cs="Times New Roman"/>
        </w:rPr>
        <w:t xml:space="preserve">, </w:t>
      </w:r>
      <w:r w:rsidR="000F266E" w:rsidRPr="006D2720">
        <w:rPr>
          <w:rFonts w:ascii="Times New Roman" w:hAnsi="Times New Roman" w:cs="Times New Roman"/>
        </w:rPr>
        <w:t>under</w:t>
      </w:r>
      <w:r w:rsidR="000E34C9" w:rsidRPr="006D2720">
        <w:rPr>
          <w:rFonts w:ascii="Times New Roman" w:hAnsi="Times New Roman" w:cs="Times New Roman"/>
        </w:rPr>
        <w:t xml:space="preserve"> the </w:t>
      </w:r>
      <w:r w:rsidR="001D7DAD" w:rsidRPr="006D2720">
        <w:rPr>
          <w:rFonts w:ascii="Times New Roman" w:hAnsi="Times New Roman" w:cs="Times New Roman"/>
        </w:rPr>
        <w:t>Privacy Act</w:t>
      </w:r>
      <w:r w:rsidR="000E34C9" w:rsidRPr="006D2720">
        <w:rPr>
          <w:rFonts w:ascii="Times New Roman" w:hAnsi="Times New Roman" w:cs="Times New Roman"/>
        </w:rPr>
        <w:t xml:space="preserve">, </w:t>
      </w:r>
      <w:r w:rsidR="007F2A2F" w:rsidRPr="006D2720">
        <w:rPr>
          <w:rFonts w:ascii="Times New Roman" w:hAnsi="Times New Roman" w:cs="Times New Roman"/>
        </w:rPr>
        <w:t xml:space="preserve">the </w:t>
      </w:r>
      <w:r w:rsidR="00DE1DAC" w:rsidRPr="006D2720">
        <w:rPr>
          <w:rFonts w:ascii="Times New Roman" w:hAnsi="Times New Roman" w:cs="Times New Roman"/>
        </w:rPr>
        <w:t>entit</w:t>
      </w:r>
      <w:r w:rsidR="0063083B" w:rsidRPr="006D2720">
        <w:rPr>
          <w:rFonts w:ascii="Times New Roman" w:hAnsi="Times New Roman" w:cs="Times New Roman"/>
        </w:rPr>
        <w:t>y</w:t>
      </w:r>
      <w:r w:rsidR="00DE1DAC" w:rsidRPr="006D2720">
        <w:rPr>
          <w:rFonts w:ascii="Times New Roman" w:hAnsi="Times New Roman" w:cs="Times New Roman"/>
        </w:rPr>
        <w:t xml:space="preserve"> retain</w:t>
      </w:r>
      <w:r w:rsidR="0063083B" w:rsidRPr="006D2720">
        <w:rPr>
          <w:rFonts w:ascii="Times New Roman" w:hAnsi="Times New Roman" w:cs="Times New Roman"/>
        </w:rPr>
        <w:t>s</w:t>
      </w:r>
      <w:r w:rsidR="00DE1DAC" w:rsidRPr="006D2720">
        <w:rPr>
          <w:rFonts w:ascii="Times New Roman" w:hAnsi="Times New Roman" w:cs="Times New Roman"/>
        </w:rPr>
        <w:t xml:space="preserve"> responsibility.</w:t>
      </w:r>
      <w:r w:rsidR="000E34C9" w:rsidRPr="006D2720">
        <w:rPr>
          <w:rStyle w:val="FootnoteReference"/>
          <w:rFonts w:ascii="Times New Roman" w:hAnsi="Times New Roman" w:cs="Times New Roman"/>
        </w:rPr>
        <w:footnoteReference w:id="178"/>
      </w:r>
      <w:r w:rsidR="00DE1DAC" w:rsidRPr="006D2720">
        <w:rPr>
          <w:rFonts w:ascii="Times New Roman" w:hAnsi="Times New Roman" w:cs="Times New Roman"/>
        </w:rPr>
        <w:t xml:space="preserve"> </w:t>
      </w:r>
    </w:p>
    <w:p w14:paraId="5CF070D1" w14:textId="169E3594" w:rsidR="0065708B" w:rsidRPr="006D2720" w:rsidRDefault="00453206" w:rsidP="00CA1A69">
      <w:pPr>
        <w:rPr>
          <w:rFonts w:ascii="Times New Roman" w:hAnsi="Times New Roman" w:cs="Times New Roman"/>
          <w:b/>
          <w:bCs/>
          <w:i/>
          <w:iCs/>
        </w:rPr>
      </w:pPr>
      <w:r w:rsidRPr="006D2720">
        <w:rPr>
          <w:rFonts w:ascii="Times New Roman" w:hAnsi="Times New Roman" w:cs="Times New Roman"/>
          <w:b/>
          <w:bCs/>
          <w:i/>
          <w:iCs/>
        </w:rPr>
        <w:t>Sensitive information</w:t>
      </w:r>
    </w:p>
    <w:p w14:paraId="2F824A97" w14:textId="4B425FE6" w:rsidR="001A6BF4" w:rsidRPr="006D2720" w:rsidRDefault="00E3187B" w:rsidP="00AF48EE">
      <w:pPr>
        <w:pStyle w:val="Heading3"/>
        <w:rPr>
          <w:rFonts w:ascii="Times New Roman" w:hAnsi="Times New Roman" w:cs="Times New Roman"/>
        </w:rPr>
      </w:pPr>
      <w:r w:rsidRPr="006D2720">
        <w:rPr>
          <w:rFonts w:ascii="Times New Roman" w:hAnsi="Times New Roman" w:cs="Times New Roman"/>
        </w:rPr>
        <w:t>As discussed above</w:t>
      </w:r>
      <w:r w:rsidR="00DE1DAC" w:rsidRPr="006D2720">
        <w:rPr>
          <w:rFonts w:ascii="Times New Roman" w:hAnsi="Times New Roman" w:cs="Times New Roman"/>
        </w:rPr>
        <w:t xml:space="preserve"> </w:t>
      </w:r>
      <w:r w:rsidR="001D7DAD" w:rsidRPr="006D2720">
        <w:rPr>
          <w:rFonts w:ascii="Times New Roman" w:hAnsi="Times New Roman" w:cs="Times New Roman"/>
        </w:rPr>
        <w:t>under</w:t>
      </w:r>
      <w:r w:rsidR="00D40E58" w:rsidRPr="006D2720">
        <w:rPr>
          <w:rFonts w:ascii="Times New Roman" w:hAnsi="Times New Roman" w:cs="Times New Roman"/>
        </w:rPr>
        <w:t xml:space="preserve"> [</w:t>
      </w:r>
      <w:r w:rsidR="00D40E58" w:rsidRPr="006D2720">
        <w:rPr>
          <w:rFonts w:ascii="Times New Roman" w:hAnsi="Times New Roman" w:cs="Times New Roman"/>
        </w:rPr>
        <w:fldChar w:fldCharType="begin"/>
      </w:r>
      <w:r w:rsidR="00D40E58" w:rsidRPr="006D2720">
        <w:rPr>
          <w:rFonts w:ascii="Times New Roman" w:hAnsi="Times New Roman" w:cs="Times New Roman"/>
        </w:rPr>
        <w:instrText xml:space="preserve"> REF _Ref129292460 \r \h </w:instrText>
      </w:r>
      <w:r w:rsidR="006D2720">
        <w:rPr>
          <w:rFonts w:ascii="Times New Roman" w:hAnsi="Times New Roman" w:cs="Times New Roman"/>
        </w:rPr>
        <w:instrText xml:space="preserve"> \* MERGEFORMAT </w:instrText>
      </w:r>
      <w:r w:rsidR="00D40E58" w:rsidRPr="006D2720">
        <w:rPr>
          <w:rFonts w:ascii="Times New Roman" w:hAnsi="Times New Roman" w:cs="Times New Roman"/>
        </w:rPr>
      </w:r>
      <w:r w:rsidR="00D40E58" w:rsidRPr="006D2720">
        <w:rPr>
          <w:rFonts w:ascii="Times New Roman" w:hAnsi="Times New Roman" w:cs="Times New Roman"/>
        </w:rPr>
        <w:fldChar w:fldCharType="separate"/>
      </w:r>
      <w:r w:rsidR="00E66B60">
        <w:rPr>
          <w:rFonts w:ascii="Times New Roman" w:hAnsi="Times New Roman" w:cs="Times New Roman"/>
        </w:rPr>
        <w:t>2.2.31</w:t>
      </w:r>
      <w:r w:rsidR="00D40E58" w:rsidRPr="006D2720">
        <w:rPr>
          <w:rFonts w:ascii="Times New Roman" w:hAnsi="Times New Roman" w:cs="Times New Roman"/>
        </w:rPr>
        <w:fldChar w:fldCharType="end"/>
      </w:r>
      <w:r w:rsidR="00D40E58" w:rsidRPr="006D2720">
        <w:rPr>
          <w:rFonts w:ascii="Times New Roman" w:hAnsi="Times New Roman" w:cs="Times New Roman"/>
        </w:rPr>
        <w:t>]–[</w:t>
      </w:r>
      <w:r w:rsidR="00D40E58" w:rsidRPr="006D2720">
        <w:rPr>
          <w:rFonts w:ascii="Times New Roman" w:hAnsi="Times New Roman" w:cs="Times New Roman"/>
        </w:rPr>
        <w:fldChar w:fldCharType="begin"/>
      </w:r>
      <w:r w:rsidR="00D40E58" w:rsidRPr="006D2720">
        <w:rPr>
          <w:rFonts w:ascii="Times New Roman" w:hAnsi="Times New Roman" w:cs="Times New Roman"/>
        </w:rPr>
        <w:instrText xml:space="preserve"> REF _Ref129292476 \r \h </w:instrText>
      </w:r>
      <w:r w:rsidR="006D2720">
        <w:rPr>
          <w:rFonts w:ascii="Times New Roman" w:hAnsi="Times New Roman" w:cs="Times New Roman"/>
        </w:rPr>
        <w:instrText xml:space="preserve"> \* MERGEFORMAT </w:instrText>
      </w:r>
      <w:r w:rsidR="00D40E58" w:rsidRPr="006D2720">
        <w:rPr>
          <w:rFonts w:ascii="Times New Roman" w:hAnsi="Times New Roman" w:cs="Times New Roman"/>
        </w:rPr>
      </w:r>
      <w:r w:rsidR="00D40E58" w:rsidRPr="006D2720">
        <w:rPr>
          <w:rFonts w:ascii="Times New Roman" w:hAnsi="Times New Roman" w:cs="Times New Roman"/>
        </w:rPr>
        <w:fldChar w:fldCharType="separate"/>
      </w:r>
      <w:r w:rsidR="00E66B60">
        <w:rPr>
          <w:rFonts w:ascii="Times New Roman" w:hAnsi="Times New Roman" w:cs="Times New Roman"/>
        </w:rPr>
        <w:t>2.2.48</w:t>
      </w:r>
      <w:r w:rsidR="00D40E58" w:rsidRPr="006D2720">
        <w:rPr>
          <w:rFonts w:ascii="Times New Roman" w:hAnsi="Times New Roman" w:cs="Times New Roman"/>
        </w:rPr>
        <w:fldChar w:fldCharType="end"/>
      </w:r>
      <w:r w:rsidR="00D40E58" w:rsidRPr="006D2720">
        <w:rPr>
          <w:rFonts w:ascii="Times New Roman" w:hAnsi="Times New Roman" w:cs="Times New Roman"/>
        </w:rPr>
        <w:t>]</w:t>
      </w:r>
      <w:r w:rsidRPr="006D2720">
        <w:rPr>
          <w:rFonts w:ascii="Times New Roman" w:hAnsi="Times New Roman" w:cs="Times New Roman"/>
        </w:rPr>
        <w:t xml:space="preserve">, sensitive information </w:t>
      </w:r>
      <w:r w:rsidR="00BF5CD1" w:rsidRPr="006D2720">
        <w:rPr>
          <w:rFonts w:ascii="Times New Roman" w:hAnsi="Times New Roman" w:cs="Times New Roman"/>
        </w:rPr>
        <w:t>is a subset of personal information involving an individual</w:t>
      </w:r>
      <w:r w:rsidR="000B780C" w:rsidRPr="006D2720">
        <w:rPr>
          <w:rFonts w:ascii="Times New Roman" w:hAnsi="Times New Roman" w:cs="Times New Roman"/>
        </w:rPr>
        <w:t>’</w:t>
      </w:r>
      <w:r w:rsidR="00BF5CD1" w:rsidRPr="006D2720">
        <w:rPr>
          <w:rFonts w:ascii="Times New Roman" w:hAnsi="Times New Roman" w:cs="Times New Roman"/>
        </w:rPr>
        <w:t xml:space="preserve">s </w:t>
      </w:r>
      <w:r w:rsidR="000B780C" w:rsidRPr="006D2720">
        <w:rPr>
          <w:rFonts w:ascii="Times New Roman" w:hAnsi="Times New Roman" w:cs="Times New Roman"/>
        </w:rPr>
        <w:t>innate characteristics, beliefs</w:t>
      </w:r>
      <w:r w:rsidR="008C1A2F" w:rsidRPr="006D2720">
        <w:rPr>
          <w:rFonts w:ascii="Times New Roman" w:hAnsi="Times New Roman" w:cs="Times New Roman"/>
        </w:rPr>
        <w:t>,</w:t>
      </w:r>
      <w:r w:rsidR="000B780C" w:rsidRPr="006D2720">
        <w:rPr>
          <w:rFonts w:ascii="Times New Roman" w:hAnsi="Times New Roman" w:cs="Times New Roman"/>
        </w:rPr>
        <w:t xml:space="preserve"> or practices. </w:t>
      </w:r>
      <w:r w:rsidR="00DE69E7" w:rsidRPr="006D2720">
        <w:rPr>
          <w:rFonts w:ascii="Times New Roman" w:hAnsi="Times New Roman" w:cs="Times New Roman"/>
        </w:rPr>
        <w:t>Health information</w:t>
      </w:r>
      <w:r w:rsidR="00BA66EE" w:rsidRPr="006D2720">
        <w:rPr>
          <w:rFonts w:ascii="Times New Roman" w:hAnsi="Times New Roman" w:cs="Times New Roman"/>
        </w:rPr>
        <w:t xml:space="preserve"> is a form of sensitive information that relates to the health of an individual or </w:t>
      </w:r>
      <w:r w:rsidR="007428A9" w:rsidRPr="006D2720">
        <w:rPr>
          <w:rFonts w:ascii="Times New Roman" w:hAnsi="Times New Roman" w:cs="Times New Roman"/>
        </w:rPr>
        <w:t xml:space="preserve">to </w:t>
      </w:r>
      <w:r w:rsidR="00BA66EE" w:rsidRPr="006D2720">
        <w:rPr>
          <w:rFonts w:ascii="Times New Roman" w:hAnsi="Times New Roman" w:cs="Times New Roman"/>
        </w:rPr>
        <w:t xml:space="preserve">health services that </w:t>
      </w:r>
      <w:r w:rsidR="007428A9" w:rsidRPr="006D2720">
        <w:rPr>
          <w:rFonts w:ascii="Times New Roman" w:hAnsi="Times New Roman" w:cs="Times New Roman"/>
        </w:rPr>
        <w:t xml:space="preserve">have been provided to them. </w:t>
      </w:r>
    </w:p>
    <w:p w14:paraId="1E941EEF" w14:textId="33FF23B8" w:rsidR="00D93A96" w:rsidRPr="006D2720" w:rsidRDefault="001D7DAD" w:rsidP="0066337D">
      <w:pPr>
        <w:pStyle w:val="Heading3"/>
        <w:rPr>
          <w:rFonts w:ascii="Times New Roman" w:hAnsi="Times New Roman" w:cs="Times New Roman"/>
        </w:rPr>
      </w:pPr>
      <w:r w:rsidRPr="006D2720">
        <w:rPr>
          <w:rFonts w:ascii="Times New Roman" w:hAnsi="Times New Roman" w:cs="Times New Roman"/>
        </w:rPr>
        <w:t xml:space="preserve">Under Tasmanian law, </w:t>
      </w:r>
      <w:r w:rsidR="000D1FD3" w:rsidRPr="006D2720">
        <w:rPr>
          <w:rFonts w:ascii="Times New Roman" w:hAnsi="Times New Roman" w:cs="Times New Roman"/>
        </w:rPr>
        <w:t>PIPP 10</w:t>
      </w:r>
      <w:r w:rsidR="00DE69E7" w:rsidRPr="006D2720">
        <w:rPr>
          <w:rFonts w:ascii="Times New Roman" w:hAnsi="Times New Roman" w:cs="Times New Roman"/>
        </w:rPr>
        <w:t xml:space="preserve"> </w:t>
      </w:r>
      <w:r w:rsidR="00DE1DAC" w:rsidRPr="006D2720">
        <w:rPr>
          <w:rFonts w:ascii="Times New Roman" w:hAnsi="Times New Roman" w:cs="Times New Roman"/>
        </w:rPr>
        <w:t>augment</w:t>
      </w:r>
      <w:r w:rsidR="009F2360" w:rsidRPr="006D2720">
        <w:rPr>
          <w:rFonts w:ascii="Times New Roman" w:hAnsi="Times New Roman" w:cs="Times New Roman"/>
        </w:rPr>
        <w:t>s</w:t>
      </w:r>
      <w:r w:rsidR="00DE1DAC" w:rsidRPr="006D2720">
        <w:rPr>
          <w:rFonts w:ascii="Times New Roman" w:hAnsi="Times New Roman" w:cs="Times New Roman"/>
        </w:rPr>
        <w:t xml:space="preserve"> the protection of personal information provided by the other PIPPs by placing more onerous restrictions on the </w:t>
      </w:r>
      <w:r w:rsidR="00DE69E7" w:rsidRPr="006D2720">
        <w:rPr>
          <w:rFonts w:ascii="Times New Roman" w:hAnsi="Times New Roman" w:cs="Times New Roman"/>
        </w:rPr>
        <w:t xml:space="preserve">collection of sensitive information </w:t>
      </w:r>
      <w:r w:rsidR="007428A9" w:rsidRPr="006D2720">
        <w:rPr>
          <w:rFonts w:ascii="Times New Roman" w:hAnsi="Times New Roman" w:cs="Times New Roman"/>
        </w:rPr>
        <w:t>generally</w:t>
      </w:r>
      <w:r w:rsidR="00411B97" w:rsidRPr="006D2720">
        <w:rPr>
          <w:rFonts w:ascii="Times New Roman" w:hAnsi="Times New Roman" w:cs="Times New Roman"/>
        </w:rPr>
        <w:t>.</w:t>
      </w:r>
      <w:r w:rsidR="00247B29" w:rsidRPr="006D2720">
        <w:rPr>
          <w:rStyle w:val="FootnoteReference"/>
          <w:rFonts w:ascii="Times New Roman" w:hAnsi="Times New Roman" w:cs="Times New Roman"/>
        </w:rPr>
        <w:footnoteReference w:id="179"/>
      </w:r>
      <w:r w:rsidR="007428A9" w:rsidRPr="006D2720">
        <w:rPr>
          <w:rFonts w:ascii="Times New Roman" w:hAnsi="Times New Roman" w:cs="Times New Roman"/>
        </w:rPr>
        <w:t xml:space="preserve"> </w:t>
      </w:r>
      <w:r w:rsidR="00411B97" w:rsidRPr="006D2720">
        <w:rPr>
          <w:rFonts w:ascii="Times New Roman" w:hAnsi="Times New Roman" w:cs="Times New Roman"/>
        </w:rPr>
        <w:t xml:space="preserve">There are also a few additional circumstances in which </w:t>
      </w:r>
      <w:r w:rsidR="00ED2C49" w:rsidRPr="006D2720">
        <w:rPr>
          <w:rFonts w:ascii="Times New Roman" w:hAnsi="Times New Roman" w:cs="Times New Roman"/>
        </w:rPr>
        <w:t>h</w:t>
      </w:r>
      <w:r w:rsidR="007428A9" w:rsidRPr="006D2720">
        <w:rPr>
          <w:rFonts w:ascii="Times New Roman" w:hAnsi="Times New Roman" w:cs="Times New Roman"/>
        </w:rPr>
        <w:t>ealth information</w:t>
      </w:r>
      <w:r w:rsidR="004C111F" w:rsidRPr="006D2720">
        <w:rPr>
          <w:rFonts w:ascii="Times New Roman" w:hAnsi="Times New Roman" w:cs="Times New Roman"/>
        </w:rPr>
        <w:t xml:space="preserve">, as a particular type of sensitive information, </w:t>
      </w:r>
      <w:r w:rsidR="00411B97" w:rsidRPr="006D2720">
        <w:rPr>
          <w:rFonts w:ascii="Times New Roman" w:hAnsi="Times New Roman" w:cs="Times New Roman"/>
        </w:rPr>
        <w:t>can be collected</w:t>
      </w:r>
      <w:r w:rsidR="007428A9" w:rsidRPr="006D2720">
        <w:rPr>
          <w:rFonts w:ascii="Times New Roman" w:hAnsi="Times New Roman" w:cs="Times New Roman"/>
        </w:rPr>
        <w:t>.</w:t>
      </w:r>
      <w:r w:rsidR="00BD0435" w:rsidRPr="006D2720">
        <w:rPr>
          <w:rStyle w:val="FootnoteReference"/>
          <w:rFonts w:ascii="Times New Roman" w:hAnsi="Times New Roman" w:cs="Times New Roman"/>
        </w:rPr>
        <w:footnoteReference w:id="180"/>
      </w:r>
    </w:p>
    <w:p w14:paraId="21BD1AF8" w14:textId="7853B607" w:rsidR="00570445" w:rsidRPr="006D2720" w:rsidRDefault="0059608F" w:rsidP="0066337D">
      <w:pPr>
        <w:pStyle w:val="Heading3"/>
        <w:rPr>
          <w:rFonts w:ascii="Times New Roman" w:hAnsi="Times New Roman" w:cs="Times New Roman"/>
        </w:rPr>
      </w:pPr>
      <w:r w:rsidRPr="006D2720">
        <w:rPr>
          <w:rFonts w:ascii="Times New Roman" w:hAnsi="Times New Roman" w:cs="Times New Roman"/>
        </w:rPr>
        <w:t>As well as</w:t>
      </w:r>
      <w:r w:rsidR="00AB31B3" w:rsidRPr="006D2720">
        <w:rPr>
          <w:rFonts w:ascii="Times New Roman" w:hAnsi="Times New Roman" w:cs="Times New Roman"/>
        </w:rPr>
        <w:t xml:space="preserve"> PIPP 10</w:t>
      </w:r>
      <w:r w:rsidRPr="006D2720">
        <w:rPr>
          <w:rFonts w:ascii="Times New Roman" w:hAnsi="Times New Roman" w:cs="Times New Roman"/>
        </w:rPr>
        <w:t xml:space="preserve">, which is </w:t>
      </w:r>
      <w:r w:rsidR="00AB31B3" w:rsidRPr="006D2720">
        <w:rPr>
          <w:rFonts w:ascii="Times New Roman" w:hAnsi="Times New Roman" w:cs="Times New Roman"/>
        </w:rPr>
        <w:t>dedicated to this subset of information, s</w:t>
      </w:r>
      <w:r w:rsidR="00D93A96" w:rsidRPr="006D2720">
        <w:rPr>
          <w:rFonts w:ascii="Times New Roman" w:hAnsi="Times New Roman" w:cs="Times New Roman"/>
        </w:rPr>
        <w:t xml:space="preserve">ensitive </w:t>
      </w:r>
      <w:bookmarkStart w:id="279" w:name="_Toc91536595"/>
      <w:bookmarkStart w:id="280" w:name="_Toc91536596"/>
      <w:bookmarkStart w:id="281" w:name="_Toc91536597"/>
      <w:bookmarkStart w:id="282" w:name="_Toc91536598"/>
      <w:bookmarkStart w:id="283" w:name="_Toc91536599"/>
      <w:bookmarkStart w:id="284" w:name="_Toc91536600"/>
      <w:bookmarkStart w:id="285" w:name="_Toc91536601"/>
      <w:bookmarkStart w:id="286" w:name="_Toc91536602"/>
      <w:bookmarkStart w:id="287" w:name="_Toc91536603"/>
      <w:bookmarkEnd w:id="279"/>
      <w:bookmarkEnd w:id="280"/>
      <w:bookmarkEnd w:id="281"/>
      <w:bookmarkEnd w:id="282"/>
      <w:bookmarkEnd w:id="283"/>
      <w:bookmarkEnd w:id="284"/>
      <w:bookmarkEnd w:id="285"/>
      <w:bookmarkEnd w:id="286"/>
      <w:bookmarkEnd w:id="287"/>
      <w:r w:rsidR="000A20DB" w:rsidRPr="006D2720">
        <w:rPr>
          <w:rFonts w:ascii="Times New Roman" w:hAnsi="Times New Roman" w:cs="Times New Roman"/>
        </w:rPr>
        <w:t xml:space="preserve">information is also given increased protection in </w:t>
      </w:r>
      <w:r w:rsidR="00EB4ABE" w:rsidRPr="006D2720">
        <w:rPr>
          <w:rFonts w:ascii="Times New Roman" w:hAnsi="Times New Roman" w:cs="Times New Roman"/>
        </w:rPr>
        <w:t>other PIPPs</w:t>
      </w:r>
      <w:r w:rsidR="00635D6C" w:rsidRPr="006D2720">
        <w:rPr>
          <w:rFonts w:ascii="Times New Roman" w:hAnsi="Times New Roman" w:cs="Times New Roman"/>
        </w:rPr>
        <w:t xml:space="preserve">. For example, </w:t>
      </w:r>
      <w:r w:rsidR="00D93A96" w:rsidRPr="006D2720">
        <w:rPr>
          <w:rFonts w:ascii="Times New Roman" w:hAnsi="Times New Roman" w:cs="Times New Roman"/>
        </w:rPr>
        <w:t xml:space="preserve">PIPP 2 </w:t>
      </w:r>
      <w:r w:rsidR="003B0207" w:rsidRPr="006D2720">
        <w:rPr>
          <w:rFonts w:ascii="Times New Roman" w:hAnsi="Times New Roman" w:cs="Times New Roman"/>
        </w:rPr>
        <w:t xml:space="preserve">requires that </w:t>
      </w:r>
      <w:r w:rsidR="00A33DF7" w:rsidRPr="006D2720">
        <w:rPr>
          <w:rFonts w:ascii="Times New Roman" w:hAnsi="Times New Roman" w:cs="Times New Roman"/>
        </w:rPr>
        <w:t>personal</w:t>
      </w:r>
      <w:r w:rsidR="00566991" w:rsidRPr="006D2720">
        <w:rPr>
          <w:rFonts w:ascii="Times New Roman" w:hAnsi="Times New Roman" w:cs="Times New Roman"/>
        </w:rPr>
        <w:t xml:space="preserve"> </w:t>
      </w:r>
      <w:r w:rsidR="00425B49" w:rsidRPr="006D2720">
        <w:rPr>
          <w:rFonts w:ascii="Times New Roman" w:hAnsi="Times New Roman" w:cs="Times New Roman"/>
        </w:rPr>
        <w:t>information</w:t>
      </w:r>
      <w:r w:rsidR="003B0207" w:rsidRPr="006D2720">
        <w:rPr>
          <w:rFonts w:ascii="Times New Roman" w:hAnsi="Times New Roman" w:cs="Times New Roman"/>
        </w:rPr>
        <w:t xml:space="preserve"> </w:t>
      </w:r>
      <w:r w:rsidR="00425B49" w:rsidRPr="006D2720">
        <w:rPr>
          <w:rFonts w:ascii="Times New Roman" w:hAnsi="Times New Roman" w:cs="Times New Roman"/>
        </w:rPr>
        <w:t>be used or disclosed only for the primary purpose for which it was collected</w:t>
      </w:r>
      <w:r w:rsidR="00566991" w:rsidRPr="006D2720">
        <w:rPr>
          <w:rFonts w:ascii="Times New Roman" w:hAnsi="Times New Roman" w:cs="Times New Roman"/>
        </w:rPr>
        <w:t xml:space="preserve">. </w:t>
      </w:r>
      <w:r w:rsidR="003B0207" w:rsidRPr="006D2720">
        <w:rPr>
          <w:rFonts w:ascii="Times New Roman" w:hAnsi="Times New Roman" w:cs="Times New Roman"/>
        </w:rPr>
        <w:t xml:space="preserve">An </w:t>
      </w:r>
      <w:r w:rsidR="00B516A8" w:rsidRPr="006D2720">
        <w:rPr>
          <w:rFonts w:ascii="Times New Roman" w:hAnsi="Times New Roman" w:cs="Times New Roman"/>
        </w:rPr>
        <w:t xml:space="preserve">exception </w:t>
      </w:r>
      <w:r w:rsidR="003B0207" w:rsidRPr="006D2720">
        <w:rPr>
          <w:rFonts w:ascii="Times New Roman" w:hAnsi="Times New Roman" w:cs="Times New Roman"/>
        </w:rPr>
        <w:t>to this</w:t>
      </w:r>
      <w:r w:rsidR="008376B3" w:rsidRPr="006D2720">
        <w:rPr>
          <w:rFonts w:ascii="Times New Roman" w:hAnsi="Times New Roman" w:cs="Times New Roman"/>
        </w:rPr>
        <w:t xml:space="preserve"> </w:t>
      </w:r>
      <w:r w:rsidR="00B516A8" w:rsidRPr="006D2720">
        <w:rPr>
          <w:rFonts w:ascii="Times New Roman" w:hAnsi="Times New Roman" w:cs="Times New Roman"/>
        </w:rPr>
        <w:t xml:space="preserve">is </w:t>
      </w:r>
      <w:r w:rsidR="00566991" w:rsidRPr="006D2720">
        <w:rPr>
          <w:rFonts w:ascii="Times New Roman" w:hAnsi="Times New Roman" w:cs="Times New Roman"/>
        </w:rPr>
        <w:t>where</w:t>
      </w:r>
      <w:r w:rsidR="008376B3" w:rsidRPr="006D2720">
        <w:rPr>
          <w:rFonts w:ascii="Times New Roman" w:hAnsi="Times New Roman" w:cs="Times New Roman"/>
        </w:rPr>
        <w:t xml:space="preserve"> a</w:t>
      </w:r>
      <w:r w:rsidR="00566991" w:rsidRPr="006D2720">
        <w:rPr>
          <w:rFonts w:ascii="Times New Roman" w:hAnsi="Times New Roman" w:cs="Times New Roman"/>
        </w:rPr>
        <w:t xml:space="preserve"> secondary purpose</w:t>
      </w:r>
      <w:r w:rsidR="008376B3" w:rsidRPr="006D2720">
        <w:rPr>
          <w:rFonts w:ascii="Times New Roman" w:hAnsi="Times New Roman" w:cs="Times New Roman"/>
        </w:rPr>
        <w:t xml:space="preserve"> for use or disclosure is</w:t>
      </w:r>
      <w:r w:rsidR="00566991" w:rsidRPr="006D2720">
        <w:rPr>
          <w:rFonts w:ascii="Times New Roman" w:hAnsi="Times New Roman" w:cs="Times New Roman"/>
        </w:rPr>
        <w:t xml:space="preserve"> ‘related’ to the primary purpose</w:t>
      </w:r>
      <w:r w:rsidR="00B3485C" w:rsidRPr="006D2720">
        <w:rPr>
          <w:rFonts w:ascii="Times New Roman" w:hAnsi="Times New Roman" w:cs="Times New Roman"/>
        </w:rPr>
        <w:t xml:space="preserve"> and the individual would reasonably expect the custodian to use or disclose the information for that secondary purpose</w:t>
      </w:r>
      <w:r w:rsidR="00566991" w:rsidRPr="006D2720">
        <w:rPr>
          <w:rFonts w:ascii="Times New Roman" w:hAnsi="Times New Roman" w:cs="Times New Roman"/>
        </w:rPr>
        <w:t>. However</w:t>
      </w:r>
      <w:r w:rsidR="00425B49" w:rsidRPr="006D2720">
        <w:rPr>
          <w:rFonts w:ascii="Times New Roman" w:hAnsi="Times New Roman" w:cs="Times New Roman"/>
        </w:rPr>
        <w:t>,</w:t>
      </w:r>
      <w:r w:rsidR="00566991" w:rsidRPr="006D2720">
        <w:rPr>
          <w:rFonts w:ascii="Times New Roman" w:hAnsi="Times New Roman" w:cs="Times New Roman"/>
        </w:rPr>
        <w:t xml:space="preserve"> </w:t>
      </w:r>
      <w:r w:rsidR="00DF4E47" w:rsidRPr="006D2720">
        <w:rPr>
          <w:rFonts w:ascii="Times New Roman" w:hAnsi="Times New Roman" w:cs="Times New Roman"/>
        </w:rPr>
        <w:t>if the information in question is sensitive information, the secondary purpose must not only be related, but rather be ‘</w:t>
      </w:r>
      <w:r w:rsidR="00DF4E47" w:rsidRPr="006D2720">
        <w:rPr>
          <w:rFonts w:ascii="Times New Roman" w:hAnsi="Times New Roman" w:cs="Times New Roman"/>
          <w:i/>
          <w:iCs/>
        </w:rPr>
        <w:t xml:space="preserve">directly </w:t>
      </w:r>
      <w:r w:rsidR="00DF4E47" w:rsidRPr="006D2720">
        <w:rPr>
          <w:rFonts w:ascii="Times New Roman" w:hAnsi="Times New Roman" w:cs="Times New Roman"/>
        </w:rPr>
        <w:t xml:space="preserve">related’ </w:t>
      </w:r>
      <w:r w:rsidR="00570445" w:rsidRPr="006D2720">
        <w:rPr>
          <w:rFonts w:ascii="Times New Roman" w:hAnsi="Times New Roman" w:cs="Times New Roman"/>
        </w:rPr>
        <w:t>to the primary purpose</w:t>
      </w:r>
      <w:r w:rsidR="00DF4E47" w:rsidRPr="006D2720">
        <w:rPr>
          <w:rFonts w:ascii="Times New Roman" w:hAnsi="Times New Roman" w:cs="Times New Roman"/>
        </w:rPr>
        <w:t>.</w:t>
      </w:r>
      <w:r w:rsidR="006C2BA5" w:rsidRPr="006D2720">
        <w:rPr>
          <w:rStyle w:val="FootnoteReference"/>
          <w:rFonts w:ascii="Times New Roman" w:hAnsi="Times New Roman" w:cs="Times New Roman"/>
        </w:rPr>
        <w:footnoteReference w:id="181"/>
      </w:r>
    </w:p>
    <w:p w14:paraId="3A9BB108" w14:textId="31129AD2" w:rsidR="001A46A3" w:rsidRPr="006D2720" w:rsidRDefault="0059608F" w:rsidP="00081777">
      <w:pPr>
        <w:pStyle w:val="Heading3"/>
        <w:rPr>
          <w:rFonts w:ascii="Times New Roman" w:hAnsi="Times New Roman" w:cs="Times New Roman"/>
        </w:rPr>
      </w:pPr>
      <w:r w:rsidRPr="006D2720">
        <w:rPr>
          <w:rFonts w:ascii="Times New Roman" w:hAnsi="Times New Roman" w:cs="Times New Roman"/>
        </w:rPr>
        <w:t>Under Commonwealth law</w:t>
      </w:r>
      <w:r w:rsidR="00B516A8" w:rsidRPr="006D2720">
        <w:rPr>
          <w:rFonts w:ascii="Times New Roman" w:hAnsi="Times New Roman" w:cs="Times New Roman"/>
        </w:rPr>
        <w:t xml:space="preserve">, APP 3 </w:t>
      </w:r>
      <w:r w:rsidR="00A766FC" w:rsidRPr="006D2720">
        <w:rPr>
          <w:rFonts w:ascii="Times New Roman" w:hAnsi="Times New Roman" w:cs="Times New Roman"/>
        </w:rPr>
        <w:t xml:space="preserve">on </w:t>
      </w:r>
      <w:r w:rsidR="001B75A3" w:rsidRPr="006D2720">
        <w:rPr>
          <w:rFonts w:ascii="Times New Roman" w:hAnsi="Times New Roman" w:cs="Times New Roman"/>
        </w:rPr>
        <w:t xml:space="preserve">collection of information similarly </w:t>
      </w:r>
      <w:r w:rsidR="001F0986" w:rsidRPr="006D2720">
        <w:rPr>
          <w:rFonts w:ascii="Times New Roman" w:hAnsi="Times New Roman" w:cs="Times New Roman"/>
        </w:rPr>
        <w:t xml:space="preserve">provides special protections </w:t>
      </w:r>
      <w:r w:rsidR="009B0238" w:rsidRPr="006D2720">
        <w:rPr>
          <w:rFonts w:ascii="Times New Roman" w:hAnsi="Times New Roman" w:cs="Times New Roman"/>
        </w:rPr>
        <w:t>for</w:t>
      </w:r>
      <w:r w:rsidR="00D35FB1" w:rsidRPr="006D2720">
        <w:rPr>
          <w:rFonts w:ascii="Times New Roman" w:hAnsi="Times New Roman" w:cs="Times New Roman"/>
        </w:rPr>
        <w:t xml:space="preserve"> </w:t>
      </w:r>
      <w:r w:rsidR="001B75A3" w:rsidRPr="006D2720">
        <w:rPr>
          <w:rFonts w:ascii="Times New Roman" w:hAnsi="Times New Roman" w:cs="Times New Roman"/>
        </w:rPr>
        <w:t xml:space="preserve">sensitive information. </w:t>
      </w:r>
      <w:r w:rsidR="0043344F" w:rsidRPr="006D2720">
        <w:rPr>
          <w:rFonts w:ascii="Times New Roman" w:hAnsi="Times New Roman" w:cs="Times New Roman"/>
        </w:rPr>
        <w:t xml:space="preserve">However, </w:t>
      </w:r>
      <w:r w:rsidRPr="006D2720">
        <w:rPr>
          <w:rFonts w:ascii="Times New Roman" w:hAnsi="Times New Roman" w:cs="Times New Roman"/>
        </w:rPr>
        <w:t xml:space="preserve">there are </w:t>
      </w:r>
      <w:r w:rsidR="0043344F" w:rsidRPr="006D2720">
        <w:rPr>
          <w:rFonts w:ascii="Times New Roman" w:hAnsi="Times New Roman" w:cs="Times New Roman"/>
        </w:rPr>
        <w:t xml:space="preserve">differences </w:t>
      </w:r>
      <w:r w:rsidRPr="006D2720">
        <w:rPr>
          <w:rFonts w:ascii="Times New Roman" w:hAnsi="Times New Roman" w:cs="Times New Roman"/>
        </w:rPr>
        <w:t xml:space="preserve">between PIPP 10 and APP 3 </w:t>
      </w:r>
      <w:r w:rsidR="0043344F" w:rsidRPr="006D2720">
        <w:rPr>
          <w:rFonts w:ascii="Times New Roman" w:hAnsi="Times New Roman" w:cs="Times New Roman"/>
        </w:rPr>
        <w:t>in the</w:t>
      </w:r>
      <w:r w:rsidR="00D35FB1" w:rsidRPr="006D2720">
        <w:rPr>
          <w:rFonts w:ascii="Times New Roman" w:hAnsi="Times New Roman" w:cs="Times New Roman"/>
        </w:rPr>
        <w:t xml:space="preserve"> exceptions</w:t>
      </w:r>
      <w:r w:rsidRPr="006D2720">
        <w:rPr>
          <w:rFonts w:ascii="Times New Roman" w:hAnsi="Times New Roman" w:cs="Times New Roman"/>
        </w:rPr>
        <w:t xml:space="preserve"> that outline</w:t>
      </w:r>
      <w:r w:rsidR="00E94C0F" w:rsidRPr="006D2720">
        <w:rPr>
          <w:rFonts w:ascii="Times New Roman" w:hAnsi="Times New Roman" w:cs="Times New Roman"/>
        </w:rPr>
        <w:t xml:space="preserve"> </w:t>
      </w:r>
      <w:r w:rsidR="00E6264B" w:rsidRPr="006D2720">
        <w:rPr>
          <w:rFonts w:ascii="Times New Roman" w:hAnsi="Times New Roman" w:cs="Times New Roman"/>
        </w:rPr>
        <w:t>when sensitive information can nevertheless be collected</w:t>
      </w:r>
      <w:r w:rsidR="00DF4DAE" w:rsidRPr="006D2720">
        <w:rPr>
          <w:rFonts w:ascii="Times New Roman" w:hAnsi="Times New Roman" w:cs="Times New Roman"/>
        </w:rPr>
        <w:t>.</w:t>
      </w:r>
    </w:p>
    <w:p w14:paraId="35ADB402" w14:textId="3548D2D2" w:rsidR="00FB201B" w:rsidRPr="006D2720" w:rsidRDefault="00081777" w:rsidP="001A46A3">
      <w:pPr>
        <w:pStyle w:val="Dotpointlist"/>
        <w:rPr>
          <w:rFonts w:ascii="Times New Roman" w:hAnsi="Times New Roman" w:cs="Times New Roman"/>
        </w:rPr>
      </w:pPr>
      <w:r w:rsidRPr="006D2720">
        <w:rPr>
          <w:rFonts w:ascii="Times New Roman" w:hAnsi="Times New Roman" w:cs="Times New Roman"/>
        </w:rPr>
        <w:t>Under PIPP 10, consent of the individual is a</w:t>
      </w:r>
      <w:r w:rsidR="00D37D06" w:rsidRPr="006D2720">
        <w:rPr>
          <w:rFonts w:ascii="Times New Roman" w:hAnsi="Times New Roman" w:cs="Times New Roman"/>
        </w:rPr>
        <w:t xml:space="preserve">n </w:t>
      </w:r>
      <w:r w:rsidRPr="006D2720">
        <w:rPr>
          <w:rFonts w:ascii="Times New Roman" w:hAnsi="Times New Roman" w:cs="Times New Roman"/>
        </w:rPr>
        <w:t xml:space="preserve">exception. </w:t>
      </w:r>
      <w:r w:rsidR="001A46A3" w:rsidRPr="006D2720">
        <w:rPr>
          <w:rFonts w:ascii="Times New Roman" w:hAnsi="Times New Roman" w:cs="Times New Roman"/>
        </w:rPr>
        <w:t>U</w:t>
      </w:r>
      <w:r w:rsidRPr="006D2720">
        <w:rPr>
          <w:rFonts w:ascii="Times New Roman" w:hAnsi="Times New Roman" w:cs="Times New Roman"/>
        </w:rPr>
        <w:t>nder APP 3</w:t>
      </w:r>
      <w:r w:rsidR="00315527" w:rsidRPr="006D2720">
        <w:rPr>
          <w:rFonts w:ascii="Times New Roman" w:hAnsi="Times New Roman" w:cs="Times New Roman"/>
        </w:rPr>
        <w:t>,</w:t>
      </w:r>
      <w:r w:rsidR="002D70E3" w:rsidRPr="006D2720">
        <w:rPr>
          <w:rFonts w:ascii="Times New Roman" w:hAnsi="Times New Roman" w:cs="Times New Roman"/>
        </w:rPr>
        <w:t xml:space="preserve"> </w:t>
      </w:r>
      <w:r w:rsidR="00D37D06" w:rsidRPr="006D2720">
        <w:rPr>
          <w:rFonts w:ascii="Times New Roman" w:hAnsi="Times New Roman" w:cs="Times New Roman"/>
        </w:rPr>
        <w:t xml:space="preserve">consent </w:t>
      </w:r>
      <w:r w:rsidR="00060E5C" w:rsidRPr="006D2720">
        <w:rPr>
          <w:rFonts w:ascii="Times New Roman" w:hAnsi="Times New Roman" w:cs="Times New Roman"/>
        </w:rPr>
        <w:t>on its own</w:t>
      </w:r>
      <w:r w:rsidR="00D37D06" w:rsidRPr="006D2720">
        <w:rPr>
          <w:rFonts w:ascii="Times New Roman" w:hAnsi="Times New Roman" w:cs="Times New Roman"/>
        </w:rPr>
        <w:t xml:space="preserve"> is insufficient</w:t>
      </w:r>
      <w:r w:rsidR="00F46DB7" w:rsidRPr="006D2720">
        <w:rPr>
          <w:rFonts w:ascii="Times New Roman" w:hAnsi="Times New Roman" w:cs="Times New Roman"/>
        </w:rPr>
        <w:t xml:space="preserve"> and t</w:t>
      </w:r>
      <w:r w:rsidR="001A4E9B" w:rsidRPr="006D2720">
        <w:rPr>
          <w:rFonts w:ascii="Times New Roman" w:hAnsi="Times New Roman" w:cs="Times New Roman"/>
        </w:rPr>
        <w:t>he</w:t>
      </w:r>
      <w:r w:rsidR="00BD0435" w:rsidRPr="006D2720">
        <w:rPr>
          <w:rFonts w:ascii="Times New Roman" w:hAnsi="Times New Roman" w:cs="Times New Roman"/>
        </w:rPr>
        <w:t xml:space="preserve"> collection of the </w:t>
      </w:r>
      <w:r w:rsidR="00AB25B0" w:rsidRPr="006D2720">
        <w:rPr>
          <w:rFonts w:ascii="Times New Roman" w:hAnsi="Times New Roman" w:cs="Times New Roman"/>
        </w:rPr>
        <w:t>information must still be reasonably necessary or directly related to one or more of the agenc</w:t>
      </w:r>
      <w:r w:rsidR="00F3538E" w:rsidRPr="006D2720">
        <w:rPr>
          <w:rFonts w:ascii="Times New Roman" w:hAnsi="Times New Roman" w:cs="Times New Roman"/>
        </w:rPr>
        <w:t>y’s</w:t>
      </w:r>
      <w:r w:rsidR="00AB25B0" w:rsidRPr="006D2720">
        <w:rPr>
          <w:rFonts w:ascii="Times New Roman" w:hAnsi="Times New Roman" w:cs="Times New Roman"/>
        </w:rPr>
        <w:t xml:space="preserve"> functions or activities</w:t>
      </w:r>
      <w:r w:rsidR="00CA3EED" w:rsidRPr="006D2720">
        <w:rPr>
          <w:rFonts w:ascii="Times New Roman" w:hAnsi="Times New Roman" w:cs="Times New Roman"/>
        </w:rPr>
        <w:t xml:space="preserve">. </w:t>
      </w:r>
    </w:p>
    <w:p w14:paraId="6B280FAE" w14:textId="36CF9864" w:rsidR="006F28AC" w:rsidRPr="006D2720" w:rsidRDefault="0019564F" w:rsidP="005F58CD">
      <w:pPr>
        <w:pStyle w:val="Dotpointlist"/>
        <w:rPr>
          <w:rFonts w:ascii="Times New Roman" w:hAnsi="Times New Roman" w:cs="Times New Roman"/>
        </w:rPr>
      </w:pPr>
      <w:r w:rsidRPr="006D2720">
        <w:rPr>
          <w:rFonts w:ascii="Times New Roman" w:hAnsi="Times New Roman" w:cs="Times New Roman"/>
        </w:rPr>
        <w:t xml:space="preserve">Both PIPP 10 and APP 3 allow </w:t>
      </w:r>
      <w:r w:rsidR="006F28AC" w:rsidRPr="006D2720">
        <w:rPr>
          <w:rFonts w:ascii="Times New Roman" w:hAnsi="Times New Roman" w:cs="Times New Roman"/>
        </w:rPr>
        <w:t xml:space="preserve">for </w:t>
      </w:r>
      <w:r w:rsidRPr="006D2720">
        <w:rPr>
          <w:rFonts w:ascii="Times New Roman" w:hAnsi="Times New Roman" w:cs="Times New Roman"/>
        </w:rPr>
        <w:t xml:space="preserve">health information </w:t>
      </w:r>
      <w:r w:rsidR="006F28AC" w:rsidRPr="006D2720">
        <w:rPr>
          <w:rFonts w:ascii="Times New Roman" w:hAnsi="Times New Roman" w:cs="Times New Roman"/>
        </w:rPr>
        <w:t xml:space="preserve">to </w:t>
      </w:r>
      <w:r w:rsidRPr="006D2720">
        <w:rPr>
          <w:rFonts w:ascii="Times New Roman" w:hAnsi="Times New Roman" w:cs="Times New Roman"/>
        </w:rPr>
        <w:t xml:space="preserve">be collected for research purposes. </w:t>
      </w:r>
      <w:r w:rsidR="00A3020F" w:rsidRPr="006D2720">
        <w:rPr>
          <w:rFonts w:ascii="Times New Roman" w:hAnsi="Times New Roman" w:cs="Times New Roman"/>
        </w:rPr>
        <w:t xml:space="preserve">Numerous requirements must be met, including that there are rules governing the collection. Under PIPP 10, the collection must either be required by law (other than </w:t>
      </w:r>
      <w:r w:rsidR="002D16CF" w:rsidRPr="006D2720">
        <w:rPr>
          <w:rFonts w:ascii="Times New Roman" w:hAnsi="Times New Roman" w:cs="Times New Roman"/>
        </w:rPr>
        <w:t>the PIPA</w:t>
      </w:r>
      <w:r w:rsidR="00A3020F" w:rsidRPr="006D2720">
        <w:rPr>
          <w:rFonts w:ascii="Times New Roman" w:hAnsi="Times New Roman" w:cs="Times New Roman"/>
        </w:rPr>
        <w:t>)</w:t>
      </w:r>
      <w:r w:rsidR="002522CB" w:rsidRPr="006D2720">
        <w:rPr>
          <w:rFonts w:ascii="Times New Roman" w:hAnsi="Times New Roman" w:cs="Times New Roman"/>
        </w:rPr>
        <w:t xml:space="preserve">, or </w:t>
      </w:r>
      <w:r w:rsidR="00A3020F" w:rsidRPr="006D2720">
        <w:rPr>
          <w:rFonts w:ascii="Times New Roman" w:hAnsi="Times New Roman" w:cs="Times New Roman"/>
        </w:rPr>
        <w:t>it is</w:t>
      </w:r>
      <w:r w:rsidR="00854BB5" w:rsidRPr="006D2720">
        <w:rPr>
          <w:rFonts w:ascii="Times New Roman" w:hAnsi="Times New Roman" w:cs="Times New Roman"/>
        </w:rPr>
        <w:t xml:space="preserve"> done</w:t>
      </w:r>
      <w:r w:rsidR="00A3020F" w:rsidRPr="006D2720">
        <w:rPr>
          <w:rFonts w:ascii="Times New Roman" w:hAnsi="Times New Roman" w:cs="Times New Roman"/>
        </w:rPr>
        <w:t xml:space="preserve"> </w:t>
      </w:r>
      <w:r w:rsidR="00854BB5" w:rsidRPr="006D2720">
        <w:rPr>
          <w:rFonts w:ascii="Times New Roman" w:hAnsi="Times New Roman" w:cs="Times New Roman"/>
        </w:rPr>
        <w:t xml:space="preserve">in accordance with </w:t>
      </w:r>
      <w:r w:rsidR="00A3020F" w:rsidRPr="006D2720">
        <w:rPr>
          <w:rFonts w:ascii="Times New Roman" w:hAnsi="Times New Roman" w:cs="Times New Roman"/>
        </w:rPr>
        <w:t>professional confidentiality rules</w:t>
      </w:r>
      <w:r w:rsidR="002522CB" w:rsidRPr="006D2720">
        <w:rPr>
          <w:rFonts w:ascii="Times New Roman" w:hAnsi="Times New Roman" w:cs="Times New Roman"/>
        </w:rPr>
        <w:t xml:space="preserve"> </w:t>
      </w:r>
      <w:r w:rsidR="007906FB" w:rsidRPr="006D2720">
        <w:rPr>
          <w:rFonts w:ascii="Times New Roman" w:hAnsi="Times New Roman" w:cs="Times New Roman"/>
        </w:rPr>
        <w:t>set</w:t>
      </w:r>
      <w:r w:rsidR="002522CB" w:rsidRPr="006D2720">
        <w:rPr>
          <w:rFonts w:ascii="Times New Roman" w:hAnsi="Times New Roman" w:cs="Times New Roman"/>
        </w:rPr>
        <w:t xml:space="preserve"> by the relevant health/medical associations</w:t>
      </w:r>
      <w:r w:rsidR="00A3020F" w:rsidRPr="006D2720">
        <w:rPr>
          <w:rFonts w:ascii="Times New Roman" w:hAnsi="Times New Roman" w:cs="Times New Roman"/>
        </w:rPr>
        <w:t xml:space="preserve">. </w:t>
      </w:r>
      <w:r w:rsidR="00875019" w:rsidRPr="006D2720">
        <w:rPr>
          <w:rFonts w:ascii="Times New Roman" w:hAnsi="Times New Roman" w:cs="Times New Roman"/>
        </w:rPr>
        <w:t xml:space="preserve">APP 3 </w:t>
      </w:r>
      <w:r w:rsidR="00E75FF5" w:rsidRPr="006D2720">
        <w:rPr>
          <w:rFonts w:ascii="Times New Roman" w:hAnsi="Times New Roman" w:cs="Times New Roman"/>
        </w:rPr>
        <w:t xml:space="preserve">specifies </w:t>
      </w:r>
      <w:r w:rsidR="00F46DB7" w:rsidRPr="006D2720">
        <w:rPr>
          <w:rFonts w:ascii="Times New Roman" w:hAnsi="Times New Roman" w:cs="Times New Roman"/>
        </w:rPr>
        <w:t>the</w:t>
      </w:r>
      <w:r w:rsidR="00E75FF5" w:rsidRPr="006D2720">
        <w:rPr>
          <w:rFonts w:ascii="Times New Roman" w:hAnsi="Times New Roman" w:cs="Times New Roman"/>
        </w:rPr>
        <w:t xml:space="preserve"> same</w:t>
      </w:r>
      <w:r w:rsidR="00F46DB7" w:rsidRPr="006D2720">
        <w:rPr>
          <w:rFonts w:ascii="Times New Roman" w:hAnsi="Times New Roman" w:cs="Times New Roman"/>
        </w:rPr>
        <w:t xml:space="preserve"> two authorisation requirements as well as </w:t>
      </w:r>
      <w:r w:rsidR="0050007A" w:rsidRPr="006D2720">
        <w:rPr>
          <w:rFonts w:ascii="Times New Roman" w:hAnsi="Times New Roman" w:cs="Times New Roman"/>
        </w:rPr>
        <w:t xml:space="preserve">an additional </w:t>
      </w:r>
      <w:r w:rsidR="00E75FF5" w:rsidRPr="006D2720">
        <w:rPr>
          <w:rFonts w:ascii="Times New Roman" w:hAnsi="Times New Roman" w:cs="Times New Roman"/>
        </w:rPr>
        <w:t>requirement</w:t>
      </w:r>
      <w:r w:rsidR="00194C5A" w:rsidRPr="006D2720">
        <w:rPr>
          <w:rFonts w:ascii="Times New Roman" w:hAnsi="Times New Roman" w:cs="Times New Roman"/>
        </w:rPr>
        <w:t xml:space="preserve"> not present in the PIPA</w:t>
      </w:r>
      <w:r w:rsidR="006F28AC" w:rsidRPr="006D2720">
        <w:rPr>
          <w:rFonts w:ascii="Times New Roman" w:hAnsi="Times New Roman" w:cs="Times New Roman"/>
        </w:rPr>
        <w:t>:</w:t>
      </w:r>
      <w:r w:rsidR="0050007A" w:rsidRPr="006D2720">
        <w:rPr>
          <w:rFonts w:ascii="Times New Roman" w:hAnsi="Times New Roman" w:cs="Times New Roman"/>
        </w:rPr>
        <w:t xml:space="preserve"> </w:t>
      </w:r>
      <w:r w:rsidR="006F28AC" w:rsidRPr="006D2720">
        <w:rPr>
          <w:rFonts w:ascii="Times New Roman" w:hAnsi="Times New Roman" w:cs="Times New Roman"/>
        </w:rPr>
        <w:t xml:space="preserve">it </w:t>
      </w:r>
      <w:r w:rsidR="00E75FF5" w:rsidRPr="006D2720">
        <w:rPr>
          <w:rFonts w:ascii="Times New Roman" w:hAnsi="Times New Roman" w:cs="Times New Roman"/>
        </w:rPr>
        <w:t>must be</w:t>
      </w:r>
      <w:r w:rsidR="006F28AC" w:rsidRPr="006D2720">
        <w:rPr>
          <w:rFonts w:ascii="Times New Roman" w:hAnsi="Times New Roman" w:cs="Times New Roman"/>
        </w:rPr>
        <w:t xml:space="preserve"> collected in accordance with </w:t>
      </w:r>
      <w:r w:rsidR="00E75FF5" w:rsidRPr="006D2720">
        <w:rPr>
          <w:rFonts w:ascii="Times New Roman" w:hAnsi="Times New Roman" w:cs="Times New Roman"/>
        </w:rPr>
        <w:t xml:space="preserve">relevant </w:t>
      </w:r>
      <w:r w:rsidR="00194C5A" w:rsidRPr="006D2720">
        <w:rPr>
          <w:rFonts w:ascii="Times New Roman" w:hAnsi="Times New Roman" w:cs="Times New Roman"/>
        </w:rPr>
        <w:t xml:space="preserve">guidelines approved by the </w:t>
      </w:r>
      <w:r w:rsidR="00F45DC7" w:rsidRPr="006D2720">
        <w:rPr>
          <w:rFonts w:ascii="Times New Roman" w:hAnsi="Times New Roman" w:cs="Times New Roman"/>
        </w:rPr>
        <w:t xml:space="preserve">Information </w:t>
      </w:r>
      <w:r w:rsidR="00E75FF5" w:rsidRPr="006D2720">
        <w:rPr>
          <w:rFonts w:ascii="Times New Roman" w:hAnsi="Times New Roman" w:cs="Times New Roman"/>
        </w:rPr>
        <w:t>Commissioner</w:t>
      </w:r>
      <w:r w:rsidR="00765F86" w:rsidRPr="006D2720">
        <w:rPr>
          <w:rFonts w:ascii="Times New Roman" w:hAnsi="Times New Roman" w:cs="Times New Roman"/>
        </w:rPr>
        <w:t>.</w:t>
      </w:r>
      <w:r w:rsidR="00765F86" w:rsidRPr="006D2720">
        <w:rPr>
          <w:rStyle w:val="FootnoteReference"/>
          <w:rFonts w:ascii="Times New Roman" w:hAnsi="Times New Roman" w:cs="Times New Roman"/>
        </w:rPr>
        <w:footnoteReference w:id="182"/>
      </w:r>
      <w:r w:rsidR="00765F86" w:rsidRPr="006D2720">
        <w:rPr>
          <w:rFonts w:ascii="Times New Roman" w:hAnsi="Times New Roman" w:cs="Times New Roman"/>
        </w:rPr>
        <w:t xml:space="preserve"> </w:t>
      </w:r>
    </w:p>
    <w:p w14:paraId="05BE6688" w14:textId="0ECAD90E" w:rsidR="00726921" w:rsidRPr="006D2720" w:rsidRDefault="00726921" w:rsidP="00CA1A69">
      <w:pPr>
        <w:pStyle w:val="Dotpointlist"/>
        <w:rPr>
          <w:rFonts w:ascii="Times New Roman" w:hAnsi="Times New Roman" w:cs="Times New Roman"/>
        </w:rPr>
      </w:pPr>
      <w:r w:rsidRPr="006D2720">
        <w:rPr>
          <w:rFonts w:ascii="Times New Roman" w:hAnsi="Times New Roman" w:cs="Times New Roman"/>
        </w:rPr>
        <w:t xml:space="preserve">APP 3 permits sensitive information to be </w:t>
      </w:r>
      <w:r w:rsidR="00DF4DAE" w:rsidRPr="006D2720">
        <w:rPr>
          <w:rFonts w:ascii="Times New Roman" w:hAnsi="Times New Roman" w:cs="Times New Roman"/>
        </w:rPr>
        <w:t>collected</w:t>
      </w:r>
      <w:r w:rsidRPr="006D2720">
        <w:rPr>
          <w:rFonts w:ascii="Times New Roman" w:hAnsi="Times New Roman" w:cs="Times New Roman"/>
        </w:rPr>
        <w:t xml:space="preserve"> for the purposes of a confidential alternative dispute resolution process.</w:t>
      </w:r>
      <w:r w:rsidRPr="006D2720">
        <w:rPr>
          <w:rStyle w:val="FootnoteReference"/>
          <w:rFonts w:ascii="Times New Roman" w:hAnsi="Times New Roman" w:cs="Times New Roman"/>
        </w:rPr>
        <w:footnoteReference w:id="183"/>
      </w:r>
      <w:r w:rsidR="005B0347" w:rsidRPr="006D2720">
        <w:rPr>
          <w:rFonts w:ascii="Times New Roman" w:hAnsi="Times New Roman" w:cs="Times New Roman"/>
        </w:rPr>
        <w:t xml:space="preserve"> No equivalent exception appears in the </w:t>
      </w:r>
      <w:r w:rsidR="008F24B7" w:rsidRPr="006D2720">
        <w:rPr>
          <w:rFonts w:ascii="Times New Roman" w:hAnsi="Times New Roman" w:cs="Times New Roman"/>
        </w:rPr>
        <w:t>PIP</w:t>
      </w:r>
      <w:r w:rsidR="00875735" w:rsidRPr="006D2720">
        <w:rPr>
          <w:rFonts w:ascii="Times New Roman" w:hAnsi="Times New Roman" w:cs="Times New Roman"/>
        </w:rPr>
        <w:t>A’s principles</w:t>
      </w:r>
      <w:r w:rsidR="005B0347" w:rsidRPr="006D2720">
        <w:rPr>
          <w:rFonts w:ascii="Times New Roman" w:hAnsi="Times New Roman" w:cs="Times New Roman"/>
        </w:rPr>
        <w:t xml:space="preserve">. </w:t>
      </w:r>
    </w:p>
    <w:p w14:paraId="5FA3C514" w14:textId="6F2940BE" w:rsidR="00DD5136" w:rsidRPr="006D2720" w:rsidRDefault="001F090D" w:rsidP="00CA1A69">
      <w:pPr>
        <w:pStyle w:val="Heading3"/>
        <w:rPr>
          <w:rFonts w:ascii="Times New Roman" w:hAnsi="Times New Roman" w:cs="Times New Roman"/>
        </w:rPr>
      </w:pPr>
      <w:r w:rsidRPr="006D2720">
        <w:rPr>
          <w:rFonts w:ascii="Times New Roman" w:hAnsi="Times New Roman" w:cs="Times New Roman"/>
        </w:rPr>
        <w:t xml:space="preserve">One point of uncertainty to note regarding </w:t>
      </w:r>
      <w:r w:rsidR="00411B97" w:rsidRPr="006D2720">
        <w:rPr>
          <w:rFonts w:ascii="Times New Roman" w:hAnsi="Times New Roman" w:cs="Times New Roman"/>
        </w:rPr>
        <w:t xml:space="preserve">PIPP 10 </w:t>
      </w:r>
      <w:r w:rsidRPr="006D2720">
        <w:rPr>
          <w:rFonts w:ascii="Times New Roman" w:hAnsi="Times New Roman" w:cs="Times New Roman"/>
        </w:rPr>
        <w:t>is what</w:t>
      </w:r>
      <w:r w:rsidR="00FA68FF" w:rsidRPr="006D2720">
        <w:rPr>
          <w:rFonts w:ascii="Times New Roman" w:hAnsi="Times New Roman" w:cs="Times New Roman"/>
        </w:rPr>
        <w:t xml:space="preserve"> it means for collection to be</w:t>
      </w:r>
      <w:r w:rsidRPr="006D2720">
        <w:rPr>
          <w:rFonts w:ascii="Times New Roman" w:hAnsi="Times New Roman" w:cs="Times New Roman"/>
        </w:rPr>
        <w:t xml:space="preserve"> ‘required or permitted by law’. </w:t>
      </w:r>
      <w:r w:rsidR="0076273A" w:rsidRPr="006D2720">
        <w:rPr>
          <w:rFonts w:ascii="Times New Roman" w:hAnsi="Times New Roman" w:cs="Times New Roman"/>
        </w:rPr>
        <w:t>Specifically, it is un</w:t>
      </w:r>
      <w:r w:rsidR="00411B97" w:rsidRPr="006D2720">
        <w:rPr>
          <w:rFonts w:ascii="Times New Roman" w:hAnsi="Times New Roman" w:cs="Times New Roman"/>
        </w:rPr>
        <w:t xml:space="preserve">clear </w:t>
      </w:r>
      <w:r w:rsidR="008A1996" w:rsidRPr="006D2720">
        <w:rPr>
          <w:rFonts w:ascii="Times New Roman" w:hAnsi="Times New Roman" w:cs="Times New Roman"/>
        </w:rPr>
        <w:t xml:space="preserve">whether and </w:t>
      </w:r>
      <w:r w:rsidR="00411B97" w:rsidRPr="006D2720">
        <w:rPr>
          <w:rFonts w:ascii="Times New Roman" w:hAnsi="Times New Roman" w:cs="Times New Roman"/>
        </w:rPr>
        <w:t xml:space="preserve">how </w:t>
      </w:r>
      <w:r w:rsidR="008A1996" w:rsidRPr="006D2720">
        <w:rPr>
          <w:rFonts w:ascii="Times New Roman" w:hAnsi="Times New Roman" w:cs="Times New Roman"/>
        </w:rPr>
        <w:t xml:space="preserve">this differs </w:t>
      </w:r>
      <w:r w:rsidR="00411B97" w:rsidRPr="006D2720">
        <w:rPr>
          <w:rFonts w:ascii="Times New Roman" w:hAnsi="Times New Roman" w:cs="Times New Roman"/>
        </w:rPr>
        <w:t xml:space="preserve">from the general requirement </w:t>
      </w:r>
      <w:r w:rsidR="00221701" w:rsidRPr="006D2720">
        <w:rPr>
          <w:rFonts w:ascii="Times New Roman" w:hAnsi="Times New Roman" w:cs="Times New Roman"/>
        </w:rPr>
        <w:t>that personal information must be collected by lawful means</w:t>
      </w:r>
      <w:r w:rsidR="00411B97" w:rsidRPr="006D2720">
        <w:rPr>
          <w:rFonts w:ascii="Times New Roman" w:hAnsi="Times New Roman" w:cs="Times New Roman"/>
        </w:rPr>
        <w:t>,</w:t>
      </w:r>
      <w:r w:rsidR="00411B97" w:rsidRPr="006D2720">
        <w:rPr>
          <w:rStyle w:val="FootnoteReference"/>
          <w:rFonts w:ascii="Times New Roman" w:hAnsi="Times New Roman" w:cs="Times New Roman"/>
        </w:rPr>
        <w:footnoteReference w:id="184"/>
      </w:r>
      <w:r w:rsidR="00411B97" w:rsidRPr="006D2720">
        <w:rPr>
          <w:rFonts w:ascii="Times New Roman" w:hAnsi="Times New Roman" w:cs="Times New Roman"/>
        </w:rPr>
        <w:t xml:space="preserve"> or </w:t>
      </w:r>
      <w:r w:rsidR="00221701" w:rsidRPr="006D2720">
        <w:rPr>
          <w:rFonts w:ascii="Times New Roman" w:hAnsi="Times New Roman" w:cs="Times New Roman"/>
        </w:rPr>
        <w:t>how it differs</w:t>
      </w:r>
      <w:r w:rsidR="00726468" w:rsidRPr="006D2720">
        <w:rPr>
          <w:rFonts w:ascii="Times New Roman" w:hAnsi="Times New Roman" w:cs="Times New Roman"/>
        </w:rPr>
        <w:t>, if at all,</w:t>
      </w:r>
      <w:r w:rsidR="00221701" w:rsidRPr="006D2720">
        <w:rPr>
          <w:rFonts w:ascii="Times New Roman" w:hAnsi="Times New Roman" w:cs="Times New Roman"/>
        </w:rPr>
        <w:t xml:space="preserve"> from </w:t>
      </w:r>
      <w:r w:rsidR="00411B97" w:rsidRPr="006D2720">
        <w:rPr>
          <w:rFonts w:ascii="Times New Roman" w:hAnsi="Times New Roman" w:cs="Times New Roman"/>
        </w:rPr>
        <w:t xml:space="preserve">other references in the PIPPs to the handling of personal information </w:t>
      </w:r>
      <w:r w:rsidR="0081022A" w:rsidRPr="006D2720">
        <w:rPr>
          <w:rFonts w:ascii="Times New Roman" w:hAnsi="Times New Roman" w:cs="Times New Roman"/>
        </w:rPr>
        <w:t>in a way</w:t>
      </w:r>
      <w:r w:rsidR="00411B97" w:rsidRPr="006D2720">
        <w:rPr>
          <w:rFonts w:ascii="Times New Roman" w:hAnsi="Times New Roman" w:cs="Times New Roman"/>
        </w:rPr>
        <w:t xml:space="preserve"> required or authorised by law.</w:t>
      </w:r>
      <w:r w:rsidR="00411B97" w:rsidRPr="006D2720">
        <w:rPr>
          <w:rStyle w:val="FootnoteReference"/>
          <w:rFonts w:ascii="Times New Roman" w:hAnsi="Times New Roman" w:cs="Times New Roman"/>
        </w:rPr>
        <w:footnoteReference w:id="185"/>
      </w:r>
      <w:r w:rsidR="00411B97" w:rsidRPr="006D2720">
        <w:rPr>
          <w:rFonts w:ascii="Times New Roman" w:hAnsi="Times New Roman" w:cs="Times New Roman"/>
        </w:rPr>
        <w:t xml:space="preserve"> </w:t>
      </w:r>
    </w:p>
    <w:p w14:paraId="00F46270" w14:textId="4FCA5A0A" w:rsidR="00FA0CD9" w:rsidRPr="006D2720" w:rsidRDefault="00DE62D6" w:rsidP="00CA1A69">
      <w:pPr>
        <w:pStyle w:val="Heading2"/>
        <w:numPr>
          <w:ilvl w:val="0"/>
          <w:numId w:val="0"/>
        </w:numPr>
        <w:ind w:left="578" w:hanging="578"/>
        <w:rPr>
          <w:rFonts w:ascii="Times New Roman" w:hAnsi="Times New Roman" w:cs="Times New Roman"/>
          <w:i/>
          <w:iCs/>
        </w:rPr>
      </w:pPr>
      <w:bookmarkStart w:id="288" w:name="_Toc91832002"/>
      <w:bookmarkStart w:id="289" w:name="_Toc130540436"/>
      <w:r w:rsidRPr="006D2720">
        <w:rPr>
          <w:rFonts w:ascii="Times New Roman" w:hAnsi="Times New Roman" w:cs="Times New Roman"/>
          <w:i/>
          <w:iCs/>
        </w:rPr>
        <w:t>Other differences</w:t>
      </w:r>
      <w:r w:rsidR="00C81453" w:rsidRPr="006D2720">
        <w:rPr>
          <w:rFonts w:ascii="Times New Roman" w:hAnsi="Times New Roman" w:cs="Times New Roman"/>
          <w:i/>
          <w:iCs/>
        </w:rPr>
        <w:t xml:space="preserve"> between the PIPPs and APPs</w:t>
      </w:r>
      <w:bookmarkEnd w:id="288"/>
      <w:bookmarkEnd w:id="289"/>
    </w:p>
    <w:p w14:paraId="50570F5A" w14:textId="6EB6B422" w:rsidR="00C72FE9" w:rsidRPr="006D2720" w:rsidRDefault="00E1219C" w:rsidP="00DA1B9F">
      <w:pPr>
        <w:pStyle w:val="Heading3"/>
        <w:rPr>
          <w:rFonts w:ascii="Times New Roman" w:hAnsi="Times New Roman" w:cs="Times New Roman"/>
        </w:rPr>
      </w:pPr>
      <w:r w:rsidRPr="006D2720">
        <w:rPr>
          <w:rFonts w:ascii="Times New Roman" w:hAnsi="Times New Roman" w:cs="Times New Roman"/>
        </w:rPr>
        <w:t xml:space="preserve">In addition to </w:t>
      </w:r>
      <w:r w:rsidR="00537BEB" w:rsidRPr="006D2720">
        <w:rPr>
          <w:rFonts w:ascii="Times New Roman" w:hAnsi="Times New Roman" w:cs="Times New Roman"/>
        </w:rPr>
        <w:t>the differences</w:t>
      </w:r>
      <w:r w:rsidR="003878D3" w:rsidRPr="006D2720">
        <w:rPr>
          <w:rFonts w:ascii="Times New Roman" w:hAnsi="Times New Roman" w:cs="Times New Roman"/>
        </w:rPr>
        <w:t xml:space="preserve"> between the PIPPs and the APPs discussed above</w:t>
      </w:r>
      <w:r w:rsidR="00537BEB" w:rsidRPr="006D2720">
        <w:rPr>
          <w:rFonts w:ascii="Times New Roman" w:hAnsi="Times New Roman" w:cs="Times New Roman"/>
        </w:rPr>
        <w:t xml:space="preserve">, a major discrepancy is that there are no PIPPs </w:t>
      </w:r>
      <w:r w:rsidRPr="006D2720">
        <w:rPr>
          <w:rFonts w:ascii="Times New Roman" w:hAnsi="Times New Roman" w:cs="Times New Roman"/>
        </w:rPr>
        <w:t xml:space="preserve">under Tasmanian law </w:t>
      </w:r>
      <w:r w:rsidR="00537BEB" w:rsidRPr="006D2720">
        <w:rPr>
          <w:rFonts w:ascii="Times New Roman" w:hAnsi="Times New Roman" w:cs="Times New Roman"/>
        </w:rPr>
        <w:t>equivalent to</w:t>
      </w:r>
      <w:r w:rsidR="00E1500D" w:rsidRPr="006D2720">
        <w:rPr>
          <w:rFonts w:ascii="Times New Roman" w:hAnsi="Times New Roman" w:cs="Times New Roman"/>
        </w:rPr>
        <w:t xml:space="preserve"> </w:t>
      </w:r>
      <w:r w:rsidR="00522B6C" w:rsidRPr="006D2720">
        <w:rPr>
          <w:rFonts w:ascii="Times New Roman" w:hAnsi="Times New Roman" w:cs="Times New Roman"/>
        </w:rPr>
        <w:t xml:space="preserve">APP </w:t>
      </w:r>
      <w:r w:rsidR="00C97C1D" w:rsidRPr="006D2720">
        <w:rPr>
          <w:rFonts w:ascii="Times New Roman" w:hAnsi="Times New Roman" w:cs="Times New Roman"/>
        </w:rPr>
        <w:t xml:space="preserve">4 </w:t>
      </w:r>
      <w:r w:rsidRPr="006D2720">
        <w:rPr>
          <w:rFonts w:ascii="Times New Roman" w:hAnsi="Times New Roman" w:cs="Times New Roman"/>
        </w:rPr>
        <w:t xml:space="preserve">under Commonwealth law </w:t>
      </w:r>
      <w:r w:rsidR="0053426D" w:rsidRPr="006D2720">
        <w:rPr>
          <w:rFonts w:ascii="Times New Roman" w:hAnsi="Times New Roman" w:cs="Times New Roman"/>
        </w:rPr>
        <w:t xml:space="preserve">on </w:t>
      </w:r>
      <w:r w:rsidR="00C97C1D" w:rsidRPr="006D2720">
        <w:rPr>
          <w:rFonts w:ascii="Times New Roman" w:hAnsi="Times New Roman" w:cs="Times New Roman"/>
        </w:rPr>
        <w:t xml:space="preserve">dealing with unsolicited personal information and APP 7 </w:t>
      </w:r>
      <w:r w:rsidR="0053426D" w:rsidRPr="006D2720">
        <w:rPr>
          <w:rFonts w:ascii="Times New Roman" w:hAnsi="Times New Roman" w:cs="Times New Roman"/>
        </w:rPr>
        <w:t xml:space="preserve">on </w:t>
      </w:r>
      <w:r w:rsidR="00C97C1D" w:rsidRPr="006D2720">
        <w:rPr>
          <w:rFonts w:ascii="Times New Roman" w:hAnsi="Times New Roman" w:cs="Times New Roman"/>
        </w:rPr>
        <w:t xml:space="preserve">direct marketing. </w:t>
      </w:r>
    </w:p>
    <w:p w14:paraId="0802456E" w14:textId="77777777" w:rsidR="00446C1E" w:rsidRPr="006D2720" w:rsidRDefault="00446C1E">
      <w:pPr>
        <w:rPr>
          <w:rFonts w:ascii="Times New Roman" w:hAnsi="Times New Roman" w:cs="Times New Roman"/>
          <w:b/>
          <w:bCs/>
          <w:i/>
          <w:iCs/>
        </w:rPr>
      </w:pPr>
      <w:r w:rsidRPr="006D2720">
        <w:rPr>
          <w:rFonts w:ascii="Times New Roman" w:hAnsi="Times New Roman" w:cs="Times New Roman"/>
          <w:b/>
          <w:bCs/>
          <w:i/>
          <w:iCs/>
        </w:rPr>
        <w:br w:type="page"/>
      </w:r>
    </w:p>
    <w:p w14:paraId="3F17095A" w14:textId="71B3564A" w:rsidR="00ED601C" w:rsidRPr="006D2720" w:rsidRDefault="00ED601C" w:rsidP="00386516">
      <w:pPr>
        <w:rPr>
          <w:rFonts w:ascii="Times New Roman" w:hAnsi="Times New Roman" w:cs="Times New Roman"/>
          <w:b/>
          <w:bCs/>
          <w:i/>
          <w:iCs/>
        </w:rPr>
      </w:pPr>
      <w:r w:rsidRPr="006D2720">
        <w:rPr>
          <w:rFonts w:ascii="Times New Roman" w:hAnsi="Times New Roman" w:cs="Times New Roman"/>
          <w:b/>
          <w:bCs/>
          <w:i/>
          <w:iCs/>
        </w:rPr>
        <w:t>Unsolicited personal information</w:t>
      </w:r>
    </w:p>
    <w:p w14:paraId="1DBDA73C" w14:textId="123E9C55" w:rsidR="003908E6" w:rsidRPr="006D2720" w:rsidRDefault="00E1219C" w:rsidP="0066337D">
      <w:pPr>
        <w:pStyle w:val="Heading3"/>
        <w:rPr>
          <w:rFonts w:ascii="Times New Roman" w:hAnsi="Times New Roman" w:cs="Times New Roman"/>
        </w:rPr>
      </w:pPr>
      <w:r w:rsidRPr="006D2720">
        <w:rPr>
          <w:rFonts w:ascii="Times New Roman" w:hAnsi="Times New Roman" w:cs="Times New Roman"/>
        </w:rPr>
        <w:t xml:space="preserve">Under Commonwealth law, </w:t>
      </w:r>
      <w:r w:rsidR="00C72FE9" w:rsidRPr="006D2720">
        <w:rPr>
          <w:rFonts w:ascii="Times New Roman" w:hAnsi="Times New Roman" w:cs="Times New Roman"/>
        </w:rPr>
        <w:t>APP 4</w:t>
      </w:r>
      <w:r w:rsidR="00E1500D" w:rsidRPr="006D2720">
        <w:rPr>
          <w:rFonts w:ascii="Times New Roman" w:hAnsi="Times New Roman" w:cs="Times New Roman"/>
        </w:rPr>
        <w:t xml:space="preserve"> concerns </w:t>
      </w:r>
      <w:r w:rsidR="00CB56F1" w:rsidRPr="006D2720">
        <w:rPr>
          <w:rFonts w:ascii="Times New Roman" w:hAnsi="Times New Roman" w:cs="Times New Roman"/>
        </w:rPr>
        <w:t xml:space="preserve">the scenario where </w:t>
      </w:r>
      <w:r w:rsidR="00E1500D" w:rsidRPr="006D2720">
        <w:rPr>
          <w:rFonts w:ascii="Times New Roman" w:hAnsi="Times New Roman" w:cs="Times New Roman"/>
        </w:rPr>
        <w:t xml:space="preserve">an entity receives personal information </w:t>
      </w:r>
      <w:r w:rsidR="00CB56F1" w:rsidRPr="006D2720">
        <w:rPr>
          <w:rFonts w:ascii="Times New Roman" w:hAnsi="Times New Roman" w:cs="Times New Roman"/>
        </w:rPr>
        <w:t xml:space="preserve">that </w:t>
      </w:r>
      <w:r w:rsidR="0063083B" w:rsidRPr="006D2720">
        <w:rPr>
          <w:rFonts w:ascii="Times New Roman" w:hAnsi="Times New Roman" w:cs="Times New Roman"/>
        </w:rPr>
        <w:t>it</w:t>
      </w:r>
      <w:r w:rsidR="007F263B" w:rsidRPr="006D2720">
        <w:rPr>
          <w:rFonts w:ascii="Times New Roman" w:hAnsi="Times New Roman" w:cs="Times New Roman"/>
        </w:rPr>
        <w:t xml:space="preserve"> </w:t>
      </w:r>
      <w:r w:rsidR="00E1500D" w:rsidRPr="006D2720">
        <w:rPr>
          <w:rFonts w:ascii="Times New Roman" w:hAnsi="Times New Roman" w:cs="Times New Roman"/>
        </w:rPr>
        <w:t xml:space="preserve">did not request. </w:t>
      </w:r>
      <w:r w:rsidR="008652A2" w:rsidRPr="006D2720">
        <w:rPr>
          <w:rFonts w:ascii="Times New Roman" w:hAnsi="Times New Roman" w:cs="Times New Roman"/>
        </w:rPr>
        <w:t xml:space="preserve">If this occurs, the </w:t>
      </w:r>
      <w:r w:rsidR="00E1500D" w:rsidRPr="006D2720">
        <w:rPr>
          <w:rFonts w:ascii="Times New Roman" w:hAnsi="Times New Roman" w:cs="Times New Roman"/>
        </w:rPr>
        <w:t xml:space="preserve">entity </w:t>
      </w:r>
      <w:r w:rsidR="008652A2" w:rsidRPr="006D2720">
        <w:rPr>
          <w:rFonts w:ascii="Times New Roman" w:hAnsi="Times New Roman" w:cs="Times New Roman"/>
        </w:rPr>
        <w:t xml:space="preserve">must </w:t>
      </w:r>
      <w:r w:rsidR="00BA293A" w:rsidRPr="006D2720">
        <w:rPr>
          <w:rFonts w:ascii="Times New Roman" w:hAnsi="Times New Roman" w:cs="Times New Roman"/>
        </w:rPr>
        <w:t>determine</w:t>
      </w:r>
      <w:r w:rsidR="00AF46F6" w:rsidRPr="006D2720">
        <w:rPr>
          <w:rFonts w:ascii="Times New Roman" w:hAnsi="Times New Roman" w:cs="Times New Roman"/>
        </w:rPr>
        <w:t xml:space="preserve"> within a reasonable period whether </w:t>
      </w:r>
      <w:r w:rsidR="0063083B" w:rsidRPr="006D2720">
        <w:rPr>
          <w:rFonts w:ascii="Times New Roman" w:hAnsi="Times New Roman" w:cs="Times New Roman"/>
        </w:rPr>
        <w:t xml:space="preserve">it </w:t>
      </w:r>
      <w:r w:rsidR="00AF46F6" w:rsidRPr="006D2720">
        <w:rPr>
          <w:rFonts w:ascii="Times New Roman" w:hAnsi="Times New Roman" w:cs="Times New Roman"/>
          <w:i/>
          <w:iCs/>
        </w:rPr>
        <w:t>could</w:t>
      </w:r>
      <w:r w:rsidR="00AF46F6" w:rsidRPr="006D2720">
        <w:rPr>
          <w:rFonts w:ascii="Times New Roman" w:hAnsi="Times New Roman" w:cs="Times New Roman"/>
        </w:rPr>
        <w:t xml:space="preserve"> </w:t>
      </w:r>
      <w:r w:rsidR="00AF46F6" w:rsidRPr="006D2720">
        <w:rPr>
          <w:rFonts w:ascii="Times New Roman" w:hAnsi="Times New Roman" w:cs="Times New Roman"/>
          <w:i/>
          <w:iCs/>
        </w:rPr>
        <w:t>have</w:t>
      </w:r>
      <w:r w:rsidR="00AF46F6" w:rsidRPr="006D2720">
        <w:rPr>
          <w:rFonts w:ascii="Times New Roman" w:hAnsi="Times New Roman" w:cs="Times New Roman"/>
        </w:rPr>
        <w:t xml:space="preserve"> collected the information</w:t>
      </w:r>
      <w:r w:rsidR="008652A2" w:rsidRPr="006D2720">
        <w:rPr>
          <w:rFonts w:ascii="Times New Roman" w:hAnsi="Times New Roman" w:cs="Times New Roman"/>
        </w:rPr>
        <w:t xml:space="preserve"> </w:t>
      </w:r>
      <w:r w:rsidR="005300F8" w:rsidRPr="006D2720">
        <w:rPr>
          <w:rFonts w:ascii="Times New Roman" w:hAnsi="Times New Roman" w:cs="Times New Roman"/>
        </w:rPr>
        <w:t>under APP</w:t>
      </w:r>
      <w:r w:rsidR="0034660F" w:rsidRPr="006D2720">
        <w:rPr>
          <w:rFonts w:ascii="Times New Roman" w:hAnsi="Times New Roman" w:cs="Times New Roman"/>
        </w:rPr>
        <w:t xml:space="preserve"> </w:t>
      </w:r>
      <w:r w:rsidR="005300F8" w:rsidRPr="006D2720">
        <w:rPr>
          <w:rFonts w:ascii="Times New Roman" w:hAnsi="Times New Roman" w:cs="Times New Roman"/>
        </w:rPr>
        <w:t>3</w:t>
      </w:r>
      <w:r w:rsidR="00E1500D" w:rsidRPr="006D2720">
        <w:rPr>
          <w:rFonts w:ascii="Times New Roman" w:hAnsi="Times New Roman" w:cs="Times New Roman"/>
        </w:rPr>
        <w:t>.</w:t>
      </w:r>
      <w:r w:rsidR="00E1500D" w:rsidRPr="006D2720">
        <w:rPr>
          <w:rStyle w:val="FootnoteReference"/>
          <w:rFonts w:ascii="Times New Roman" w:hAnsi="Times New Roman" w:cs="Times New Roman"/>
        </w:rPr>
        <w:footnoteReference w:id="186"/>
      </w:r>
      <w:r w:rsidR="000D664D" w:rsidRPr="006D2720">
        <w:rPr>
          <w:rFonts w:ascii="Times New Roman" w:hAnsi="Times New Roman" w:cs="Times New Roman"/>
        </w:rPr>
        <w:t xml:space="preserve"> </w:t>
      </w:r>
      <w:r w:rsidR="00050052" w:rsidRPr="006D2720">
        <w:rPr>
          <w:rFonts w:ascii="Times New Roman" w:hAnsi="Times New Roman" w:cs="Times New Roman"/>
        </w:rPr>
        <w:t xml:space="preserve">Generally, if </w:t>
      </w:r>
      <w:r w:rsidR="00444CE1" w:rsidRPr="006D2720">
        <w:rPr>
          <w:rFonts w:ascii="Times New Roman" w:hAnsi="Times New Roman" w:cs="Times New Roman"/>
        </w:rPr>
        <w:t xml:space="preserve">the entity </w:t>
      </w:r>
      <w:r w:rsidR="00050052" w:rsidRPr="006D2720">
        <w:rPr>
          <w:rFonts w:ascii="Times New Roman" w:hAnsi="Times New Roman" w:cs="Times New Roman"/>
        </w:rPr>
        <w:t xml:space="preserve">would not have been allowed to </w:t>
      </w:r>
      <w:r w:rsidR="00444CE1" w:rsidRPr="006D2720">
        <w:rPr>
          <w:rFonts w:ascii="Times New Roman" w:hAnsi="Times New Roman" w:cs="Times New Roman"/>
        </w:rPr>
        <w:t>collect</w:t>
      </w:r>
      <w:r w:rsidR="00050052" w:rsidRPr="006D2720">
        <w:rPr>
          <w:rFonts w:ascii="Times New Roman" w:hAnsi="Times New Roman" w:cs="Times New Roman"/>
        </w:rPr>
        <w:t xml:space="preserve"> </w:t>
      </w:r>
      <w:r w:rsidR="00444CE1" w:rsidRPr="006D2720">
        <w:rPr>
          <w:rFonts w:ascii="Times New Roman" w:hAnsi="Times New Roman" w:cs="Times New Roman"/>
        </w:rPr>
        <w:t>the information</w:t>
      </w:r>
      <w:r w:rsidR="00050052" w:rsidRPr="006D2720">
        <w:rPr>
          <w:rFonts w:ascii="Times New Roman" w:hAnsi="Times New Roman" w:cs="Times New Roman"/>
        </w:rPr>
        <w:t xml:space="preserve">, </w:t>
      </w:r>
      <w:r w:rsidR="007D77B0" w:rsidRPr="006D2720">
        <w:rPr>
          <w:rFonts w:ascii="Times New Roman" w:hAnsi="Times New Roman" w:cs="Times New Roman"/>
        </w:rPr>
        <w:t>th</w:t>
      </w:r>
      <w:r w:rsidR="00E62C92" w:rsidRPr="006D2720">
        <w:rPr>
          <w:rFonts w:ascii="Times New Roman" w:hAnsi="Times New Roman" w:cs="Times New Roman"/>
        </w:rPr>
        <w:t>e</w:t>
      </w:r>
      <w:r w:rsidR="007D77B0" w:rsidRPr="006D2720">
        <w:rPr>
          <w:rFonts w:ascii="Times New Roman" w:hAnsi="Times New Roman" w:cs="Times New Roman"/>
        </w:rPr>
        <w:t xml:space="preserve">n </w:t>
      </w:r>
      <w:r w:rsidR="00B921C0" w:rsidRPr="006D2720">
        <w:rPr>
          <w:rFonts w:ascii="Times New Roman" w:hAnsi="Times New Roman" w:cs="Times New Roman"/>
        </w:rPr>
        <w:t>the information</w:t>
      </w:r>
      <w:r w:rsidR="007D77B0" w:rsidRPr="006D2720">
        <w:rPr>
          <w:rFonts w:ascii="Times New Roman" w:hAnsi="Times New Roman" w:cs="Times New Roman"/>
        </w:rPr>
        <w:t xml:space="preserve"> must be destroyed as soon as practicable</w:t>
      </w:r>
      <w:r w:rsidR="00E1500D" w:rsidRPr="006D2720">
        <w:rPr>
          <w:rFonts w:ascii="Times New Roman" w:hAnsi="Times New Roman" w:cs="Times New Roman"/>
        </w:rPr>
        <w:t xml:space="preserve"> unless it would be unlawful to do so.</w:t>
      </w:r>
      <w:r w:rsidR="007D77B0" w:rsidRPr="006D2720">
        <w:rPr>
          <w:rFonts w:ascii="Times New Roman" w:hAnsi="Times New Roman" w:cs="Times New Roman"/>
        </w:rPr>
        <w:t xml:space="preserve"> </w:t>
      </w:r>
      <w:r w:rsidR="00EA61FD" w:rsidRPr="006D2720">
        <w:rPr>
          <w:rFonts w:ascii="Times New Roman" w:hAnsi="Times New Roman" w:cs="Times New Roman"/>
        </w:rPr>
        <w:t>However</w:t>
      </w:r>
      <w:r w:rsidR="00116843" w:rsidRPr="006D2720">
        <w:rPr>
          <w:rFonts w:ascii="Times New Roman" w:hAnsi="Times New Roman" w:cs="Times New Roman"/>
        </w:rPr>
        <w:t xml:space="preserve">, if </w:t>
      </w:r>
      <w:r w:rsidR="00E1500D" w:rsidRPr="006D2720">
        <w:rPr>
          <w:rFonts w:ascii="Times New Roman" w:hAnsi="Times New Roman" w:cs="Times New Roman"/>
        </w:rPr>
        <w:t xml:space="preserve">the information </w:t>
      </w:r>
      <w:r w:rsidR="00DC6CF9" w:rsidRPr="006D2720">
        <w:rPr>
          <w:rFonts w:ascii="Times New Roman" w:hAnsi="Times New Roman" w:cs="Times New Roman"/>
        </w:rPr>
        <w:t>can be kept</w:t>
      </w:r>
      <w:r w:rsidR="00583275" w:rsidRPr="006D2720">
        <w:rPr>
          <w:rFonts w:ascii="Times New Roman" w:hAnsi="Times New Roman" w:cs="Times New Roman"/>
        </w:rPr>
        <w:t xml:space="preserve">, the other APPs will apply, including obligations </w:t>
      </w:r>
      <w:r w:rsidR="00E1500D" w:rsidRPr="006D2720">
        <w:rPr>
          <w:rFonts w:ascii="Times New Roman" w:hAnsi="Times New Roman" w:cs="Times New Roman"/>
        </w:rPr>
        <w:t xml:space="preserve">to notify </w:t>
      </w:r>
      <w:r w:rsidR="00D01D11" w:rsidRPr="006D2720">
        <w:rPr>
          <w:rFonts w:ascii="Times New Roman" w:hAnsi="Times New Roman" w:cs="Times New Roman"/>
        </w:rPr>
        <w:t>the individual</w:t>
      </w:r>
      <w:r w:rsidR="007827DA" w:rsidRPr="006D2720">
        <w:rPr>
          <w:rFonts w:ascii="Times New Roman" w:hAnsi="Times New Roman" w:cs="Times New Roman"/>
        </w:rPr>
        <w:t>s</w:t>
      </w:r>
      <w:r w:rsidR="00D01D11" w:rsidRPr="006D2720">
        <w:rPr>
          <w:rFonts w:ascii="Times New Roman" w:hAnsi="Times New Roman" w:cs="Times New Roman"/>
        </w:rPr>
        <w:t xml:space="preserve"> concerned</w:t>
      </w:r>
      <w:r w:rsidR="003908E6" w:rsidRPr="006D2720">
        <w:rPr>
          <w:rFonts w:ascii="Times New Roman" w:hAnsi="Times New Roman" w:cs="Times New Roman"/>
        </w:rPr>
        <w:t>.</w:t>
      </w:r>
    </w:p>
    <w:p w14:paraId="7078B17D" w14:textId="6EED50B4" w:rsidR="00C20DCE" w:rsidRPr="006D2720" w:rsidRDefault="0037510B" w:rsidP="0037510B">
      <w:pPr>
        <w:pStyle w:val="Heading3"/>
        <w:rPr>
          <w:rFonts w:ascii="Times New Roman" w:hAnsi="Times New Roman" w:cs="Times New Roman"/>
        </w:rPr>
      </w:pPr>
      <w:bookmarkStart w:id="290" w:name="_Ref91826956"/>
      <w:r w:rsidRPr="006D2720">
        <w:rPr>
          <w:rFonts w:ascii="Times New Roman" w:hAnsi="Times New Roman" w:cs="Times New Roman"/>
        </w:rPr>
        <w:t>In contrast,</w:t>
      </w:r>
      <w:r w:rsidR="00B17EE9" w:rsidRPr="006D2720">
        <w:rPr>
          <w:rFonts w:ascii="Times New Roman" w:hAnsi="Times New Roman" w:cs="Times New Roman"/>
        </w:rPr>
        <w:t xml:space="preserve"> </w:t>
      </w:r>
      <w:r w:rsidR="00E1219C" w:rsidRPr="006D2720">
        <w:rPr>
          <w:rFonts w:ascii="Times New Roman" w:hAnsi="Times New Roman" w:cs="Times New Roman"/>
        </w:rPr>
        <w:t xml:space="preserve">under Tasmanian law, </w:t>
      </w:r>
      <w:r w:rsidRPr="006D2720">
        <w:rPr>
          <w:rFonts w:ascii="Times New Roman" w:hAnsi="Times New Roman" w:cs="Times New Roman"/>
        </w:rPr>
        <w:t xml:space="preserve">the </w:t>
      </w:r>
      <w:r w:rsidR="00B17EE9" w:rsidRPr="006D2720">
        <w:rPr>
          <w:rFonts w:ascii="Times New Roman" w:hAnsi="Times New Roman" w:cs="Times New Roman"/>
        </w:rPr>
        <w:t xml:space="preserve">PIPA </w:t>
      </w:r>
      <w:r w:rsidRPr="006D2720">
        <w:rPr>
          <w:rFonts w:ascii="Times New Roman" w:hAnsi="Times New Roman" w:cs="Times New Roman"/>
        </w:rPr>
        <w:t xml:space="preserve">expressly clarifies that PIPP 1 on collection of information does not apply </w:t>
      </w:r>
      <w:r w:rsidR="001A5D08" w:rsidRPr="006D2720">
        <w:rPr>
          <w:rFonts w:ascii="Times New Roman" w:hAnsi="Times New Roman" w:cs="Times New Roman"/>
        </w:rPr>
        <w:t xml:space="preserve">to </w:t>
      </w:r>
      <w:r w:rsidR="003908E6" w:rsidRPr="006D2720">
        <w:rPr>
          <w:rFonts w:ascii="Times New Roman" w:hAnsi="Times New Roman" w:cs="Times New Roman"/>
        </w:rPr>
        <w:t>unsolicited information received by a custodian.</w:t>
      </w:r>
      <w:r w:rsidRPr="006D2720">
        <w:rPr>
          <w:rStyle w:val="FootnoteReference"/>
          <w:rFonts w:ascii="Times New Roman" w:hAnsi="Times New Roman" w:cs="Times New Roman"/>
        </w:rPr>
        <w:footnoteReference w:id="187"/>
      </w:r>
      <w:bookmarkEnd w:id="290"/>
      <w:r w:rsidR="0057091D" w:rsidRPr="006D2720">
        <w:rPr>
          <w:rFonts w:ascii="Times New Roman" w:hAnsi="Times New Roman" w:cs="Times New Roman"/>
        </w:rPr>
        <w:t xml:space="preserve"> </w:t>
      </w:r>
    </w:p>
    <w:p w14:paraId="6A298729" w14:textId="40E42BA7" w:rsidR="00ED7F64" w:rsidRPr="006D2720" w:rsidRDefault="004001C9" w:rsidP="0037510B">
      <w:pPr>
        <w:pStyle w:val="Heading3"/>
        <w:rPr>
          <w:rFonts w:ascii="Times New Roman" w:hAnsi="Times New Roman" w:cs="Times New Roman"/>
        </w:rPr>
      </w:pPr>
      <w:r w:rsidRPr="006D2720">
        <w:rPr>
          <w:rFonts w:ascii="Times New Roman" w:hAnsi="Times New Roman" w:cs="Times New Roman"/>
        </w:rPr>
        <w:t xml:space="preserve">The PIPA does not define ‘unsolicited information’ and </w:t>
      </w:r>
      <w:r w:rsidR="00E1500D" w:rsidRPr="006D2720">
        <w:rPr>
          <w:rFonts w:ascii="Times New Roman" w:hAnsi="Times New Roman" w:cs="Times New Roman"/>
        </w:rPr>
        <w:t>ther</w:t>
      </w:r>
      <w:r w:rsidRPr="006D2720">
        <w:rPr>
          <w:rFonts w:ascii="Times New Roman" w:hAnsi="Times New Roman" w:cs="Times New Roman"/>
        </w:rPr>
        <w:t>e</w:t>
      </w:r>
      <w:r w:rsidR="00E1500D" w:rsidRPr="006D2720">
        <w:rPr>
          <w:rFonts w:ascii="Times New Roman" w:hAnsi="Times New Roman" w:cs="Times New Roman"/>
        </w:rPr>
        <w:t xml:space="preserve"> is no apparent requirement that the </w:t>
      </w:r>
      <w:r w:rsidR="00F26D97" w:rsidRPr="006D2720">
        <w:rPr>
          <w:rFonts w:ascii="Times New Roman" w:hAnsi="Times New Roman" w:cs="Times New Roman"/>
        </w:rPr>
        <w:t xml:space="preserve">unsolicited </w:t>
      </w:r>
      <w:r w:rsidR="00E1500D" w:rsidRPr="006D2720">
        <w:rPr>
          <w:rFonts w:ascii="Times New Roman" w:hAnsi="Times New Roman" w:cs="Times New Roman"/>
        </w:rPr>
        <w:t xml:space="preserve">information </w:t>
      </w:r>
      <w:r w:rsidR="00E272DB" w:rsidRPr="006D2720">
        <w:rPr>
          <w:rFonts w:ascii="Times New Roman" w:hAnsi="Times New Roman" w:cs="Times New Roman"/>
        </w:rPr>
        <w:t xml:space="preserve">must have been </w:t>
      </w:r>
      <w:r w:rsidR="00E1500D" w:rsidRPr="006D2720">
        <w:rPr>
          <w:rFonts w:ascii="Times New Roman" w:hAnsi="Times New Roman" w:cs="Times New Roman"/>
        </w:rPr>
        <w:t>sent to the custodian by the individual concerned</w:t>
      </w:r>
      <w:r w:rsidR="00E94C28" w:rsidRPr="006D2720">
        <w:rPr>
          <w:rFonts w:ascii="Times New Roman" w:hAnsi="Times New Roman" w:cs="Times New Roman"/>
        </w:rPr>
        <w:t xml:space="preserve">. </w:t>
      </w:r>
      <w:r w:rsidR="00401DD5" w:rsidRPr="006D2720">
        <w:rPr>
          <w:rFonts w:ascii="Times New Roman" w:hAnsi="Times New Roman" w:cs="Times New Roman"/>
        </w:rPr>
        <w:t>The practical effect of</w:t>
      </w:r>
      <w:r w:rsidR="00A82B4B" w:rsidRPr="006D2720">
        <w:rPr>
          <w:rFonts w:ascii="Times New Roman" w:hAnsi="Times New Roman" w:cs="Times New Roman"/>
        </w:rPr>
        <w:t xml:space="preserve"> this</w:t>
      </w:r>
      <w:r w:rsidR="00401DD5" w:rsidRPr="006D2720">
        <w:rPr>
          <w:rFonts w:ascii="Times New Roman" w:hAnsi="Times New Roman" w:cs="Times New Roman"/>
        </w:rPr>
        <w:t xml:space="preserve"> is that </w:t>
      </w:r>
      <w:r w:rsidR="0063083B" w:rsidRPr="006D2720">
        <w:rPr>
          <w:rFonts w:ascii="Times New Roman" w:hAnsi="Times New Roman" w:cs="Times New Roman"/>
        </w:rPr>
        <w:t xml:space="preserve">a </w:t>
      </w:r>
      <w:r w:rsidR="00E1500D" w:rsidRPr="006D2720">
        <w:rPr>
          <w:rFonts w:ascii="Times New Roman" w:hAnsi="Times New Roman" w:cs="Times New Roman"/>
        </w:rPr>
        <w:t xml:space="preserve">custodian </w:t>
      </w:r>
      <w:r w:rsidR="00C80DE5" w:rsidRPr="006D2720">
        <w:rPr>
          <w:rFonts w:ascii="Times New Roman" w:hAnsi="Times New Roman" w:cs="Times New Roman"/>
        </w:rPr>
        <w:t>can</w:t>
      </w:r>
      <w:r w:rsidR="00E1500D" w:rsidRPr="006D2720">
        <w:rPr>
          <w:rFonts w:ascii="Times New Roman" w:hAnsi="Times New Roman" w:cs="Times New Roman"/>
        </w:rPr>
        <w:t xml:space="preserve"> continue to use unsolicited information</w:t>
      </w:r>
      <w:r w:rsidR="00551DE5" w:rsidRPr="006D2720">
        <w:rPr>
          <w:rFonts w:ascii="Times New Roman" w:hAnsi="Times New Roman" w:cs="Times New Roman"/>
        </w:rPr>
        <w:t>,</w:t>
      </w:r>
      <w:r w:rsidR="00E1500D" w:rsidRPr="006D2720">
        <w:rPr>
          <w:rFonts w:ascii="Times New Roman" w:hAnsi="Times New Roman" w:cs="Times New Roman"/>
        </w:rPr>
        <w:t xml:space="preserve"> even </w:t>
      </w:r>
      <w:r w:rsidR="0070414C" w:rsidRPr="006D2720">
        <w:rPr>
          <w:rFonts w:ascii="Times New Roman" w:hAnsi="Times New Roman" w:cs="Times New Roman"/>
        </w:rPr>
        <w:t xml:space="preserve">in circumstances where </w:t>
      </w:r>
      <w:r w:rsidR="0063083B" w:rsidRPr="006D2720">
        <w:rPr>
          <w:rFonts w:ascii="Times New Roman" w:hAnsi="Times New Roman" w:cs="Times New Roman"/>
        </w:rPr>
        <w:t xml:space="preserve">it </w:t>
      </w:r>
      <w:r w:rsidR="0070414C" w:rsidRPr="006D2720">
        <w:rPr>
          <w:rFonts w:ascii="Times New Roman" w:hAnsi="Times New Roman" w:cs="Times New Roman"/>
        </w:rPr>
        <w:t>could not have collected it directly</w:t>
      </w:r>
      <w:r w:rsidR="00663DE7" w:rsidRPr="006D2720">
        <w:rPr>
          <w:rFonts w:ascii="Times New Roman" w:hAnsi="Times New Roman" w:cs="Times New Roman"/>
        </w:rPr>
        <w:t xml:space="preserve"> and where the individual does not know the custodian has the information</w:t>
      </w:r>
      <w:r w:rsidR="0070414C" w:rsidRPr="006D2720">
        <w:rPr>
          <w:rFonts w:ascii="Times New Roman" w:hAnsi="Times New Roman" w:cs="Times New Roman"/>
        </w:rPr>
        <w:t xml:space="preserve">. </w:t>
      </w:r>
      <w:r w:rsidR="00B12258" w:rsidRPr="006D2720">
        <w:rPr>
          <w:rFonts w:ascii="Times New Roman" w:hAnsi="Times New Roman" w:cs="Times New Roman"/>
        </w:rPr>
        <w:t>As PIPP 1 does not apply, t</w:t>
      </w:r>
      <w:r w:rsidR="0070414C" w:rsidRPr="006D2720">
        <w:rPr>
          <w:rFonts w:ascii="Times New Roman" w:hAnsi="Times New Roman" w:cs="Times New Roman"/>
        </w:rPr>
        <w:t xml:space="preserve">here is no </w:t>
      </w:r>
      <w:r w:rsidR="000D5209" w:rsidRPr="006D2720">
        <w:rPr>
          <w:rFonts w:ascii="Times New Roman" w:hAnsi="Times New Roman" w:cs="Times New Roman"/>
        </w:rPr>
        <w:t xml:space="preserve">legal </w:t>
      </w:r>
      <w:r w:rsidR="0013799B" w:rsidRPr="006D2720">
        <w:rPr>
          <w:rFonts w:ascii="Times New Roman" w:hAnsi="Times New Roman" w:cs="Times New Roman"/>
        </w:rPr>
        <w:t xml:space="preserve">requirement to </w:t>
      </w:r>
      <w:r w:rsidR="00EB118F" w:rsidRPr="006D2720">
        <w:rPr>
          <w:rFonts w:ascii="Times New Roman" w:hAnsi="Times New Roman" w:cs="Times New Roman"/>
        </w:rPr>
        <w:t xml:space="preserve">inform the individual concerned </w:t>
      </w:r>
      <w:r w:rsidR="008B45FE" w:rsidRPr="006D2720">
        <w:rPr>
          <w:rFonts w:ascii="Times New Roman" w:hAnsi="Times New Roman" w:cs="Times New Roman"/>
        </w:rPr>
        <w:t xml:space="preserve">that the custodian now has </w:t>
      </w:r>
      <w:r w:rsidR="0056202B" w:rsidRPr="006D2720">
        <w:rPr>
          <w:rFonts w:ascii="Times New Roman" w:hAnsi="Times New Roman" w:cs="Times New Roman"/>
        </w:rPr>
        <w:t xml:space="preserve">their </w:t>
      </w:r>
      <w:r w:rsidR="008B45FE" w:rsidRPr="006D2720">
        <w:rPr>
          <w:rFonts w:ascii="Times New Roman" w:hAnsi="Times New Roman" w:cs="Times New Roman"/>
        </w:rPr>
        <w:t>personal information</w:t>
      </w:r>
      <w:r w:rsidR="00006A7C" w:rsidRPr="006D2720">
        <w:rPr>
          <w:rFonts w:ascii="Times New Roman" w:hAnsi="Times New Roman" w:cs="Times New Roman"/>
        </w:rPr>
        <w:t>.</w:t>
      </w:r>
      <w:r w:rsidR="009B1053" w:rsidRPr="006D2720">
        <w:rPr>
          <w:rFonts w:ascii="Times New Roman" w:hAnsi="Times New Roman" w:cs="Times New Roman"/>
        </w:rPr>
        <w:t xml:space="preserve"> </w:t>
      </w:r>
    </w:p>
    <w:p w14:paraId="62B8E0A7" w14:textId="3AC57F66" w:rsidR="00DE62D6" w:rsidRPr="006D2720" w:rsidRDefault="001472E0" w:rsidP="0037510B">
      <w:pPr>
        <w:pStyle w:val="Heading3"/>
        <w:rPr>
          <w:rFonts w:ascii="Times New Roman" w:hAnsi="Times New Roman" w:cs="Times New Roman"/>
        </w:rPr>
      </w:pPr>
      <w:r w:rsidRPr="006D2720">
        <w:rPr>
          <w:rFonts w:ascii="Times New Roman" w:hAnsi="Times New Roman" w:cs="Times New Roman"/>
        </w:rPr>
        <w:t>The</w:t>
      </w:r>
      <w:r w:rsidR="009B1053" w:rsidRPr="006D2720">
        <w:rPr>
          <w:rFonts w:ascii="Times New Roman" w:hAnsi="Times New Roman" w:cs="Times New Roman"/>
        </w:rPr>
        <w:t xml:space="preserve"> other PIPPs</w:t>
      </w:r>
      <w:r w:rsidRPr="006D2720">
        <w:rPr>
          <w:rFonts w:ascii="Times New Roman" w:hAnsi="Times New Roman" w:cs="Times New Roman"/>
        </w:rPr>
        <w:t>, namely 2</w:t>
      </w:r>
      <w:r w:rsidR="00423391" w:rsidRPr="006D2720">
        <w:rPr>
          <w:rFonts w:ascii="Times New Roman" w:hAnsi="Times New Roman" w:cs="Times New Roman"/>
        </w:rPr>
        <w:t xml:space="preserve">–10, by default </w:t>
      </w:r>
      <w:r w:rsidR="009B1053" w:rsidRPr="006D2720">
        <w:rPr>
          <w:rFonts w:ascii="Times New Roman" w:hAnsi="Times New Roman" w:cs="Times New Roman"/>
        </w:rPr>
        <w:t>apply</w:t>
      </w:r>
      <w:r w:rsidR="00B442FE" w:rsidRPr="006D2720">
        <w:rPr>
          <w:rFonts w:ascii="Times New Roman" w:hAnsi="Times New Roman" w:cs="Times New Roman"/>
        </w:rPr>
        <w:t xml:space="preserve"> </w:t>
      </w:r>
      <w:r w:rsidR="007C727E" w:rsidRPr="006D2720">
        <w:rPr>
          <w:rFonts w:ascii="Times New Roman" w:hAnsi="Times New Roman" w:cs="Times New Roman"/>
        </w:rPr>
        <w:t>to unsolicited information</w:t>
      </w:r>
      <w:r w:rsidRPr="006D2720">
        <w:rPr>
          <w:rFonts w:ascii="Times New Roman" w:hAnsi="Times New Roman" w:cs="Times New Roman"/>
        </w:rPr>
        <w:t xml:space="preserve">. However, </w:t>
      </w:r>
      <w:r w:rsidR="00AB578A" w:rsidRPr="006D2720">
        <w:rPr>
          <w:rFonts w:ascii="Times New Roman" w:hAnsi="Times New Roman" w:cs="Times New Roman"/>
        </w:rPr>
        <w:t xml:space="preserve">of these, PIPPs </w:t>
      </w:r>
      <w:r w:rsidR="00423391" w:rsidRPr="006D2720">
        <w:rPr>
          <w:rFonts w:ascii="Times New Roman" w:hAnsi="Times New Roman" w:cs="Times New Roman"/>
        </w:rPr>
        <w:t xml:space="preserve">2, 3 </w:t>
      </w:r>
      <w:r w:rsidRPr="006D2720">
        <w:rPr>
          <w:rFonts w:ascii="Times New Roman" w:hAnsi="Times New Roman" w:cs="Times New Roman"/>
        </w:rPr>
        <w:t xml:space="preserve">and </w:t>
      </w:r>
      <w:r w:rsidR="00423391" w:rsidRPr="006D2720">
        <w:rPr>
          <w:rFonts w:ascii="Times New Roman" w:hAnsi="Times New Roman" w:cs="Times New Roman"/>
        </w:rPr>
        <w:t xml:space="preserve">10 </w:t>
      </w:r>
      <w:r w:rsidRPr="006D2720">
        <w:rPr>
          <w:rFonts w:ascii="Times New Roman" w:hAnsi="Times New Roman" w:cs="Times New Roman"/>
        </w:rPr>
        <w:t>concentrate</w:t>
      </w:r>
      <w:r w:rsidR="009B1053" w:rsidRPr="006D2720">
        <w:rPr>
          <w:rFonts w:ascii="Times New Roman" w:hAnsi="Times New Roman" w:cs="Times New Roman"/>
        </w:rPr>
        <w:t xml:space="preserve"> </w:t>
      </w:r>
      <w:r w:rsidRPr="006D2720">
        <w:rPr>
          <w:rFonts w:ascii="Times New Roman" w:hAnsi="Times New Roman" w:cs="Times New Roman"/>
        </w:rPr>
        <w:t>on</w:t>
      </w:r>
      <w:r w:rsidR="0038498C" w:rsidRPr="006D2720">
        <w:rPr>
          <w:rFonts w:ascii="Times New Roman" w:hAnsi="Times New Roman" w:cs="Times New Roman"/>
        </w:rPr>
        <w:t xml:space="preserve"> </w:t>
      </w:r>
      <w:r w:rsidR="00327326" w:rsidRPr="006D2720">
        <w:rPr>
          <w:rFonts w:ascii="Times New Roman" w:hAnsi="Times New Roman" w:cs="Times New Roman"/>
        </w:rPr>
        <w:t xml:space="preserve">the </w:t>
      </w:r>
      <w:r w:rsidR="00327326" w:rsidRPr="006D2720">
        <w:rPr>
          <w:rFonts w:ascii="Times New Roman" w:hAnsi="Times New Roman" w:cs="Times New Roman"/>
          <w:i/>
          <w:iCs/>
        </w:rPr>
        <w:t>purpose of collection</w:t>
      </w:r>
      <w:r w:rsidR="00327326" w:rsidRPr="006D2720">
        <w:rPr>
          <w:rFonts w:ascii="Times New Roman" w:hAnsi="Times New Roman" w:cs="Times New Roman"/>
        </w:rPr>
        <w:t xml:space="preserve"> to </w:t>
      </w:r>
      <w:r w:rsidR="00085E0D" w:rsidRPr="006D2720">
        <w:rPr>
          <w:rFonts w:ascii="Times New Roman" w:hAnsi="Times New Roman" w:cs="Times New Roman"/>
        </w:rPr>
        <w:t>assess</w:t>
      </w:r>
      <w:r w:rsidR="00327326" w:rsidRPr="006D2720">
        <w:rPr>
          <w:rFonts w:ascii="Times New Roman" w:hAnsi="Times New Roman" w:cs="Times New Roman"/>
        </w:rPr>
        <w:t xml:space="preserve"> permissib</w:t>
      </w:r>
      <w:r w:rsidRPr="006D2720">
        <w:rPr>
          <w:rFonts w:ascii="Times New Roman" w:hAnsi="Times New Roman" w:cs="Times New Roman"/>
        </w:rPr>
        <w:t>ility.</w:t>
      </w:r>
      <w:r w:rsidR="00327326" w:rsidRPr="006D2720">
        <w:rPr>
          <w:rFonts w:ascii="Times New Roman" w:hAnsi="Times New Roman" w:cs="Times New Roman"/>
        </w:rPr>
        <w:t xml:space="preserve"> </w:t>
      </w:r>
      <w:r w:rsidRPr="006D2720">
        <w:rPr>
          <w:rFonts w:ascii="Times New Roman" w:hAnsi="Times New Roman" w:cs="Times New Roman"/>
        </w:rPr>
        <w:t>Consequently</w:t>
      </w:r>
      <w:r w:rsidR="00AB578A" w:rsidRPr="006D2720">
        <w:rPr>
          <w:rFonts w:ascii="Times New Roman" w:hAnsi="Times New Roman" w:cs="Times New Roman"/>
        </w:rPr>
        <w:t>,</w:t>
      </w:r>
      <w:r w:rsidRPr="006D2720">
        <w:rPr>
          <w:rFonts w:ascii="Times New Roman" w:hAnsi="Times New Roman" w:cs="Times New Roman"/>
        </w:rPr>
        <w:t xml:space="preserve"> it is unclear how they </w:t>
      </w:r>
      <w:r w:rsidR="0070414C" w:rsidRPr="006D2720">
        <w:rPr>
          <w:rFonts w:ascii="Times New Roman" w:hAnsi="Times New Roman" w:cs="Times New Roman"/>
        </w:rPr>
        <w:t xml:space="preserve">would apply </w:t>
      </w:r>
      <w:r w:rsidR="007C727E" w:rsidRPr="006D2720">
        <w:rPr>
          <w:rFonts w:ascii="Times New Roman" w:hAnsi="Times New Roman" w:cs="Times New Roman"/>
        </w:rPr>
        <w:t>to unsolicited information</w:t>
      </w:r>
      <w:r w:rsidR="00D40E58" w:rsidRPr="006D2720">
        <w:rPr>
          <w:rFonts w:ascii="Times New Roman" w:hAnsi="Times New Roman" w:cs="Times New Roman"/>
        </w:rPr>
        <w:t>—</w:t>
      </w:r>
      <w:r w:rsidRPr="006D2720">
        <w:rPr>
          <w:rFonts w:ascii="Times New Roman" w:hAnsi="Times New Roman" w:cs="Times New Roman"/>
        </w:rPr>
        <w:t>precisely because</w:t>
      </w:r>
      <w:r w:rsidR="00423391" w:rsidRPr="006D2720">
        <w:rPr>
          <w:rFonts w:ascii="Times New Roman" w:hAnsi="Times New Roman" w:cs="Times New Roman"/>
        </w:rPr>
        <w:t xml:space="preserve"> </w:t>
      </w:r>
      <w:r w:rsidR="0070414C" w:rsidRPr="006D2720">
        <w:rPr>
          <w:rFonts w:ascii="Times New Roman" w:hAnsi="Times New Roman" w:cs="Times New Roman"/>
        </w:rPr>
        <w:t>no</w:t>
      </w:r>
      <w:r w:rsidR="00511AF7" w:rsidRPr="006D2720">
        <w:rPr>
          <w:rFonts w:ascii="Times New Roman" w:hAnsi="Times New Roman" w:cs="Times New Roman"/>
        </w:rPr>
        <w:t xml:space="preserve"> </w:t>
      </w:r>
      <w:r w:rsidR="0070414C" w:rsidRPr="006D2720">
        <w:rPr>
          <w:rFonts w:ascii="Times New Roman" w:hAnsi="Times New Roman" w:cs="Times New Roman"/>
        </w:rPr>
        <w:t>objective purpose of collection</w:t>
      </w:r>
      <w:r w:rsidRPr="006D2720">
        <w:rPr>
          <w:rFonts w:ascii="Times New Roman" w:hAnsi="Times New Roman" w:cs="Times New Roman"/>
        </w:rPr>
        <w:t xml:space="preserve"> exists</w:t>
      </w:r>
      <w:r w:rsidR="0070414C" w:rsidRPr="006D2720">
        <w:rPr>
          <w:rFonts w:ascii="Times New Roman" w:hAnsi="Times New Roman" w:cs="Times New Roman"/>
        </w:rPr>
        <w:t xml:space="preserve">. </w:t>
      </w:r>
      <w:r w:rsidR="00A11CD8" w:rsidRPr="006D2720">
        <w:rPr>
          <w:rFonts w:ascii="Times New Roman" w:hAnsi="Times New Roman" w:cs="Times New Roman"/>
        </w:rPr>
        <w:t xml:space="preserve">Further, </w:t>
      </w:r>
      <w:r w:rsidR="0070414C" w:rsidRPr="006D2720">
        <w:rPr>
          <w:rFonts w:ascii="Times New Roman" w:hAnsi="Times New Roman" w:cs="Times New Roman"/>
        </w:rPr>
        <w:t xml:space="preserve">other APPs </w:t>
      </w:r>
      <w:r w:rsidR="006B3F5D" w:rsidRPr="006D2720">
        <w:rPr>
          <w:rFonts w:ascii="Times New Roman" w:hAnsi="Times New Roman" w:cs="Times New Roman"/>
        </w:rPr>
        <w:t xml:space="preserve">(and their Tasmanian </w:t>
      </w:r>
      <w:r w:rsidR="00033E73" w:rsidRPr="006D2720">
        <w:rPr>
          <w:rFonts w:ascii="Times New Roman" w:hAnsi="Times New Roman" w:cs="Times New Roman"/>
        </w:rPr>
        <w:t>analog</w:t>
      </w:r>
      <w:r w:rsidR="009B0D68" w:rsidRPr="006D2720">
        <w:rPr>
          <w:rFonts w:ascii="Times New Roman" w:hAnsi="Times New Roman" w:cs="Times New Roman"/>
        </w:rPr>
        <w:t>u</w:t>
      </w:r>
      <w:r w:rsidR="00033E73" w:rsidRPr="006D2720">
        <w:rPr>
          <w:rFonts w:ascii="Times New Roman" w:hAnsi="Times New Roman" w:cs="Times New Roman"/>
        </w:rPr>
        <w:t>es</w:t>
      </w:r>
      <w:r w:rsidR="006B3F5D" w:rsidRPr="006D2720">
        <w:rPr>
          <w:rFonts w:ascii="Times New Roman" w:hAnsi="Times New Roman" w:cs="Times New Roman"/>
        </w:rPr>
        <w:t>)</w:t>
      </w:r>
      <w:r w:rsidR="00FD4E2E" w:rsidRPr="006D2720">
        <w:rPr>
          <w:rFonts w:ascii="Times New Roman" w:hAnsi="Times New Roman" w:cs="Times New Roman"/>
        </w:rPr>
        <w:t xml:space="preserve"> generally offer more limited protections than those </w:t>
      </w:r>
      <w:r w:rsidR="00E73ED1" w:rsidRPr="006D2720">
        <w:rPr>
          <w:rFonts w:ascii="Times New Roman" w:hAnsi="Times New Roman" w:cs="Times New Roman"/>
        </w:rPr>
        <w:t>provided in APP 4</w:t>
      </w:r>
      <w:r w:rsidR="0070414C" w:rsidRPr="006D2720">
        <w:rPr>
          <w:rFonts w:ascii="Times New Roman" w:hAnsi="Times New Roman" w:cs="Times New Roman"/>
        </w:rPr>
        <w:t xml:space="preserve">. For example, </w:t>
      </w:r>
      <w:r w:rsidR="006A4F54" w:rsidRPr="006D2720">
        <w:rPr>
          <w:rFonts w:ascii="Times New Roman" w:hAnsi="Times New Roman" w:cs="Times New Roman"/>
        </w:rPr>
        <w:t xml:space="preserve">there </w:t>
      </w:r>
      <w:r w:rsidR="0070414C" w:rsidRPr="006D2720">
        <w:rPr>
          <w:rFonts w:ascii="Times New Roman" w:hAnsi="Times New Roman" w:cs="Times New Roman"/>
        </w:rPr>
        <w:t xml:space="preserve">is no general obligation </w:t>
      </w:r>
      <w:r w:rsidR="007C727E" w:rsidRPr="006D2720">
        <w:rPr>
          <w:rFonts w:ascii="Times New Roman" w:hAnsi="Times New Roman" w:cs="Times New Roman"/>
        </w:rPr>
        <w:t xml:space="preserve">under the Tasmanian PIPPs </w:t>
      </w:r>
      <w:r w:rsidR="0070414C" w:rsidRPr="006D2720">
        <w:rPr>
          <w:rFonts w:ascii="Times New Roman" w:hAnsi="Times New Roman" w:cs="Times New Roman"/>
        </w:rPr>
        <w:t xml:space="preserve">to </w:t>
      </w:r>
      <w:r w:rsidR="006A4F54" w:rsidRPr="006D2720">
        <w:rPr>
          <w:rFonts w:ascii="Times New Roman" w:hAnsi="Times New Roman" w:cs="Times New Roman"/>
        </w:rPr>
        <w:t xml:space="preserve">destroy or de-identify </w:t>
      </w:r>
      <w:r w:rsidR="0070414C" w:rsidRPr="006D2720">
        <w:rPr>
          <w:rFonts w:ascii="Times New Roman" w:hAnsi="Times New Roman" w:cs="Times New Roman"/>
        </w:rPr>
        <w:t xml:space="preserve">the </w:t>
      </w:r>
      <w:r w:rsidR="006A4F54" w:rsidRPr="006D2720">
        <w:rPr>
          <w:rFonts w:ascii="Times New Roman" w:hAnsi="Times New Roman" w:cs="Times New Roman"/>
        </w:rPr>
        <w:t>information</w:t>
      </w:r>
      <w:r w:rsidR="00D01D11" w:rsidRPr="006D2720">
        <w:rPr>
          <w:rFonts w:ascii="Times New Roman" w:hAnsi="Times New Roman" w:cs="Times New Roman"/>
        </w:rPr>
        <w:t>.</w:t>
      </w:r>
      <w:r w:rsidR="0070414C" w:rsidRPr="006D2720">
        <w:rPr>
          <w:rStyle w:val="FootnoteReference"/>
          <w:rFonts w:ascii="Times New Roman" w:hAnsi="Times New Roman" w:cs="Times New Roman"/>
        </w:rPr>
        <w:footnoteReference w:id="188"/>
      </w:r>
    </w:p>
    <w:p w14:paraId="2AEA3D6B" w14:textId="5109A246" w:rsidR="00FC5C81" w:rsidRPr="006D2720" w:rsidRDefault="00FC5C81" w:rsidP="00FC5C81">
      <w:pPr>
        <w:rPr>
          <w:rFonts w:ascii="Times New Roman" w:hAnsi="Times New Roman" w:cs="Times New Roman"/>
          <w:b/>
          <w:bCs/>
          <w:i/>
          <w:iCs/>
        </w:rPr>
      </w:pPr>
      <w:r w:rsidRPr="006D2720">
        <w:rPr>
          <w:rFonts w:ascii="Times New Roman" w:hAnsi="Times New Roman" w:cs="Times New Roman"/>
          <w:b/>
          <w:bCs/>
          <w:i/>
          <w:iCs/>
        </w:rPr>
        <w:t>Direct marketing</w:t>
      </w:r>
    </w:p>
    <w:p w14:paraId="4CFD3A64" w14:textId="0B25BAEA" w:rsidR="006A390F" w:rsidRPr="006D2720" w:rsidRDefault="00E1219C" w:rsidP="00DA1B9F">
      <w:pPr>
        <w:pStyle w:val="Heading3"/>
        <w:rPr>
          <w:rFonts w:ascii="Times New Roman" w:hAnsi="Times New Roman" w:cs="Times New Roman"/>
        </w:rPr>
      </w:pPr>
      <w:r w:rsidRPr="006D2720">
        <w:rPr>
          <w:rFonts w:ascii="Times New Roman" w:hAnsi="Times New Roman" w:cs="Times New Roman"/>
        </w:rPr>
        <w:t xml:space="preserve">Under </w:t>
      </w:r>
      <w:r w:rsidR="0070414C" w:rsidRPr="006D2720">
        <w:rPr>
          <w:rFonts w:ascii="Times New Roman" w:hAnsi="Times New Roman" w:cs="Times New Roman"/>
        </w:rPr>
        <w:t xml:space="preserve">Commonwealth </w:t>
      </w:r>
      <w:r w:rsidRPr="006D2720">
        <w:rPr>
          <w:rFonts w:ascii="Times New Roman" w:hAnsi="Times New Roman" w:cs="Times New Roman"/>
        </w:rPr>
        <w:t>law,</w:t>
      </w:r>
      <w:r w:rsidR="0070414C" w:rsidRPr="006D2720">
        <w:rPr>
          <w:rFonts w:ascii="Times New Roman" w:hAnsi="Times New Roman" w:cs="Times New Roman"/>
        </w:rPr>
        <w:t xml:space="preserve"> </w:t>
      </w:r>
      <w:r w:rsidR="003420B7" w:rsidRPr="006D2720">
        <w:rPr>
          <w:rFonts w:ascii="Times New Roman" w:hAnsi="Times New Roman" w:cs="Times New Roman"/>
        </w:rPr>
        <w:t xml:space="preserve">APP 7 </w:t>
      </w:r>
      <w:r w:rsidR="006A390F" w:rsidRPr="006D2720">
        <w:rPr>
          <w:rFonts w:ascii="Times New Roman" w:hAnsi="Times New Roman" w:cs="Times New Roman"/>
        </w:rPr>
        <w:t xml:space="preserve">governs the use or disclosure of personal information for direct marketing—marketing that involves </w:t>
      </w:r>
      <w:r w:rsidR="00103BF8" w:rsidRPr="006D2720">
        <w:rPr>
          <w:rFonts w:ascii="Times New Roman" w:hAnsi="Times New Roman" w:cs="Times New Roman"/>
        </w:rPr>
        <w:t>targeting and communicating</w:t>
      </w:r>
      <w:r w:rsidR="006A390F" w:rsidRPr="006D2720">
        <w:rPr>
          <w:rFonts w:ascii="Times New Roman" w:hAnsi="Times New Roman" w:cs="Times New Roman"/>
        </w:rPr>
        <w:t xml:space="preserve"> </w:t>
      </w:r>
      <w:r w:rsidR="00103BF8" w:rsidRPr="006D2720">
        <w:rPr>
          <w:rFonts w:ascii="Times New Roman" w:hAnsi="Times New Roman" w:cs="Times New Roman"/>
        </w:rPr>
        <w:t xml:space="preserve">with </w:t>
      </w:r>
      <w:r w:rsidR="006A390F" w:rsidRPr="006D2720">
        <w:rPr>
          <w:rFonts w:ascii="Times New Roman" w:hAnsi="Times New Roman" w:cs="Times New Roman"/>
        </w:rPr>
        <w:t>individual</w:t>
      </w:r>
      <w:r w:rsidR="003F2EAB" w:rsidRPr="006D2720">
        <w:rPr>
          <w:rFonts w:ascii="Times New Roman" w:hAnsi="Times New Roman" w:cs="Times New Roman"/>
        </w:rPr>
        <w:t xml:space="preserve"> consumers</w:t>
      </w:r>
      <w:r w:rsidR="006A390F" w:rsidRPr="006D2720">
        <w:rPr>
          <w:rFonts w:ascii="Times New Roman" w:hAnsi="Times New Roman" w:cs="Times New Roman"/>
        </w:rPr>
        <w:t xml:space="preserve"> directly, such as through telemarketing</w:t>
      </w:r>
      <w:r w:rsidR="00BD754B" w:rsidRPr="006D2720">
        <w:rPr>
          <w:rFonts w:ascii="Times New Roman" w:hAnsi="Times New Roman" w:cs="Times New Roman"/>
        </w:rPr>
        <w:t xml:space="preserve"> or mail</w:t>
      </w:r>
      <w:r w:rsidR="00103BF8" w:rsidRPr="006D2720">
        <w:rPr>
          <w:rFonts w:ascii="Times New Roman" w:hAnsi="Times New Roman" w:cs="Times New Roman"/>
        </w:rPr>
        <w:t xml:space="preserve">. </w:t>
      </w:r>
      <w:r w:rsidR="00C87FFD" w:rsidRPr="006D2720">
        <w:rPr>
          <w:rFonts w:ascii="Times New Roman" w:hAnsi="Times New Roman" w:cs="Times New Roman"/>
        </w:rPr>
        <w:t xml:space="preserve">Direct marketing </w:t>
      </w:r>
      <w:r w:rsidR="00103BF8" w:rsidRPr="006D2720">
        <w:rPr>
          <w:rFonts w:ascii="Times New Roman" w:hAnsi="Times New Roman" w:cs="Times New Roman"/>
        </w:rPr>
        <w:t>can be contrasted with marketing done through third parties, such as through</w:t>
      </w:r>
      <w:r w:rsidR="006E2EB7" w:rsidRPr="006D2720">
        <w:rPr>
          <w:rFonts w:ascii="Times New Roman" w:hAnsi="Times New Roman" w:cs="Times New Roman"/>
        </w:rPr>
        <w:t xml:space="preserve"> advertising media on TV or webpages.</w:t>
      </w:r>
      <w:r w:rsidR="00584C64" w:rsidRPr="006D2720">
        <w:rPr>
          <w:rFonts w:ascii="Times New Roman" w:hAnsi="Times New Roman" w:cs="Times New Roman"/>
        </w:rPr>
        <w:t xml:space="preserve"> </w:t>
      </w:r>
    </w:p>
    <w:p w14:paraId="22ACE592" w14:textId="21B48D1E" w:rsidR="00714D1A" w:rsidRPr="006D2720" w:rsidRDefault="00260237" w:rsidP="00DA1B9F">
      <w:pPr>
        <w:pStyle w:val="Heading3"/>
        <w:rPr>
          <w:rFonts w:ascii="Times New Roman" w:hAnsi="Times New Roman" w:cs="Times New Roman"/>
        </w:rPr>
      </w:pPr>
      <w:r w:rsidRPr="006D2720">
        <w:rPr>
          <w:rFonts w:ascii="Times New Roman" w:hAnsi="Times New Roman" w:cs="Times New Roman"/>
        </w:rPr>
        <w:t xml:space="preserve">APP 7 </w:t>
      </w:r>
      <w:r w:rsidR="00A87C0A" w:rsidRPr="006D2720">
        <w:rPr>
          <w:rFonts w:ascii="Times New Roman" w:hAnsi="Times New Roman" w:cs="Times New Roman"/>
        </w:rPr>
        <w:t>imposes obligations on non-government organisations</w:t>
      </w:r>
      <w:r w:rsidR="00AE3535" w:rsidRPr="006D2720">
        <w:rPr>
          <w:rFonts w:ascii="Times New Roman" w:hAnsi="Times New Roman" w:cs="Times New Roman"/>
        </w:rPr>
        <w:t xml:space="preserve"> in relation to direct</w:t>
      </w:r>
      <w:r w:rsidR="006A390F" w:rsidRPr="006D2720">
        <w:rPr>
          <w:rFonts w:ascii="Times New Roman" w:hAnsi="Times New Roman" w:cs="Times New Roman"/>
        </w:rPr>
        <w:t xml:space="preserve"> </w:t>
      </w:r>
      <w:r w:rsidR="00AE3535" w:rsidRPr="006D2720">
        <w:rPr>
          <w:rFonts w:ascii="Times New Roman" w:hAnsi="Times New Roman" w:cs="Times New Roman"/>
        </w:rPr>
        <w:t>marketing</w:t>
      </w:r>
      <w:r w:rsidR="006D2A96" w:rsidRPr="006D2720">
        <w:rPr>
          <w:rFonts w:ascii="Times New Roman" w:hAnsi="Times New Roman" w:cs="Times New Roman"/>
        </w:rPr>
        <w:t xml:space="preserve">. It </w:t>
      </w:r>
      <w:r w:rsidR="00417534" w:rsidRPr="006D2720">
        <w:rPr>
          <w:rFonts w:ascii="Times New Roman" w:hAnsi="Times New Roman" w:cs="Times New Roman"/>
        </w:rPr>
        <w:t xml:space="preserve">does </w:t>
      </w:r>
      <w:r w:rsidR="00283CFE" w:rsidRPr="006D2720">
        <w:rPr>
          <w:rFonts w:ascii="Times New Roman" w:hAnsi="Times New Roman" w:cs="Times New Roman"/>
        </w:rPr>
        <w:t xml:space="preserve">not apply to </w:t>
      </w:r>
      <w:r w:rsidR="006A720D" w:rsidRPr="006D2720">
        <w:rPr>
          <w:rFonts w:ascii="Times New Roman" w:hAnsi="Times New Roman" w:cs="Times New Roman"/>
        </w:rPr>
        <w:t xml:space="preserve">government </w:t>
      </w:r>
      <w:r w:rsidR="00283CFE" w:rsidRPr="006D2720">
        <w:rPr>
          <w:rFonts w:ascii="Times New Roman" w:hAnsi="Times New Roman" w:cs="Times New Roman"/>
        </w:rPr>
        <w:t>agencies</w:t>
      </w:r>
      <w:r w:rsidR="00DE2BB5" w:rsidRPr="006D2720">
        <w:rPr>
          <w:rFonts w:ascii="Times New Roman" w:hAnsi="Times New Roman" w:cs="Times New Roman"/>
        </w:rPr>
        <w:t>,</w:t>
      </w:r>
      <w:r w:rsidR="00AF5BA0" w:rsidRPr="006D2720">
        <w:rPr>
          <w:rFonts w:ascii="Times New Roman" w:hAnsi="Times New Roman" w:cs="Times New Roman"/>
        </w:rPr>
        <w:t xml:space="preserve"> </w:t>
      </w:r>
      <w:r w:rsidR="0070414C" w:rsidRPr="006D2720">
        <w:rPr>
          <w:rFonts w:ascii="Times New Roman" w:hAnsi="Times New Roman" w:cs="Times New Roman"/>
        </w:rPr>
        <w:t xml:space="preserve">except </w:t>
      </w:r>
      <w:r w:rsidR="00AF5BA0" w:rsidRPr="006D2720">
        <w:rPr>
          <w:rFonts w:ascii="Times New Roman" w:hAnsi="Times New Roman" w:cs="Times New Roman"/>
        </w:rPr>
        <w:t xml:space="preserve">in limited circumstances </w:t>
      </w:r>
      <w:r w:rsidR="00DD41A9" w:rsidRPr="006D2720">
        <w:rPr>
          <w:rFonts w:ascii="Times New Roman" w:hAnsi="Times New Roman" w:cs="Times New Roman"/>
        </w:rPr>
        <w:t xml:space="preserve">where they are engaging in </w:t>
      </w:r>
      <w:r w:rsidR="00AF5BA0" w:rsidRPr="006D2720">
        <w:rPr>
          <w:rFonts w:ascii="Times New Roman" w:hAnsi="Times New Roman" w:cs="Times New Roman"/>
        </w:rPr>
        <w:t>commercial activities</w:t>
      </w:r>
      <w:r w:rsidR="00283CFE" w:rsidRPr="006D2720">
        <w:rPr>
          <w:rFonts w:ascii="Times New Roman" w:hAnsi="Times New Roman" w:cs="Times New Roman"/>
        </w:rPr>
        <w:t>.</w:t>
      </w:r>
      <w:r w:rsidR="00283CFE" w:rsidRPr="006D2720">
        <w:rPr>
          <w:rStyle w:val="FootnoteReference"/>
          <w:rFonts w:ascii="Times New Roman" w:hAnsi="Times New Roman" w:cs="Times New Roman"/>
        </w:rPr>
        <w:footnoteReference w:id="189"/>
      </w:r>
      <w:r w:rsidR="00AE3535" w:rsidRPr="006D2720">
        <w:rPr>
          <w:rFonts w:ascii="Times New Roman" w:hAnsi="Times New Roman" w:cs="Times New Roman"/>
        </w:rPr>
        <w:t xml:space="preserve"> </w:t>
      </w:r>
    </w:p>
    <w:p w14:paraId="3AAE5617" w14:textId="75202031" w:rsidR="00F8035B" w:rsidRPr="006D2720" w:rsidRDefault="00A84EDA" w:rsidP="00CA1A69">
      <w:pPr>
        <w:pStyle w:val="Heading3"/>
        <w:rPr>
          <w:rFonts w:ascii="Times New Roman" w:hAnsi="Times New Roman" w:cs="Times New Roman"/>
        </w:rPr>
      </w:pPr>
      <w:r w:rsidRPr="006D2720">
        <w:rPr>
          <w:rFonts w:ascii="Times New Roman" w:hAnsi="Times New Roman" w:cs="Times New Roman"/>
        </w:rPr>
        <w:t xml:space="preserve">Generally, APP 7 </w:t>
      </w:r>
      <w:r w:rsidR="00997795" w:rsidRPr="006D2720">
        <w:rPr>
          <w:rFonts w:ascii="Times New Roman" w:hAnsi="Times New Roman" w:cs="Times New Roman"/>
        </w:rPr>
        <w:t xml:space="preserve">restricts use of personal information for direct marketing </w:t>
      </w:r>
      <w:r w:rsidR="0070414C" w:rsidRPr="006D2720">
        <w:rPr>
          <w:rFonts w:ascii="Times New Roman" w:hAnsi="Times New Roman" w:cs="Times New Roman"/>
        </w:rPr>
        <w:t xml:space="preserve">unless </w:t>
      </w:r>
      <w:r w:rsidR="000626F7" w:rsidRPr="006D2720">
        <w:rPr>
          <w:rFonts w:ascii="Times New Roman" w:hAnsi="Times New Roman" w:cs="Times New Roman"/>
        </w:rPr>
        <w:t>the individual has consented</w:t>
      </w:r>
      <w:r w:rsidR="0070414C" w:rsidRPr="006D2720">
        <w:rPr>
          <w:rFonts w:ascii="Times New Roman" w:hAnsi="Times New Roman" w:cs="Times New Roman"/>
        </w:rPr>
        <w:t xml:space="preserve"> to that use.</w:t>
      </w:r>
      <w:r w:rsidR="004E30BD" w:rsidRPr="006D2720">
        <w:rPr>
          <w:rFonts w:ascii="Times New Roman" w:hAnsi="Times New Roman" w:cs="Times New Roman"/>
        </w:rPr>
        <w:t xml:space="preserve"> N</w:t>
      </w:r>
      <w:r w:rsidR="00997795" w:rsidRPr="006D2720">
        <w:rPr>
          <w:rFonts w:ascii="Times New Roman" w:hAnsi="Times New Roman" w:cs="Times New Roman"/>
        </w:rPr>
        <w:t>on-sensitive information</w:t>
      </w:r>
      <w:r w:rsidR="004E30BD" w:rsidRPr="006D2720">
        <w:rPr>
          <w:rFonts w:ascii="Times New Roman" w:hAnsi="Times New Roman" w:cs="Times New Roman"/>
        </w:rPr>
        <w:t xml:space="preserve"> which </w:t>
      </w:r>
      <w:r w:rsidR="00997795" w:rsidRPr="006D2720">
        <w:rPr>
          <w:rFonts w:ascii="Times New Roman" w:hAnsi="Times New Roman" w:cs="Times New Roman"/>
        </w:rPr>
        <w:t xml:space="preserve">has </w:t>
      </w:r>
      <w:r w:rsidR="004E30BD" w:rsidRPr="006D2720">
        <w:rPr>
          <w:rFonts w:ascii="Times New Roman" w:hAnsi="Times New Roman" w:cs="Times New Roman"/>
        </w:rPr>
        <w:t xml:space="preserve">been </w:t>
      </w:r>
      <w:r w:rsidR="00997795" w:rsidRPr="006D2720">
        <w:rPr>
          <w:rFonts w:ascii="Times New Roman" w:hAnsi="Times New Roman" w:cs="Times New Roman"/>
        </w:rPr>
        <w:t xml:space="preserve">collected </w:t>
      </w:r>
      <w:r w:rsidR="004E30BD" w:rsidRPr="006D2720">
        <w:rPr>
          <w:rFonts w:ascii="Times New Roman" w:hAnsi="Times New Roman" w:cs="Times New Roman"/>
        </w:rPr>
        <w:t xml:space="preserve">by the organisation from </w:t>
      </w:r>
      <w:r w:rsidR="00997795" w:rsidRPr="006D2720">
        <w:rPr>
          <w:rFonts w:ascii="Times New Roman" w:hAnsi="Times New Roman" w:cs="Times New Roman"/>
        </w:rPr>
        <w:t>the individual concerned</w:t>
      </w:r>
      <w:r w:rsidR="004E30BD" w:rsidRPr="006D2720">
        <w:rPr>
          <w:rFonts w:ascii="Times New Roman" w:hAnsi="Times New Roman" w:cs="Times New Roman"/>
        </w:rPr>
        <w:t xml:space="preserve"> can also be used for direct marketing where </w:t>
      </w:r>
      <w:r w:rsidR="00765FE8" w:rsidRPr="006D2720">
        <w:rPr>
          <w:rFonts w:ascii="Times New Roman" w:hAnsi="Times New Roman" w:cs="Times New Roman"/>
        </w:rPr>
        <w:t xml:space="preserve">the individual would reasonably expect their information to be used for that purpose. </w:t>
      </w:r>
      <w:r w:rsidR="00EB1E1E" w:rsidRPr="006D2720">
        <w:rPr>
          <w:rFonts w:ascii="Times New Roman" w:hAnsi="Times New Roman" w:cs="Times New Roman"/>
        </w:rPr>
        <w:t>However</w:t>
      </w:r>
      <w:r w:rsidR="00616F47" w:rsidRPr="006D2720">
        <w:rPr>
          <w:rFonts w:ascii="Times New Roman" w:hAnsi="Times New Roman" w:cs="Times New Roman"/>
        </w:rPr>
        <w:t>, the organisation must provide a</w:t>
      </w:r>
      <w:r w:rsidR="00AF54C8" w:rsidRPr="006D2720">
        <w:rPr>
          <w:rFonts w:ascii="Times New Roman" w:hAnsi="Times New Roman" w:cs="Times New Roman"/>
        </w:rPr>
        <w:t xml:space="preserve"> simple means to unsubscribe</w:t>
      </w:r>
      <w:r w:rsidR="00495C03" w:rsidRPr="006D2720">
        <w:rPr>
          <w:rFonts w:ascii="Times New Roman" w:hAnsi="Times New Roman" w:cs="Times New Roman"/>
        </w:rPr>
        <w:t xml:space="preserve"> from the marketing</w:t>
      </w:r>
      <w:r w:rsidR="00AF54C8" w:rsidRPr="006D2720">
        <w:rPr>
          <w:rFonts w:ascii="Times New Roman" w:hAnsi="Times New Roman" w:cs="Times New Roman"/>
        </w:rPr>
        <w:t>.</w:t>
      </w:r>
      <w:r w:rsidR="00C91037" w:rsidRPr="006D2720">
        <w:rPr>
          <w:rFonts w:ascii="Times New Roman" w:hAnsi="Times New Roman" w:cs="Times New Roman"/>
        </w:rPr>
        <w:t xml:space="preserve"> </w:t>
      </w:r>
    </w:p>
    <w:p w14:paraId="6407FFD8" w14:textId="317FFCD9" w:rsidR="00273A40" w:rsidRPr="006D2720" w:rsidRDefault="005C16D7" w:rsidP="0066337D">
      <w:pPr>
        <w:pStyle w:val="Heading3"/>
        <w:rPr>
          <w:rFonts w:ascii="Times New Roman" w:hAnsi="Times New Roman" w:cs="Times New Roman"/>
        </w:rPr>
      </w:pPr>
      <w:r w:rsidRPr="006D2720">
        <w:rPr>
          <w:rFonts w:ascii="Times New Roman" w:hAnsi="Times New Roman" w:cs="Times New Roman"/>
        </w:rPr>
        <w:t>There is also an exception (under APP 7.1) for c</w:t>
      </w:r>
      <w:r w:rsidR="00C91037" w:rsidRPr="006D2720">
        <w:rPr>
          <w:rFonts w:ascii="Times New Roman" w:hAnsi="Times New Roman" w:cs="Times New Roman"/>
        </w:rPr>
        <w:t xml:space="preserve">ontracted </w:t>
      </w:r>
      <w:r w:rsidR="00F165D0" w:rsidRPr="006D2720">
        <w:rPr>
          <w:rFonts w:ascii="Times New Roman" w:hAnsi="Times New Roman" w:cs="Times New Roman"/>
        </w:rPr>
        <w:t xml:space="preserve">service </w:t>
      </w:r>
      <w:r w:rsidR="00C91037" w:rsidRPr="006D2720">
        <w:rPr>
          <w:rFonts w:ascii="Times New Roman" w:hAnsi="Times New Roman" w:cs="Times New Roman"/>
        </w:rPr>
        <w:t xml:space="preserve">providers to use personal information for direct marketing purposes </w:t>
      </w:r>
      <w:r w:rsidR="00CA34BA" w:rsidRPr="006D2720">
        <w:rPr>
          <w:rFonts w:ascii="Times New Roman" w:hAnsi="Times New Roman" w:cs="Times New Roman"/>
        </w:rPr>
        <w:t xml:space="preserve">where </w:t>
      </w:r>
      <w:r w:rsidR="0038398B" w:rsidRPr="006D2720">
        <w:rPr>
          <w:rFonts w:ascii="Times New Roman" w:hAnsi="Times New Roman" w:cs="Times New Roman"/>
        </w:rPr>
        <w:t>the purpose for which the information was collected, and use or disclosure</w:t>
      </w:r>
      <w:r w:rsidR="004E30BD" w:rsidRPr="006D2720">
        <w:rPr>
          <w:rFonts w:ascii="Times New Roman" w:hAnsi="Times New Roman" w:cs="Times New Roman"/>
        </w:rPr>
        <w:t xml:space="preserve"> of the information</w:t>
      </w:r>
      <w:r w:rsidR="0085542C" w:rsidRPr="006D2720">
        <w:rPr>
          <w:rFonts w:ascii="Times New Roman" w:hAnsi="Times New Roman" w:cs="Times New Roman"/>
        </w:rPr>
        <w:t xml:space="preserve">, </w:t>
      </w:r>
      <w:r w:rsidR="001F7699" w:rsidRPr="006D2720">
        <w:rPr>
          <w:rFonts w:ascii="Times New Roman" w:hAnsi="Times New Roman" w:cs="Times New Roman"/>
        </w:rPr>
        <w:t xml:space="preserve">is required to </w:t>
      </w:r>
      <w:r w:rsidR="007E0A78" w:rsidRPr="006D2720">
        <w:rPr>
          <w:rFonts w:ascii="Times New Roman" w:hAnsi="Times New Roman" w:cs="Times New Roman"/>
        </w:rPr>
        <w:t xml:space="preserve">meet </w:t>
      </w:r>
      <w:r w:rsidR="00CA34BA" w:rsidRPr="006D2720">
        <w:rPr>
          <w:rFonts w:ascii="Times New Roman" w:hAnsi="Times New Roman" w:cs="Times New Roman"/>
        </w:rPr>
        <w:t xml:space="preserve">an obligation </w:t>
      </w:r>
      <w:r w:rsidR="0038398B" w:rsidRPr="006D2720">
        <w:rPr>
          <w:rFonts w:ascii="Times New Roman" w:hAnsi="Times New Roman" w:cs="Times New Roman"/>
        </w:rPr>
        <w:t xml:space="preserve">under </w:t>
      </w:r>
      <w:r w:rsidR="003F2EAB" w:rsidRPr="006D2720">
        <w:rPr>
          <w:rFonts w:ascii="Times New Roman" w:hAnsi="Times New Roman" w:cs="Times New Roman"/>
        </w:rPr>
        <w:t>a Common</w:t>
      </w:r>
      <w:r w:rsidR="000749A2" w:rsidRPr="006D2720">
        <w:rPr>
          <w:rFonts w:ascii="Times New Roman" w:hAnsi="Times New Roman" w:cs="Times New Roman"/>
        </w:rPr>
        <w:t xml:space="preserve">wealth </w:t>
      </w:r>
      <w:r w:rsidR="0038398B" w:rsidRPr="006D2720">
        <w:rPr>
          <w:rFonts w:ascii="Times New Roman" w:hAnsi="Times New Roman" w:cs="Times New Roman"/>
        </w:rPr>
        <w:t>contract</w:t>
      </w:r>
      <w:r w:rsidR="0085542C" w:rsidRPr="006D2720">
        <w:rPr>
          <w:rFonts w:ascii="Times New Roman" w:hAnsi="Times New Roman" w:cs="Times New Roman"/>
        </w:rPr>
        <w:t>.</w:t>
      </w:r>
      <w:r w:rsidR="008F23AB" w:rsidRPr="006D2720">
        <w:rPr>
          <w:rFonts w:ascii="Times New Roman" w:hAnsi="Times New Roman" w:cs="Times New Roman"/>
        </w:rPr>
        <w:t xml:space="preserve"> </w:t>
      </w:r>
    </w:p>
    <w:p w14:paraId="0423A1AA" w14:textId="54F3B411" w:rsidR="005D3D9B" w:rsidRPr="006D2720" w:rsidRDefault="00E1219C" w:rsidP="0066337D">
      <w:pPr>
        <w:pStyle w:val="Heading3"/>
        <w:rPr>
          <w:rFonts w:ascii="Times New Roman" w:hAnsi="Times New Roman" w:cs="Times New Roman"/>
        </w:rPr>
      </w:pPr>
      <w:r w:rsidRPr="006D2720">
        <w:rPr>
          <w:rFonts w:ascii="Times New Roman" w:hAnsi="Times New Roman" w:cs="Times New Roman"/>
        </w:rPr>
        <w:t xml:space="preserve">Under </w:t>
      </w:r>
      <w:r w:rsidR="00455BBA" w:rsidRPr="006D2720">
        <w:rPr>
          <w:rFonts w:ascii="Times New Roman" w:hAnsi="Times New Roman" w:cs="Times New Roman"/>
        </w:rPr>
        <w:t>Tasmania</w:t>
      </w:r>
      <w:r w:rsidRPr="006D2720">
        <w:rPr>
          <w:rFonts w:ascii="Times New Roman" w:hAnsi="Times New Roman" w:cs="Times New Roman"/>
        </w:rPr>
        <w:t>n law</w:t>
      </w:r>
      <w:r w:rsidR="00455BBA" w:rsidRPr="006D2720">
        <w:rPr>
          <w:rFonts w:ascii="Times New Roman" w:hAnsi="Times New Roman" w:cs="Times New Roman"/>
        </w:rPr>
        <w:t>, t</w:t>
      </w:r>
      <w:r w:rsidR="00741A5C" w:rsidRPr="006D2720">
        <w:rPr>
          <w:rFonts w:ascii="Times New Roman" w:hAnsi="Times New Roman" w:cs="Times New Roman"/>
        </w:rPr>
        <w:t xml:space="preserve">he PIPA does not have an equivalent to APP 7. </w:t>
      </w:r>
      <w:r w:rsidR="005214D5" w:rsidRPr="006D2720">
        <w:rPr>
          <w:rFonts w:ascii="Times New Roman" w:hAnsi="Times New Roman" w:cs="Times New Roman"/>
        </w:rPr>
        <w:t>Therefore, w</w:t>
      </w:r>
      <w:r w:rsidR="009A063F" w:rsidRPr="006D2720">
        <w:rPr>
          <w:rFonts w:ascii="Times New Roman" w:hAnsi="Times New Roman" w:cs="Times New Roman"/>
        </w:rPr>
        <w:t>hile n</w:t>
      </w:r>
      <w:r w:rsidR="00682F6D" w:rsidRPr="006D2720">
        <w:rPr>
          <w:rFonts w:ascii="Times New Roman" w:hAnsi="Times New Roman" w:cs="Times New Roman"/>
        </w:rPr>
        <w:t>on</w:t>
      </w:r>
      <w:r w:rsidR="00273A40" w:rsidRPr="006D2720">
        <w:rPr>
          <w:rFonts w:ascii="Times New Roman" w:hAnsi="Times New Roman" w:cs="Times New Roman"/>
        </w:rPr>
        <w:t xml:space="preserve">-government </w:t>
      </w:r>
      <w:r w:rsidR="009A063F" w:rsidRPr="006D2720">
        <w:rPr>
          <w:rFonts w:ascii="Times New Roman" w:hAnsi="Times New Roman" w:cs="Times New Roman"/>
        </w:rPr>
        <w:t xml:space="preserve">contractors </w:t>
      </w:r>
      <w:r w:rsidR="00C35238" w:rsidRPr="006D2720">
        <w:rPr>
          <w:rFonts w:ascii="Times New Roman" w:hAnsi="Times New Roman" w:cs="Times New Roman"/>
        </w:rPr>
        <w:t>and the</w:t>
      </w:r>
      <w:r w:rsidR="00635078" w:rsidRPr="006D2720">
        <w:rPr>
          <w:rFonts w:ascii="Times New Roman" w:hAnsi="Times New Roman" w:cs="Times New Roman"/>
        </w:rPr>
        <w:t>ir</w:t>
      </w:r>
      <w:r w:rsidR="00C35238" w:rsidRPr="006D2720">
        <w:rPr>
          <w:rFonts w:ascii="Times New Roman" w:hAnsi="Times New Roman" w:cs="Times New Roman"/>
        </w:rPr>
        <w:t xml:space="preserve"> sub-contractors</w:t>
      </w:r>
      <w:r w:rsidR="009A063F" w:rsidRPr="006D2720">
        <w:rPr>
          <w:rFonts w:ascii="Times New Roman" w:hAnsi="Times New Roman" w:cs="Times New Roman"/>
        </w:rPr>
        <w:t xml:space="preserve"> </w:t>
      </w:r>
      <w:r w:rsidR="00CE186E" w:rsidRPr="006D2720">
        <w:rPr>
          <w:rFonts w:ascii="Times New Roman" w:hAnsi="Times New Roman" w:cs="Times New Roman"/>
        </w:rPr>
        <w:t>must</w:t>
      </w:r>
      <w:r w:rsidR="00CC775C" w:rsidRPr="006D2720">
        <w:rPr>
          <w:rFonts w:ascii="Times New Roman" w:hAnsi="Times New Roman" w:cs="Times New Roman"/>
        </w:rPr>
        <w:t xml:space="preserve"> comply with the PIPPs</w:t>
      </w:r>
      <w:r w:rsidR="00CE186E" w:rsidRPr="006D2720">
        <w:rPr>
          <w:rFonts w:ascii="Times New Roman" w:hAnsi="Times New Roman" w:cs="Times New Roman"/>
        </w:rPr>
        <w:t xml:space="preserve">, </w:t>
      </w:r>
      <w:r w:rsidR="00780D08" w:rsidRPr="006D2720">
        <w:rPr>
          <w:rFonts w:ascii="Times New Roman" w:hAnsi="Times New Roman" w:cs="Times New Roman"/>
        </w:rPr>
        <w:t xml:space="preserve">they are not subject to </w:t>
      </w:r>
      <w:r w:rsidR="004E30BD" w:rsidRPr="006D2720">
        <w:rPr>
          <w:rFonts w:ascii="Times New Roman" w:hAnsi="Times New Roman" w:cs="Times New Roman"/>
        </w:rPr>
        <w:t xml:space="preserve">additional </w:t>
      </w:r>
      <w:r w:rsidR="00CC775C" w:rsidRPr="006D2720">
        <w:rPr>
          <w:rFonts w:ascii="Times New Roman" w:hAnsi="Times New Roman" w:cs="Times New Roman"/>
        </w:rPr>
        <w:t>restriction</w:t>
      </w:r>
      <w:r w:rsidR="00B94FBD" w:rsidRPr="006D2720">
        <w:rPr>
          <w:rFonts w:ascii="Times New Roman" w:hAnsi="Times New Roman" w:cs="Times New Roman"/>
        </w:rPr>
        <w:t>s</w:t>
      </w:r>
      <w:r w:rsidR="00CC775C" w:rsidRPr="006D2720">
        <w:rPr>
          <w:rFonts w:ascii="Times New Roman" w:hAnsi="Times New Roman" w:cs="Times New Roman"/>
        </w:rPr>
        <w:t xml:space="preserve"> </w:t>
      </w:r>
      <w:r w:rsidR="008C329C" w:rsidRPr="006D2720">
        <w:rPr>
          <w:rFonts w:ascii="Times New Roman" w:hAnsi="Times New Roman" w:cs="Times New Roman"/>
        </w:rPr>
        <w:t xml:space="preserve">regarding the </w:t>
      </w:r>
      <w:r w:rsidR="00CC775C" w:rsidRPr="006D2720">
        <w:rPr>
          <w:rFonts w:ascii="Times New Roman" w:hAnsi="Times New Roman" w:cs="Times New Roman"/>
        </w:rPr>
        <w:t>use of personal information for direct marketing purposes.</w:t>
      </w:r>
      <w:r w:rsidR="00523E91" w:rsidRPr="006D2720">
        <w:rPr>
          <w:rFonts w:ascii="Times New Roman" w:hAnsi="Times New Roman" w:cs="Times New Roman"/>
        </w:rPr>
        <w:t xml:space="preserve"> </w:t>
      </w:r>
      <w:r w:rsidR="0033258D" w:rsidRPr="006D2720">
        <w:rPr>
          <w:rFonts w:ascii="Times New Roman" w:hAnsi="Times New Roman" w:cs="Times New Roman"/>
        </w:rPr>
        <w:t xml:space="preserve">As long as </w:t>
      </w:r>
      <w:r w:rsidR="004E30BD" w:rsidRPr="006D2720">
        <w:rPr>
          <w:rFonts w:ascii="Times New Roman" w:hAnsi="Times New Roman" w:cs="Times New Roman"/>
        </w:rPr>
        <w:t xml:space="preserve">the </w:t>
      </w:r>
      <w:r w:rsidR="00F71149" w:rsidRPr="006D2720">
        <w:rPr>
          <w:rFonts w:ascii="Times New Roman" w:hAnsi="Times New Roman" w:cs="Times New Roman"/>
        </w:rPr>
        <w:t xml:space="preserve">direct marketing purpose </w:t>
      </w:r>
      <w:r w:rsidR="004E30BD" w:rsidRPr="006D2720">
        <w:rPr>
          <w:rFonts w:ascii="Times New Roman" w:hAnsi="Times New Roman" w:cs="Times New Roman"/>
        </w:rPr>
        <w:t>is relevant to the</w:t>
      </w:r>
      <w:r w:rsidR="00DC5D3E" w:rsidRPr="006D2720">
        <w:rPr>
          <w:rFonts w:ascii="Times New Roman" w:hAnsi="Times New Roman" w:cs="Times New Roman"/>
        </w:rPr>
        <w:t xml:space="preserve"> primary purpose</w:t>
      </w:r>
      <w:r w:rsidR="00FE60C2" w:rsidRPr="006D2720">
        <w:rPr>
          <w:rFonts w:ascii="Times New Roman" w:hAnsi="Times New Roman" w:cs="Times New Roman"/>
        </w:rPr>
        <w:t xml:space="preserve"> </w:t>
      </w:r>
      <w:r w:rsidR="00B83CA0" w:rsidRPr="006D2720">
        <w:rPr>
          <w:rFonts w:ascii="Times New Roman" w:hAnsi="Times New Roman" w:cs="Times New Roman"/>
        </w:rPr>
        <w:t>for</w:t>
      </w:r>
      <w:r w:rsidR="00FE60C2" w:rsidRPr="006D2720">
        <w:rPr>
          <w:rFonts w:ascii="Times New Roman" w:hAnsi="Times New Roman" w:cs="Times New Roman"/>
        </w:rPr>
        <w:t xml:space="preserve"> collecting the information</w:t>
      </w:r>
      <w:r w:rsidR="004E30BD" w:rsidRPr="006D2720">
        <w:rPr>
          <w:rFonts w:ascii="Times New Roman" w:hAnsi="Times New Roman" w:cs="Times New Roman"/>
        </w:rPr>
        <w:t xml:space="preserve">, </w:t>
      </w:r>
      <w:r w:rsidR="0055288A" w:rsidRPr="006D2720">
        <w:rPr>
          <w:rFonts w:ascii="Times New Roman" w:hAnsi="Times New Roman" w:cs="Times New Roman"/>
        </w:rPr>
        <w:t xml:space="preserve">the information does not have to be </w:t>
      </w:r>
      <w:r w:rsidR="004E30BD" w:rsidRPr="006D2720">
        <w:rPr>
          <w:rFonts w:ascii="Times New Roman" w:hAnsi="Times New Roman" w:cs="Times New Roman"/>
        </w:rPr>
        <w:t xml:space="preserve">collected from the </w:t>
      </w:r>
      <w:r w:rsidR="0055288A" w:rsidRPr="006D2720">
        <w:rPr>
          <w:rFonts w:ascii="Times New Roman" w:hAnsi="Times New Roman" w:cs="Times New Roman"/>
        </w:rPr>
        <w:t xml:space="preserve">marketing subject, nor </w:t>
      </w:r>
      <w:r w:rsidR="0063083B" w:rsidRPr="006D2720">
        <w:rPr>
          <w:rFonts w:ascii="Times New Roman" w:hAnsi="Times New Roman" w:cs="Times New Roman"/>
        </w:rPr>
        <w:t xml:space="preserve">does the subject </w:t>
      </w:r>
      <w:r w:rsidR="0055288A" w:rsidRPr="006D2720">
        <w:rPr>
          <w:rFonts w:ascii="Times New Roman" w:hAnsi="Times New Roman" w:cs="Times New Roman"/>
        </w:rPr>
        <w:t xml:space="preserve">need to </w:t>
      </w:r>
      <w:r w:rsidR="004E30BD" w:rsidRPr="006D2720">
        <w:rPr>
          <w:rFonts w:ascii="Times New Roman" w:hAnsi="Times New Roman" w:cs="Times New Roman"/>
        </w:rPr>
        <w:t>consent</w:t>
      </w:r>
      <w:r w:rsidR="0055288A" w:rsidRPr="006D2720">
        <w:rPr>
          <w:rFonts w:ascii="Times New Roman" w:hAnsi="Times New Roman" w:cs="Times New Roman"/>
        </w:rPr>
        <w:t xml:space="preserve"> </w:t>
      </w:r>
      <w:r w:rsidR="004E30BD" w:rsidRPr="006D2720">
        <w:rPr>
          <w:rFonts w:ascii="Times New Roman" w:hAnsi="Times New Roman" w:cs="Times New Roman"/>
        </w:rPr>
        <w:t xml:space="preserve">to the use </w:t>
      </w:r>
      <w:r w:rsidR="0055288A" w:rsidRPr="006D2720">
        <w:rPr>
          <w:rFonts w:ascii="Times New Roman" w:hAnsi="Times New Roman" w:cs="Times New Roman"/>
        </w:rPr>
        <w:t xml:space="preserve">of their information </w:t>
      </w:r>
      <w:r w:rsidR="004E30BD" w:rsidRPr="006D2720">
        <w:rPr>
          <w:rFonts w:ascii="Times New Roman" w:hAnsi="Times New Roman" w:cs="Times New Roman"/>
        </w:rPr>
        <w:t xml:space="preserve">for </w:t>
      </w:r>
      <w:r w:rsidR="00B83CA0" w:rsidRPr="006D2720">
        <w:rPr>
          <w:rFonts w:ascii="Times New Roman" w:hAnsi="Times New Roman" w:cs="Times New Roman"/>
        </w:rPr>
        <w:t xml:space="preserve">direct marketing </w:t>
      </w:r>
      <w:r w:rsidR="004E30BD" w:rsidRPr="006D2720">
        <w:rPr>
          <w:rFonts w:ascii="Times New Roman" w:hAnsi="Times New Roman" w:cs="Times New Roman"/>
        </w:rPr>
        <w:t>purpose</w:t>
      </w:r>
      <w:r w:rsidR="00B83CA0" w:rsidRPr="006D2720">
        <w:rPr>
          <w:rFonts w:ascii="Times New Roman" w:hAnsi="Times New Roman" w:cs="Times New Roman"/>
        </w:rPr>
        <w:t>s</w:t>
      </w:r>
      <w:r w:rsidR="004E30BD" w:rsidRPr="006D2720">
        <w:rPr>
          <w:rFonts w:ascii="Times New Roman" w:hAnsi="Times New Roman" w:cs="Times New Roman"/>
        </w:rPr>
        <w:t xml:space="preserve">. </w:t>
      </w:r>
    </w:p>
    <w:p w14:paraId="0D429DFB" w14:textId="401DC2F3" w:rsidR="00635078" w:rsidRPr="006D2720" w:rsidRDefault="00635078" w:rsidP="0066337D">
      <w:pPr>
        <w:pStyle w:val="Heading3"/>
        <w:rPr>
          <w:rFonts w:ascii="Times New Roman" w:hAnsi="Times New Roman" w:cs="Times New Roman"/>
        </w:rPr>
      </w:pPr>
      <w:r w:rsidRPr="006D2720">
        <w:rPr>
          <w:rFonts w:ascii="Times New Roman" w:hAnsi="Times New Roman" w:cs="Times New Roman"/>
        </w:rPr>
        <w:t xml:space="preserve">The </w:t>
      </w:r>
      <w:r w:rsidR="009C6E14" w:rsidRPr="006D2720">
        <w:rPr>
          <w:rFonts w:ascii="Times New Roman" w:hAnsi="Times New Roman" w:cs="Times New Roman"/>
        </w:rPr>
        <w:t>OAIC</w:t>
      </w:r>
      <w:r w:rsidRPr="006D2720">
        <w:rPr>
          <w:rFonts w:ascii="Times New Roman" w:hAnsi="Times New Roman" w:cs="Times New Roman"/>
        </w:rPr>
        <w:t xml:space="preserve"> recommended that </w:t>
      </w:r>
      <w:r w:rsidR="00B472C5" w:rsidRPr="006D2720">
        <w:rPr>
          <w:rFonts w:ascii="Times New Roman" w:hAnsi="Times New Roman" w:cs="Times New Roman"/>
        </w:rPr>
        <w:t xml:space="preserve">APP 7 be repealed and replaced with a </w:t>
      </w:r>
      <w:r w:rsidR="005F5CF5" w:rsidRPr="006D2720">
        <w:rPr>
          <w:rFonts w:ascii="Times New Roman" w:hAnsi="Times New Roman" w:cs="Times New Roman"/>
        </w:rPr>
        <w:t xml:space="preserve">new </w:t>
      </w:r>
      <w:r w:rsidR="003079DD" w:rsidRPr="006D2720">
        <w:rPr>
          <w:rFonts w:ascii="Times New Roman" w:hAnsi="Times New Roman" w:cs="Times New Roman"/>
        </w:rPr>
        <w:t>‘</w:t>
      </w:r>
      <w:r w:rsidR="005F5CF5" w:rsidRPr="006D2720">
        <w:rPr>
          <w:rFonts w:ascii="Times New Roman" w:hAnsi="Times New Roman" w:cs="Times New Roman"/>
        </w:rPr>
        <w:t>right to object</w:t>
      </w:r>
      <w:r w:rsidR="003079DD" w:rsidRPr="006D2720">
        <w:rPr>
          <w:rFonts w:ascii="Times New Roman" w:hAnsi="Times New Roman" w:cs="Times New Roman"/>
        </w:rPr>
        <w:t>’</w:t>
      </w:r>
      <w:r w:rsidR="00640E7F" w:rsidRPr="006D2720">
        <w:rPr>
          <w:rFonts w:ascii="Times New Roman" w:hAnsi="Times New Roman" w:cs="Times New Roman"/>
        </w:rPr>
        <w:t>, discussed below</w:t>
      </w:r>
      <w:r w:rsidR="00FE0144" w:rsidRPr="006D2720">
        <w:rPr>
          <w:rFonts w:ascii="Times New Roman" w:hAnsi="Times New Roman" w:cs="Times New Roman"/>
        </w:rPr>
        <w:t xml:space="preserve"> at </w:t>
      </w:r>
      <w:r w:rsidR="00D332F8" w:rsidRPr="006D2720">
        <w:rPr>
          <w:rFonts w:ascii="Times New Roman" w:hAnsi="Times New Roman" w:cs="Times New Roman"/>
        </w:rPr>
        <w:t>[</w:t>
      </w:r>
      <w:r w:rsidR="009C6E14" w:rsidRPr="006D2720">
        <w:rPr>
          <w:rFonts w:ascii="Times New Roman" w:hAnsi="Times New Roman" w:cs="Times New Roman"/>
        </w:rPr>
        <w:fldChar w:fldCharType="begin"/>
      </w:r>
      <w:r w:rsidR="009C6E14" w:rsidRPr="006D2720">
        <w:rPr>
          <w:rFonts w:ascii="Times New Roman" w:hAnsi="Times New Roman" w:cs="Times New Roman"/>
        </w:rPr>
        <w:instrText xml:space="preserve"> REF _Ref91615725 \r \h </w:instrText>
      </w:r>
      <w:r w:rsidR="00A660A0" w:rsidRPr="006D2720">
        <w:rPr>
          <w:rFonts w:ascii="Times New Roman" w:hAnsi="Times New Roman" w:cs="Times New Roman"/>
        </w:rPr>
        <w:instrText xml:space="preserve"> \* MERGEFORMAT </w:instrText>
      </w:r>
      <w:r w:rsidR="009C6E14" w:rsidRPr="006D2720">
        <w:rPr>
          <w:rFonts w:ascii="Times New Roman" w:hAnsi="Times New Roman" w:cs="Times New Roman"/>
        </w:rPr>
      </w:r>
      <w:r w:rsidR="009C6E14" w:rsidRPr="006D2720">
        <w:rPr>
          <w:rFonts w:ascii="Times New Roman" w:hAnsi="Times New Roman" w:cs="Times New Roman"/>
        </w:rPr>
        <w:fldChar w:fldCharType="separate"/>
      </w:r>
      <w:r w:rsidR="00E66B60">
        <w:rPr>
          <w:rFonts w:ascii="Times New Roman" w:hAnsi="Times New Roman" w:cs="Times New Roman"/>
        </w:rPr>
        <w:t>2.3.76</w:t>
      </w:r>
      <w:r w:rsidR="009C6E14" w:rsidRPr="006D2720">
        <w:rPr>
          <w:rFonts w:ascii="Times New Roman" w:hAnsi="Times New Roman" w:cs="Times New Roman"/>
        </w:rPr>
        <w:fldChar w:fldCharType="end"/>
      </w:r>
      <w:r w:rsidR="00D332F8" w:rsidRPr="006D2720">
        <w:rPr>
          <w:rFonts w:ascii="Times New Roman" w:hAnsi="Times New Roman" w:cs="Times New Roman"/>
        </w:rPr>
        <w:t>]</w:t>
      </w:r>
      <w:r w:rsidR="009C6E14" w:rsidRPr="006D2720">
        <w:rPr>
          <w:rFonts w:ascii="Times New Roman" w:hAnsi="Times New Roman" w:cs="Times New Roman"/>
        </w:rPr>
        <w:t>–</w:t>
      </w:r>
      <w:r w:rsidR="00D332F8" w:rsidRPr="006D2720">
        <w:rPr>
          <w:rFonts w:ascii="Times New Roman" w:hAnsi="Times New Roman" w:cs="Times New Roman"/>
        </w:rPr>
        <w:t>[</w:t>
      </w:r>
      <w:r w:rsidR="009C6E14" w:rsidRPr="006D2720">
        <w:rPr>
          <w:rFonts w:ascii="Times New Roman" w:hAnsi="Times New Roman" w:cs="Times New Roman"/>
        </w:rPr>
        <w:fldChar w:fldCharType="begin"/>
      </w:r>
      <w:r w:rsidR="009C6E14" w:rsidRPr="006D2720">
        <w:rPr>
          <w:rFonts w:ascii="Times New Roman" w:hAnsi="Times New Roman" w:cs="Times New Roman"/>
        </w:rPr>
        <w:instrText xml:space="preserve"> REF _Ref91615727 \r \h </w:instrText>
      </w:r>
      <w:r w:rsidR="00A660A0" w:rsidRPr="006D2720">
        <w:rPr>
          <w:rFonts w:ascii="Times New Roman" w:hAnsi="Times New Roman" w:cs="Times New Roman"/>
        </w:rPr>
        <w:instrText xml:space="preserve"> \* MERGEFORMAT </w:instrText>
      </w:r>
      <w:r w:rsidR="009C6E14" w:rsidRPr="006D2720">
        <w:rPr>
          <w:rFonts w:ascii="Times New Roman" w:hAnsi="Times New Roman" w:cs="Times New Roman"/>
        </w:rPr>
      </w:r>
      <w:r w:rsidR="009C6E14" w:rsidRPr="006D2720">
        <w:rPr>
          <w:rFonts w:ascii="Times New Roman" w:hAnsi="Times New Roman" w:cs="Times New Roman"/>
        </w:rPr>
        <w:fldChar w:fldCharType="separate"/>
      </w:r>
      <w:r w:rsidR="00E66B60">
        <w:rPr>
          <w:rFonts w:ascii="Times New Roman" w:hAnsi="Times New Roman" w:cs="Times New Roman"/>
        </w:rPr>
        <w:t>2.3.80</w:t>
      </w:r>
      <w:r w:rsidR="009C6E14" w:rsidRPr="006D2720">
        <w:rPr>
          <w:rFonts w:ascii="Times New Roman" w:hAnsi="Times New Roman" w:cs="Times New Roman"/>
        </w:rPr>
        <w:fldChar w:fldCharType="end"/>
      </w:r>
      <w:r w:rsidR="00D332F8" w:rsidRPr="006D2720">
        <w:rPr>
          <w:rFonts w:ascii="Times New Roman" w:hAnsi="Times New Roman" w:cs="Times New Roman"/>
        </w:rPr>
        <w:t>]</w:t>
      </w:r>
      <w:r w:rsidR="005F5CF5" w:rsidRPr="006D2720">
        <w:rPr>
          <w:rFonts w:ascii="Times New Roman" w:hAnsi="Times New Roman" w:cs="Times New Roman"/>
        </w:rPr>
        <w:t xml:space="preserve">. </w:t>
      </w:r>
      <w:r w:rsidR="00772FF2" w:rsidRPr="006D2720">
        <w:rPr>
          <w:rFonts w:ascii="Times New Roman" w:hAnsi="Times New Roman" w:cs="Times New Roman"/>
        </w:rPr>
        <w:t xml:space="preserve">This right would entitle </w:t>
      </w:r>
      <w:r w:rsidR="005F5CF5" w:rsidRPr="006D2720">
        <w:rPr>
          <w:rFonts w:ascii="Times New Roman" w:hAnsi="Times New Roman" w:cs="Times New Roman"/>
        </w:rPr>
        <w:t xml:space="preserve">individuals </w:t>
      </w:r>
      <w:r w:rsidR="00CD1207" w:rsidRPr="006D2720">
        <w:rPr>
          <w:rFonts w:ascii="Times New Roman" w:hAnsi="Times New Roman" w:cs="Times New Roman"/>
        </w:rPr>
        <w:t xml:space="preserve">to object to the use of their personal information for </w:t>
      </w:r>
      <w:r w:rsidR="00B029A4" w:rsidRPr="006D2720">
        <w:rPr>
          <w:rFonts w:ascii="Times New Roman" w:hAnsi="Times New Roman" w:cs="Times New Roman"/>
        </w:rPr>
        <w:t xml:space="preserve">certain purposes, including </w:t>
      </w:r>
      <w:r w:rsidR="00CD1207" w:rsidRPr="006D2720">
        <w:rPr>
          <w:rFonts w:ascii="Times New Roman" w:hAnsi="Times New Roman" w:cs="Times New Roman"/>
        </w:rPr>
        <w:t>direct marketing purposes</w:t>
      </w:r>
      <w:r w:rsidR="00350A74" w:rsidRPr="006D2720">
        <w:rPr>
          <w:rFonts w:ascii="Times New Roman" w:hAnsi="Times New Roman" w:cs="Times New Roman"/>
        </w:rPr>
        <w:t>.</w:t>
      </w:r>
      <w:r w:rsidR="00350A74" w:rsidRPr="006D2720">
        <w:rPr>
          <w:rStyle w:val="FootnoteReference"/>
          <w:rFonts w:ascii="Times New Roman" w:hAnsi="Times New Roman" w:cs="Times New Roman"/>
        </w:rPr>
        <w:footnoteReference w:id="190"/>
      </w:r>
      <w:r w:rsidR="7B269EBD" w:rsidRPr="006D2720">
        <w:rPr>
          <w:rStyle w:val="FootnoteReference"/>
          <w:rFonts w:ascii="Times New Roman" w:hAnsi="Times New Roman" w:cs="Times New Roman"/>
        </w:rPr>
        <w:t xml:space="preserve">  </w:t>
      </w:r>
      <w:r w:rsidR="00640E7F" w:rsidRPr="006D2720">
        <w:rPr>
          <w:rFonts w:ascii="Times New Roman" w:hAnsi="Times New Roman" w:cs="Times New Roman"/>
        </w:rPr>
        <w:t>T</w:t>
      </w:r>
      <w:r w:rsidR="7B269EBD" w:rsidRPr="006D2720">
        <w:rPr>
          <w:rFonts w:ascii="Times New Roman" w:hAnsi="Times New Roman" w:cs="Times New Roman"/>
        </w:rPr>
        <w:t>his recommendation takes inspiration from the GDPR</w:t>
      </w:r>
      <w:r w:rsidR="003F0659" w:rsidRPr="006D2720">
        <w:rPr>
          <w:rFonts w:ascii="Times New Roman" w:hAnsi="Times New Roman" w:cs="Times New Roman"/>
        </w:rPr>
        <w:t>,</w:t>
      </w:r>
      <w:r w:rsidR="7B269EBD" w:rsidRPr="006D2720">
        <w:rPr>
          <w:rFonts w:ascii="Times New Roman" w:hAnsi="Times New Roman" w:cs="Times New Roman"/>
        </w:rPr>
        <w:t xml:space="preserve"> which </w:t>
      </w:r>
      <w:r w:rsidR="00FA3870" w:rsidRPr="006D2720">
        <w:rPr>
          <w:rFonts w:ascii="Times New Roman" w:hAnsi="Times New Roman" w:cs="Times New Roman"/>
        </w:rPr>
        <w:t xml:space="preserve">provides for </w:t>
      </w:r>
      <w:r w:rsidR="00DD24E8" w:rsidRPr="006D2720">
        <w:rPr>
          <w:rFonts w:ascii="Times New Roman" w:hAnsi="Times New Roman" w:cs="Times New Roman"/>
        </w:rPr>
        <w:t xml:space="preserve">this </w:t>
      </w:r>
      <w:r w:rsidR="7B269EBD" w:rsidRPr="006D2720">
        <w:rPr>
          <w:rFonts w:ascii="Times New Roman" w:hAnsi="Times New Roman" w:cs="Times New Roman"/>
        </w:rPr>
        <w:t>right.</w:t>
      </w:r>
    </w:p>
    <w:p w14:paraId="6F7DCAAC" w14:textId="5D841765" w:rsidR="000C01D8" w:rsidRPr="006D2720" w:rsidRDefault="004E30BD" w:rsidP="00CA1A69">
      <w:pPr>
        <w:pStyle w:val="Heading2"/>
        <w:numPr>
          <w:ilvl w:val="0"/>
          <w:numId w:val="0"/>
        </w:numPr>
        <w:ind w:left="578" w:hanging="578"/>
        <w:rPr>
          <w:rFonts w:ascii="Times New Roman" w:hAnsi="Times New Roman" w:cs="Times New Roman"/>
          <w:i/>
          <w:iCs/>
        </w:rPr>
      </w:pPr>
      <w:bookmarkStart w:id="291" w:name="_Potential_reforms"/>
      <w:bookmarkStart w:id="292" w:name="_Toc91832003"/>
      <w:bookmarkStart w:id="293" w:name="_Toc130540437"/>
      <w:bookmarkEnd w:id="291"/>
      <w:r w:rsidRPr="006D2720">
        <w:rPr>
          <w:rFonts w:ascii="Times New Roman" w:hAnsi="Times New Roman" w:cs="Times New Roman"/>
          <w:i/>
          <w:iCs/>
        </w:rPr>
        <w:t>P</w:t>
      </w:r>
      <w:r w:rsidR="001C7CC5" w:rsidRPr="006D2720">
        <w:rPr>
          <w:rFonts w:ascii="Times New Roman" w:hAnsi="Times New Roman" w:cs="Times New Roman"/>
          <w:i/>
          <w:iCs/>
        </w:rPr>
        <w:t>otential reforms</w:t>
      </w:r>
      <w:bookmarkEnd w:id="292"/>
      <w:bookmarkEnd w:id="293"/>
    </w:p>
    <w:p w14:paraId="2A4B70CD" w14:textId="29C99FC9" w:rsidR="001C7CC5" w:rsidRPr="006D2720" w:rsidRDefault="00F004D7" w:rsidP="001C7CC5">
      <w:pPr>
        <w:rPr>
          <w:rFonts w:ascii="Times New Roman" w:hAnsi="Times New Roman" w:cs="Times New Roman"/>
          <w:b/>
          <w:bCs/>
          <w:i/>
          <w:iCs/>
        </w:rPr>
      </w:pPr>
      <w:r w:rsidRPr="006D2720">
        <w:rPr>
          <w:rFonts w:ascii="Times New Roman" w:hAnsi="Times New Roman" w:cs="Times New Roman"/>
          <w:b/>
          <w:bCs/>
          <w:i/>
          <w:iCs/>
        </w:rPr>
        <w:t>Notice and consent requirements</w:t>
      </w:r>
    </w:p>
    <w:p w14:paraId="757580A9" w14:textId="45B533E9" w:rsidR="00755B8A" w:rsidRPr="006D2720" w:rsidRDefault="005A3966" w:rsidP="0066337D">
      <w:pPr>
        <w:pStyle w:val="Heading3"/>
        <w:rPr>
          <w:rFonts w:ascii="Times New Roman" w:hAnsi="Times New Roman" w:cs="Times New Roman"/>
        </w:rPr>
      </w:pPr>
      <w:bookmarkStart w:id="294" w:name="_Ref91827966"/>
      <w:r w:rsidRPr="006D2720">
        <w:rPr>
          <w:rFonts w:ascii="Times New Roman" w:hAnsi="Times New Roman" w:cs="Times New Roman"/>
        </w:rPr>
        <w:t>Under Tasmanian law, v</w:t>
      </w:r>
      <w:r w:rsidR="00856937" w:rsidRPr="006D2720">
        <w:rPr>
          <w:rFonts w:ascii="Times New Roman" w:hAnsi="Times New Roman" w:cs="Times New Roman"/>
        </w:rPr>
        <w:t xml:space="preserve">arious PIPPs allow the handling of personal information based on the </w:t>
      </w:r>
      <w:r w:rsidRPr="006D2720">
        <w:rPr>
          <w:rFonts w:ascii="Times New Roman" w:hAnsi="Times New Roman" w:cs="Times New Roman"/>
        </w:rPr>
        <w:t>provision</w:t>
      </w:r>
      <w:r w:rsidR="00856937" w:rsidRPr="006D2720">
        <w:rPr>
          <w:rFonts w:ascii="Times New Roman" w:hAnsi="Times New Roman" w:cs="Times New Roman"/>
        </w:rPr>
        <w:t xml:space="preserve"> of notice </w:t>
      </w:r>
      <w:r w:rsidR="006B23E2" w:rsidRPr="006D2720">
        <w:rPr>
          <w:rFonts w:ascii="Times New Roman" w:hAnsi="Times New Roman" w:cs="Times New Roman"/>
        </w:rPr>
        <w:t xml:space="preserve">to </w:t>
      </w:r>
      <w:r w:rsidR="00B47C71" w:rsidRPr="006D2720">
        <w:rPr>
          <w:rFonts w:ascii="Times New Roman" w:hAnsi="Times New Roman" w:cs="Times New Roman"/>
        </w:rPr>
        <w:t xml:space="preserve">the individual concerned </w:t>
      </w:r>
      <w:r w:rsidR="00856937" w:rsidRPr="006D2720">
        <w:rPr>
          <w:rFonts w:ascii="Times New Roman" w:hAnsi="Times New Roman" w:cs="Times New Roman"/>
        </w:rPr>
        <w:t xml:space="preserve">and </w:t>
      </w:r>
      <w:r w:rsidR="00B47C71" w:rsidRPr="006D2720">
        <w:rPr>
          <w:rFonts w:ascii="Times New Roman" w:hAnsi="Times New Roman" w:cs="Times New Roman"/>
        </w:rPr>
        <w:t xml:space="preserve">their </w:t>
      </w:r>
      <w:r w:rsidR="00856937" w:rsidRPr="006D2720">
        <w:rPr>
          <w:rFonts w:ascii="Times New Roman" w:hAnsi="Times New Roman" w:cs="Times New Roman"/>
        </w:rPr>
        <w:t xml:space="preserve">consent. </w:t>
      </w:r>
      <w:r w:rsidR="00581056" w:rsidRPr="006D2720">
        <w:rPr>
          <w:rFonts w:ascii="Times New Roman" w:hAnsi="Times New Roman" w:cs="Times New Roman"/>
        </w:rPr>
        <w:t xml:space="preserve">Regarding notice, </w:t>
      </w:r>
      <w:r w:rsidR="00810DC2" w:rsidRPr="006D2720">
        <w:rPr>
          <w:rFonts w:ascii="Times New Roman" w:hAnsi="Times New Roman" w:cs="Times New Roman"/>
        </w:rPr>
        <w:t xml:space="preserve">PIPP 1 </w:t>
      </w:r>
      <w:r w:rsidR="00856937" w:rsidRPr="006D2720">
        <w:rPr>
          <w:rFonts w:ascii="Times New Roman" w:hAnsi="Times New Roman" w:cs="Times New Roman"/>
        </w:rPr>
        <w:t xml:space="preserve">generally requires various forms of </w:t>
      </w:r>
      <w:r w:rsidR="00810DC2" w:rsidRPr="006D2720">
        <w:rPr>
          <w:rFonts w:ascii="Times New Roman" w:hAnsi="Times New Roman" w:cs="Times New Roman"/>
        </w:rPr>
        <w:t>information to be disclosed upon collection</w:t>
      </w:r>
      <w:r w:rsidRPr="006D2720">
        <w:rPr>
          <w:rFonts w:ascii="Times New Roman" w:hAnsi="Times New Roman" w:cs="Times New Roman"/>
        </w:rPr>
        <w:t xml:space="preserve">, </w:t>
      </w:r>
      <w:r w:rsidR="00AD0D11" w:rsidRPr="006D2720">
        <w:rPr>
          <w:rFonts w:ascii="Times New Roman" w:hAnsi="Times New Roman" w:cs="Times New Roman"/>
        </w:rPr>
        <w:t xml:space="preserve">while </w:t>
      </w:r>
      <w:r w:rsidR="009526E5" w:rsidRPr="006D2720">
        <w:rPr>
          <w:rFonts w:ascii="Times New Roman" w:hAnsi="Times New Roman" w:cs="Times New Roman"/>
        </w:rPr>
        <w:t xml:space="preserve">PIPP 5 </w:t>
      </w:r>
      <w:r w:rsidR="001C6C6F" w:rsidRPr="006D2720">
        <w:rPr>
          <w:rFonts w:ascii="Times New Roman" w:hAnsi="Times New Roman" w:cs="Times New Roman"/>
        </w:rPr>
        <w:t xml:space="preserve">requires personal information custodians to clearly set out </w:t>
      </w:r>
      <w:r w:rsidR="009526E5" w:rsidRPr="006D2720">
        <w:rPr>
          <w:rFonts w:ascii="Times New Roman" w:hAnsi="Times New Roman" w:cs="Times New Roman"/>
        </w:rPr>
        <w:t xml:space="preserve">privacy policies </w:t>
      </w:r>
      <w:r w:rsidR="00AD0D11" w:rsidRPr="006D2720">
        <w:rPr>
          <w:rFonts w:ascii="Times New Roman" w:hAnsi="Times New Roman" w:cs="Times New Roman"/>
        </w:rPr>
        <w:t xml:space="preserve">and </w:t>
      </w:r>
      <w:r w:rsidR="009526E5" w:rsidRPr="006D2720">
        <w:rPr>
          <w:rFonts w:ascii="Times New Roman" w:hAnsi="Times New Roman" w:cs="Times New Roman"/>
        </w:rPr>
        <w:t xml:space="preserve">provide </w:t>
      </w:r>
      <w:r w:rsidR="001C6C6F" w:rsidRPr="006D2720">
        <w:rPr>
          <w:rFonts w:ascii="Times New Roman" w:hAnsi="Times New Roman" w:cs="Times New Roman"/>
        </w:rPr>
        <w:t>them on</w:t>
      </w:r>
      <w:r w:rsidR="009526E5" w:rsidRPr="006D2720">
        <w:rPr>
          <w:rFonts w:ascii="Times New Roman" w:hAnsi="Times New Roman" w:cs="Times New Roman"/>
        </w:rPr>
        <w:t xml:space="preserve"> </w:t>
      </w:r>
      <w:r w:rsidR="009C1F9D" w:rsidRPr="006D2720">
        <w:rPr>
          <w:rFonts w:ascii="Times New Roman" w:hAnsi="Times New Roman" w:cs="Times New Roman"/>
        </w:rPr>
        <w:t>request and</w:t>
      </w:r>
      <w:r w:rsidR="00AD0D11" w:rsidRPr="006D2720">
        <w:rPr>
          <w:rFonts w:ascii="Times New Roman" w:hAnsi="Times New Roman" w:cs="Times New Roman"/>
        </w:rPr>
        <w:t xml:space="preserve"> </w:t>
      </w:r>
      <w:r w:rsidR="001C6C6F" w:rsidRPr="006D2720">
        <w:rPr>
          <w:rFonts w:ascii="Times New Roman" w:hAnsi="Times New Roman" w:cs="Times New Roman"/>
        </w:rPr>
        <w:t xml:space="preserve">to </w:t>
      </w:r>
      <w:r w:rsidR="00AD0D11" w:rsidRPr="006D2720">
        <w:rPr>
          <w:rFonts w:ascii="Times New Roman" w:hAnsi="Times New Roman" w:cs="Times New Roman"/>
        </w:rPr>
        <w:t>respond to requests for advice related</w:t>
      </w:r>
      <w:r w:rsidR="00430B96" w:rsidRPr="006D2720">
        <w:rPr>
          <w:rFonts w:ascii="Times New Roman" w:hAnsi="Times New Roman" w:cs="Times New Roman"/>
        </w:rPr>
        <w:t xml:space="preserve"> to</w:t>
      </w:r>
      <w:r w:rsidR="00AD0D11" w:rsidRPr="006D2720">
        <w:rPr>
          <w:rFonts w:ascii="Times New Roman" w:hAnsi="Times New Roman" w:cs="Times New Roman"/>
        </w:rPr>
        <w:t xml:space="preserve"> personal information</w:t>
      </w:r>
      <w:r w:rsidR="00430B96" w:rsidRPr="006D2720">
        <w:rPr>
          <w:rFonts w:ascii="Times New Roman" w:hAnsi="Times New Roman" w:cs="Times New Roman"/>
        </w:rPr>
        <w:t xml:space="preserve"> </w:t>
      </w:r>
      <w:r w:rsidR="00F549C7" w:rsidRPr="006D2720">
        <w:rPr>
          <w:rFonts w:ascii="Times New Roman" w:hAnsi="Times New Roman" w:cs="Times New Roman"/>
        </w:rPr>
        <w:t xml:space="preserve">that is collected, </w:t>
      </w:r>
      <w:r w:rsidR="00430B96" w:rsidRPr="006D2720">
        <w:rPr>
          <w:rFonts w:ascii="Times New Roman" w:hAnsi="Times New Roman" w:cs="Times New Roman"/>
        </w:rPr>
        <w:t>held</w:t>
      </w:r>
      <w:r w:rsidR="00F549C7" w:rsidRPr="006D2720">
        <w:rPr>
          <w:rFonts w:ascii="Times New Roman" w:hAnsi="Times New Roman" w:cs="Times New Roman"/>
        </w:rPr>
        <w:t>, used and disclosed</w:t>
      </w:r>
      <w:r w:rsidR="009526E5" w:rsidRPr="006D2720">
        <w:rPr>
          <w:rFonts w:ascii="Times New Roman" w:hAnsi="Times New Roman" w:cs="Times New Roman"/>
        </w:rPr>
        <w:t xml:space="preserve">. </w:t>
      </w:r>
      <w:r w:rsidR="00C94CB3" w:rsidRPr="006D2720">
        <w:rPr>
          <w:rFonts w:ascii="Times New Roman" w:hAnsi="Times New Roman" w:cs="Times New Roman"/>
        </w:rPr>
        <w:t>C</w:t>
      </w:r>
      <w:r w:rsidR="00F06B6F" w:rsidRPr="006D2720">
        <w:rPr>
          <w:rFonts w:ascii="Times New Roman" w:hAnsi="Times New Roman" w:cs="Times New Roman"/>
        </w:rPr>
        <w:t xml:space="preserve">onsent </w:t>
      </w:r>
      <w:r w:rsidR="009526E5" w:rsidRPr="006D2720">
        <w:rPr>
          <w:rFonts w:ascii="Times New Roman" w:hAnsi="Times New Roman" w:cs="Times New Roman"/>
        </w:rPr>
        <w:t xml:space="preserve">can </w:t>
      </w:r>
      <w:r w:rsidR="00856937" w:rsidRPr="006D2720">
        <w:rPr>
          <w:rFonts w:ascii="Times New Roman" w:hAnsi="Times New Roman" w:cs="Times New Roman"/>
        </w:rPr>
        <w:t xml:space="preserve">be the basis </w:t>
      </w:r>
      <w:r w:rsidR="00F115DD" w:rsidRPr="006D2720">
        <w:rPr>
          <w:rFonts w:ascii="Times New Roman" w:hAnsi="Times New Roman" w:cs="Times New Roman"/>
        </w:rPr>
        <w:t xml:space="preserve">for using </w:t>
      </w:r>
      <w:r w:rsidR="00282C01" w:rsidRPr="006D2720">
        <w:rPr>
          <w:rFonts w:ascii="Times New Roman" w:hAnsi="Times New Roman" w:cs="Times New Roman"/>
        </w:rPr>
        <w:t xml:space="preserve">personal information </w:t>
      </w:r>
      <w:r w:rsidR="00F13333" w:rsidRPr="006D2720">
        <w:rPr>
          <w:rFonts w:ascii="Times New Roman" w:hAnsi="Times New Roman" w:cs="Times New Roman"/>
        </w:rPr>
        <w:t xml:space="preserve">for a </w:t>
      </w:r>
      <w:r w:rsidR="00F95936" w:rsidRPr="006D2720">
        <w:rPr>
          <w:rFonts w:ascii="Times New Roman" w:hAnsi="Times New Roman" w:cs="Times New Roman"/>
        </w:rPr>
        <w:t>secondary purpose</w:t>
      </w:r>
      <w:r w:rsidR="00F13333" w:rsidRPr="006D2720">
        <w:rPr>
          <w:rFonts w:ascii="Times New Roman" w:hAnsi="Times New Roman" w:cs="Times New Roman"/>
        </w:rPr>
        <w:t xml:space="preserve"> in PIPP 2, </w:t>
      </w:r>
      <w:r w:rsidR="008D2649" w:rsidRPr="006D2720">
        <w:rPr>
          <w:rFonts w:ascii="Times New Roman" w:hAnsi="Times New Roman" w:cs="Times New Roman"/>
        </w:rPr>
        <w:t xml:space="preserve">using </w:t>
      </w:r>
      <w:r w:rsidR="004D31DF" w:rsidRPr="006D2720">
        <w:rPr>
          <w:rFonts w:ascii="Times New Roman" w:hAnsi="Times New Roman" w:cs="Times New Roman"/>
        </w:rPr>
        <w:t xml:space="preserve">unique identifiers in PIPP 7, </w:t>
      </w:r>
      <w:r w:rsidR="00D648CC" w:rsidRPr="006D2720">
        <w:rPr>
          <w:rFonts w:ascii="Times New Roman" w:hAnsi="Times New Roman" w:cs="Times New Roman"/>
        </w:rPr>
        <w:t xml:space="preserve">disclosing information </w:t>
      </w:r>
      <w:r w:rsidR="00FB60AE" w:rsidRPr="006D2720">
        <w:rPr>
          <w:rFonts w:ascii="Times New Roman" w:hAnsi="Times New Roman" w:cs="Times New Roman"/>
        </w:rPr>
        <w:t xml:space="preserve">outside of Tasmania </w:t>
      </w:r>
      <w:r w:rsidR="00D648CC" w:rsidRPr="006D2720">
        <w:rPr>
          <w:rFonts w:ascii="Times New Roman" w:hAnsi="Times New Roman" w:cs="Times New Roman"/>
        </w:rPr>
        <w:t xml:space="preserve">in </w:t>
      </w:r>
      <w:r w:rsidR="00FB60AE" w:rsidRPr="006D2720">
        <w:rPr>
          <w:rFonts w:ascii="Times New Roman" w:hAnsi="Times New Roman" w:cs="Times New Roman"/>
        </w:rPr>
        <w:t xml:space="preserve">PIPP 9, and </w:t>
      </w:r>
      <w:r w:rsidR="006B000A" w:rsidRPr="006D2720">
        <w:rPr>
          <w:rFonts w:ascii="Times New Roman" w:hAnsi="Times New Roman" w:cs="Times New Roman"/>
        </w:rPr>
        <w:t xml:space="preserve">collecting </w:t>
      </w:r>
      <w:r w:rsidR="00FB60AE" w:rsidRPr="006D2720">
        <w:rPr>
          <w:rFonts w:ascii="Times New Roman" w:hAnsi="Times New Roman" w:cs="Times New Roman"/>
        </w:rPr>
        <w:t xml:space="preserve">sensitive information under PIPP 10. </w:t>
      </w:r>
      <w:r w:rsidR="005D45B2" w:rsidRPr="006D2720">
        <w:rPr>
          <w:rFonts w:ascii="Times New Roman" w:hAnsi="Times New Roman" w:cs="Times New Roman"/>
        </w:rPr>
        <w:t xml:space="preserve">However, </w:t>
      </w:r>
      <w:r w:rsidR="00E61A40" w:rsidRPr="006D2720">
        <w:rPr>
          <w:rFonts w:ascii="Times New Roman" w:hAnsi="Times New Roman" w:cs="Times New Roman"/>
        </w:rPr>
        <w:t xml:space="preserve">the PIPA does not define what amounts to </w:t>
      </w:r>
      <w:r w:rsidR="005D45B2" w:rsidRPr="006D2720">
        <w:rPr>
          <w:rFonts w:ascii="Times New Roman" w:hAnsi="Times New Roman" w:cs="Times New Roman"/>
        </w:rPr>
        <w:t>‘consent’</w:t>
      </w:r>
      <w:r w:rsidR="008114AA" w:rsidRPr="006D2720">
        <w:rPr>
          <w:rFonts w:ascii="Times New Roman" w:hAnsi="Times New Roman" w:cs="Times New Roman"/>
        </w:rPr>
        <w:t>.</w:t>
      </w:r>
      <w:bookmarkEnd w:id="294"/>
      <w:r w:rsidR="008114AA" w:rsidRPr="006D2720">
        <w:rPr>
          <w:rFonts w:ascii="Times New Roman" w:hAnsi="Times New Roman" w:cs="Times New Roman"/>
        </w:rPr>
        <w:t xml:space="preserve"> </w:t>
      </w:r>
    </w:p>
    <w:p w14:paraId="5F1BD3DD" w14:textId="7653C2BE" w:rsidR="00AC7366" w:rsidRPr="006D2720" w:rsidRDefault="00856937" w:rsidP="009C201F">
      <w:pPr>
        <w:pStyle w:val="Heading3"/>
        <w:rPr>
          <w:rFonts w:ascii="Times New Roman" w:eastAsia="Calibri" w:hAnsi="Times New Roman" w:cs="Times New Roman"/>
        </w:rPr>
      </w:pPr>
      <w:r w:rsidRPr="006D2720">
        <w:rPr>
          <w:rFonts w:ascii="Times New Roman" w:eastAsia="Calibri" w:hAnsi="Times New Roman" w:cs="Times New Roman"/>
        </w:rPr>
        <w:t xml:space="preserve">Consent plays a similar role </w:t>
      </w:r>
      <w:r w:rsidR="005A3966" w:rsidRPr="006D2720">
        <w:rPr>
          <w:rFonts w:ascii="Times New Roman" w:eastAsia="Calibri" w:hAnsi="Times New Roman" w:cs="Times New Roman"/>
        </w:rPr>
        <w:t>under Commonwealth law</w:t>
      </w:r>
      <w:r w:rsidRPr="006D2720">
        <w:rPr>
          <w:rFonts w:ascii="Times New Roman" w:eastAsia="Calibri" w:hAnsi="Times New Roman" w:cs="Times New Roman"/>
        </w:rPr>
        <w:t xml:space="preserve">. </w:t>
      </w:r>
      <w:r w:rsidR="00681F56" w:rsidRPr="006D2720">
        <w:rPr>
          <w:rFonts w:ascii="Times New Roman" w:eastAsia="Calibri" w:hAnsi="Times New Roman" w:cs="Times New Roman"/>
        </w:rPr>
        <w:t>Unlike the PIPA, c</w:t>
      </w:r>
      <w:r w:rsidRPr="006D2720">
        <w:rPr>
          <w:rFonts w:ascii="Times New Roman" w:eastAsia="Calibri" w:hAnsi="Times New Roman" w:cs="Times New Roman"/>
        </w:rPr>
        <w:t xml:space="preserve">onsent is defined in the </w:t>
      </w:r>
      <w:r w:rsidR="00681F56" w:rsidRPr="006D2720">
        <w:rPr>
          <w:rFonts w:ascii="Times New Roman" w:eastAsia="Calibri" w:hAnsi="Times New Roman" w:cs="Times New Roman"/>
        </w:rPr>
        <w:t>Privacy Act</w:t>
      </w:r>
      <w:r w:rsidR="00681F56" w:rsidRPr="006D2720">
        <w:rPr>
          <w:rFonts w:ascii="Times New Roman" w:eastAsia="Calibri" w:hAnsi="Times New Roman" w:cs="Times New Roman"/>
          <w:i/>
          <w:iCs/>
        </w:rPr>
        <w:t xml:space="preserve"> </w:t>
      </w:r>
      <w:r w:rsidR="00681F56" w:rsidRPr="006D2720">
        <w:rPr>
          <w:rFonts w:ascii="Times New Roman" w:eastAsia="Calibri" w:hAnsi="Times New Roman" w:cs="Times New Roman"/>
        </w:rPr>
        <w:t xml:space="preserve">and </w:t>
      </w:r>
      <w:r w:rsidR="008E1661" w:rsidRPr="006D2720">
        <w:rPr>
          <w:rFonts w:ascii="Times New Roman" w:eastAsia="Calibri" w:hAnsi="Times New Roman" w:cs="Times New Roman"/>
        </w:rPr>
        <w:t>means</w:t>
      </w:r>
      <w:r w:rsidR="40D5D5A9" w:rsidRPr="006D2720">
        <w:rPr>
          <w:rFonts w:ascii="Times New Roman" w:eastAsia="Calibri" w:hAnsi="Times New Roman" w:cs="Times New Roman"/>
        </w:rPr>
        <w:t xml:space="preserve"> ‘express consent or implied consent’.</w:t>
      </w:r>
      <w:r w:rsidR="008E1661" w:rsidRPr="006D2720">
        <w:rPr>
          <w:rStyle w:val="FootnoteReference"/>
          <w:rFonts w:ascii="Times New Roman" w:eastAsia="Calibri" w:hAnsi="Times New Roman" w:cs="Times New Roman"/>
        </w:rPr>
        <w:footnoteReference w:id="191"/>
      </w:r>
      <w:r w:rsidR="0B3CDDCF" w:rsidRPr="006D2720">
        <w:rPr>
          <w:rFonts w:ascii="Times New Roman" w:eastAsia="Calibri" w:hAnsi="Times New Roman" w:cs="Times New Roman"/>
        </w:rPr>
        <w:t xml:space="preserve"> </w:t>
      </w:r>
      <w:r w:rsidR="00613B3C" w:rsidRPr="006D2720">
        <w:rPr>
          <w:rFonts w:ascii="Times New Roman" w:eastAsia="Calibri" w:hAnsi="Times New Roman" w:cs="Times New Roman"/>
        </w:rPr>
        <w:t xml:space="preserve">According to the </w:t>
      </w:r>
      <w:r w:rsidR="00F54FE4" w:rsidRPr="006D2720">
        <w:rPr>
          <w:rFonts w:ascii="Times New Roman" w:hAnsi="Times New Roman" w:cs="Times New Roman"/>
        </w:rPr>
        <w:t xml:space="preserve">APP Guidelines issued by the </w:t>
      </w:r>
      <w:r w:rsidR="00920465" w:rsidRPr="006D2720">
        <w:rPr>
          <w:rFonts w:ascii="Times New Roman" w:hAnsi="Times New Roman" w:cs="Times New Roman"/>
        </w:rPr>
        <w:t>OAIC</w:t>
      </w:r>
      <w:r w:rsidR="00BE749D" w:rsidRPr="006D2720">
        <w:rPr>
          <w:rFonts w:ascii="Times New Roman" w:hAnsi="Times New Roman" w:cs="Times New Roman"/>
        </w:rPr>
        <w:t xml:space="preserve">, </w:t>
      </w:r>
      <w:r w:rsidR="009248CE" w:rsidRPr="006D2720">
        <w:rPr>
          <w:rFonts w:ascii="Times New Roman" w:hAnsi="Times New Roman" w:cs="Times New Roman"/>
        </w:rPr>
        <w:t>the conditions of valid consent are that</w:t>
      </w:r>
      <w:r w:rsidR="00B17721" w:rsidRPr="006D2720">
        <w:rPr>
          <w:rFonts w:ascii="Times New Roman" w:hAnsi="Times New Roman" w:cs="Times New Roman"/>
        </w:rPr>
        <w:t xml:space="preserve"> the individual</w:t>
      </w:r>
      <w:r w:rsidR="00AC7366" w:rsidRPr="006D2720">
        <w:rPr>
          <w:rFonts w:ascii="Times New Roman" w:hAnsi="Times New Roman" w:cs="Times New Roman"/>
        </w:rPr>
        <w:t xml:space="preserve">: </w:t>
      </w:r>
    </w:p>
    <w:p w14:paraId="34C6CD95" w14:textId="0662DBA1" w:rsidR="00AC7366" w:rsidRPr="006D2720" w:rsidRDefault="009248CE" w:rsidP="00AC7366">
      <w:pPr>
        <w:pStyle w:val="Dotpointlist"/>
        <w:rPr>
          <w:rFonts w:ascii="Times New Roman" w:hAnsi="Times New Roman" w:cs="Times New Roman"/>
        </w:rPr>
      </w:pPr>
      <w:r w:rsidRPr="006D2720">
        <w:rPr>
          <w:rFonts w:ascii="Times New Roman" w:hAnsi="Times New Roman" w:cs="Times New Roman"/>
        </w:rPr>
        <w:t xml:space="preserve">has </w:t>
      </w:r>
      <w:r w:rsidR="002532B4" w:rsidRPr="006D2720">
        <w:rPr>
          <w:rFonts w:ascii="Times New Roman" w:hAnsi="Times New Roman" w:cs="Times New Roman"/>
        </w:rPr>
        <w:t xml:space="preserve">sufficient </w:t>
      </w:r>
      <w:r w:rsidR="002B14DD" w:rsidRPr="006D2720">
        <w:rPr>
          <w:rFonts w:ascii="Times New Roman" w:hAnsi="Times New Roman" w:cs="Times New Roman"/>
        </w:rPr>
        <w:t xml:space="preserve">capacity </w:t>
      </w:r>
      <w:r w:rsidR="00FD33A3" w:rsidRPr="006D2720">
        <w:rPr>
          <w:rFonts w:ascii="Times New Roman" w:hAnsi="Times New Roman" w:cs="Times New Roman"/>
        </w:rPr>
        <w:t xml:space="preserve">and information </w:t>
      </w:r>
      <w:r w:rsidR="002B14DD" w:rsidRPr="006D2720">
        <w:rPr>
          <w:rFonts w:ascii="Times New Roman" w:hAnsi="Times New Roman" w:cs="Times New Roman"/>
        </w:rPr>
        <w:t xml:space="preserve">to understand the </w:t>
      </w:r>
      <w:r w:rsidR="00FD33A3" w:rsidRPr="006D2720">
        <w:rPr>
          <w:rFonts w:ascii="Times New Roman" w:hAnsi="Times New Roman" w:cs="Times New Roman"/>
        </w:rPr>
        <w:t>nature of what they are being asked to consent to</w:t>
      </w:r>
      <w:r w:rsidR="000C3EFE" w:rsidRPr="006D2720">
        <w:rPr>
          <w:rFonts w:ascii="Times New Roman" w:hAnsi="Times New Roman" w:cs="Times New Roman"/>
        </w:rPr>
        <w:t>;</w:t>
      </w:r>
    </w:p>
    <w:p w14:paraId="3268D5AE" w14:textId="1990527C" w:rsidR="00EC6A13" w:rsidRPr="006D2720" w:rsidRDefault="00B17721" w:rsidP="00AC7366">
      <w:pPr>
        <w:pStyle w:val="Dotpointlist"/>
        <w:rPr>
          <w:rFonts w:ascii="Times New Roman" w:hAnsi="Times New Roman" w:cs="Times New Roman"/>
        </w:rPr>
      </w:pPr>
      <w:r w:rsidRPr="006D2720">
        <w:rPr>
          <w:rFonts w:ascii="Times New Roman" w:hAnsi="Times New Roman" w:cs="Times New Roman"/>
        </w:rPr>
        <w:t>gives</w:t>
      </w:r>
      <w:r w:rsidR="009248CE" w:rsidRPr="006D2720">
        <w:rPr>
          <w:rFonts w:ascii="Times New Roman" w:hAnsi="Times New Roman" w:cs="Times New Roman"/>
        </w:rPr>
        <w:t xml:space="preserve"> </w:t>
      </w:r>
      <w:r w:rsidR="000C3EFE" w:rsidRPr="006D2720">
        <w:rPr>
          <w:rFonts w:ascii="Times New Roman" w:hAnsi="Times New Roman" w:cs="Times New Roman"/>
        </w:rPr>
        <w:t>consent</w:t>
      </w:r>
      <w:r w:rsidR="008F74C6" w:rsidRPr="006D2720">
        <w:rPr>
          <w:rFonts w:ascii="Times New Roman" w:hAnsi="Times New Roman" w:cs="Times New Roman"/>
        </w:rPr>
        <w:t xml:space="preserve"> </w:t>
      </w:r>
      <w:r w:rsidR="002532B4" w:rsidRPr="006D2720">
        <w:rPr>
          <w:rFonts w:ascii="Times New Roman" w:hAnsi="Times New Roman" w:cs="Times New Roman"/>
        </w:rPr>
        <w:t>voluntar</w:t>
      </w:r>
      <w:r w:rsidR="007522F4" w:rsidRPr="006D2720">
        <w:rPr>
          <w:rFonts w:ascii="Times New Roman" w:hAnsi="Times New Roman" w:cs="Times New Roman"/>
        </w:rPr>
        <w:t>ily</w:t>
      </w:r>
      <w:r w:rsidR="00EC6A13" w:rsidRPr="006D2720">
        <w:rPr>
          <w:rFonts w:ascii="Times New Roman" w:hAnsi="Times New Roman" w:cs="Times New Roman"/>
        </w:rPr>
        <w:t>;</w:t>
      </w:r>
      <w:r w:rsidR="009248CE" w:rsidRPr="006D2720">
        <w:rPr>
          <w:rFonts w:ascii="Times New Roman" w:hAnsi="Times New Roman" w:cs="Times New Roman"/>
        </w:rPr>
        <w:t xml:space="preserve"> and </w:t>
      </w:r>
    </w:p>
    <w:p w14:paraId="67E02884" w14:textId="66089BDC" w:rsidR="007A6BF2" w:rsidRPr="006D2720" w:rsidRDefault="00B17721" w:rsidP="0066337D">
      <w:pPr>
        <w:pStyle w:val="Dotpointlist"/>
        <w:rPr>
          <w:rFonts w:ascii="Times New Roman" w:hAnsi="Times New Roman" w:cs="Times New Roman"/>
        </w:rPr>
      </w:pPr>
      <w:r w:rsidRPr="006D2720">
        <w:rPr>
          <w:rFonts w:ascii="Times New Roman" w:hAnsi="Times New Roman" w:cs="Times New Roman"/>
        </w:rPr>
        <w:t>gives</w:t>
      </w:r>
      <w:r w:rsidR="009248CE" w:rsidRPr="006D2720">
        <w:rPr>
          <w:rFonts w:ascii="Times New Roman" w:hAnsi="Times New Roman" w:cs="Times New Roman"/>
        </w:rPr>
        <w:t xml:space="preserve"> </w:t>
      </w:r>
      <w:r w:rsidRPr="006D2720">
        <w:rPr>
          <w:rFonts w:ascii="Times New Roman" w:hAnsi="Times New Roman" w:cs="Times New Roman"/>
        </w:rPr>
        <w:t xml:space="preserve">consent that is </w:t>
      </w:r>
      <w:r w:rsidR="002B14DD" w:rsidRPr="006D2720">
        <w:rPr>
          <w:rFonts w:ascii="Times New Roman" w:hAnsi="Times New Roman" w:cs="Times New Roman"/>
        </w:rPr>
        <w:t xml:space="preserve">current </w:t>
      </w:r>
      <w:r w:rsidRPr="006D2720">
        <w:rPr>
          <w:rFonts w:ascii="Times New Roman" w:hAnsi="Times New Roman" w:cs="Times New Roman"/>
        </w:rPr>
        <w:t xml:space="preserve">(related to the time of collection, or a specified period thereafter) </w:t>
      </w:r>
      <w:r w:rsidR="002B14DD" w:rsidRPr="006D2720">
        <w:rPr>
          <w:rFonts w:ascii="Times New Roman" w:hAnsi="Times New Roman" w:cs="Times New Roman"/>
        </w:rPr>
        <w:t>and specific</w:t>
      </w:r>
      <w:r w:rsidR="008D79C8" w:rsidRPr="006D2720">
        <w:rPr>
          <w:rFonts w:ascii="Times New Roman" w:hAnsi="Times New Roman" w:cs="Times New Roman"/>
        </w:rPr>
        <w:t xml:space="preserve"> </w:t>
      </w:r>
      <w:r w:rsidRPr="006D2720">
        <w:rPr>
          <w:rFonts w:ascii="Times New Roman" w:hAnsi="Times New Roman" w:cs="Times New Roman"/>
        </w:rPr>
        <w:t>(not broader than is necessary for its purposes)</w:t>
      </w:r>
      <w:r w:rsidR="00FD33A3" w:rsidRPr="006D2720">
        <w:rPr>
          <w:rFonts w:ascii="Times New Roman" w:hAnsi="Times New Roman" w:cs="Times New Roman"/>
        </w:rPr>
        <w:t>.</w:t>
      </w:r>
      <w:r w:rsidR="00FD33A3" w:rsidRPr="006D2720">
        <w:rPr>
          <w:rStyle w:val="FootnoteReference"/>
          <w:rFonts w:ascii="Times New Roman" w:hAnsi="Times New Roman" w:cs="Times New Roman"/>
        </w:rPr>
        <w:footnoteReference w:id="192"/>
      </w:r>
      <w:r w:rsidR="002B14DD" w:rsidRPr="006D2720">
        <w:rPr>
          <w:rFonts w:ascii="Times New Roman" w:hAnsi="Times New Roman" w:cs="Times New Roman"/>
        </w:rPr>
        <w:t xml:space="preserve"> </w:t>
      </w:r>
    </w:p>
    <w:p w14:paraId="12D4FDCA" w14:textId="33CA18CD" w:rsidR="001C0443" w:rsidRPr="006D2720" w:rsidRDefault="00E077C1" w:rsidP="009C201F">
      <w:pPr>
        <w:pStyle w:val="Heading3"/>
        <w:rPr>
          <w:rFonts w:ascii="Times New Roman" w:eastAsia="Calibri" w:hAnsi="Times New Roman" w:cs="Times New Roman"/>
        </w:rPr>
      </w:pPr>
      <w:r w:rsidRPr="006D2720">
        <w:rPr>
          <w:rFonts w:ascii="Times New Roman" w:hAnsi="Times New Roman" w:cs="Times New Roman"/>
        </w:rPr>
        <w:t xml:space="preserve">The </w:t>
      </w:r>
      <w:r w:rsidR="00BF1F1D" w:rsidRPr="006D2720">
        <w:rPr>
          <w:rFonts w:ascii="Times New Roman" w:hAnsi="Times New Roman" w:cs="Times New Roman"/>
        </w:rPr>
        <w:t>G</w:t>
      </w:r>
      <w:r w:rsidRPr="006D2720">
        <w:rPr>
          <w:rFonts w:ascii="Times New Roman" w:hAnsi="Times New Roman" w:cs="Times New Roman"/>
        </w:rPr>
        <w:t xml:space="preserve">uidelines also highlight new technologies </w:t>
      </w:r>
      <w:r w:rsidR="00F2784E" w:rsidRPr="006D2720">
        <w:rPr>
          <w:rFonts w:ascii="Times New Roman" w:hAnsi="Times New Roman" w:cs="Times New Roman"/>
        </w:rPr>
        <w:t xml:space="preserve">which </w:t>
      </w:r>
      <w:r w:rsidR="00E97FA2" w:rsidRPr="006D2720">
        <w:rPr>
          <w:rFonts w:ascii="Times New Roman" w:hAnsi="Times New Roman" w:cs="Times New Roman"/>
        </w:rPr>
        <w:t xml:space="preserve">can </w:t>
      </w:r>
      <w:r w:rsidR="006B00DD" w:rsidRPr="006D2720">
        <w:rPr>
          <w:rFonts w:ascii="Times New Roman" w:hAnsi="Times New Roman" w:cs="Times New Roman"/>
        </w:rPr>
        <w:t xml:space="preserve">collect </w:t>
      </w:r>
      <w:r w:rsidR="00F2784E" w:rsidRPr="006D2720">
        <w:rPr>
          <w:rFonts w:ascii="Times New Roman" w:hAnsi="Times New Roman" w:cs="Times New Roman"/>
        </w:rPr>
        <w:t xml:space="preserve">information, </w:t>
      </w:r>
      <w:r w:rsidR="00F73A44" w:rsidRPr="006D2720">
        <w:rPr>
          <w:rFonts w:ascii="Times New Roman" w:hAnsi="Times New Roman" w:cs="Times New Roman"/>
        </w:rPr>
        <w:t xml:space="preserve">in circumstances </w:t>
      </w:r>
      <w:r w:rsidR="00F2784E" w:rsidRPr="006D2720">
        <w:rPr>
          <w:rFonts w:ascii="Times New Roman" w:hAnsi="Times New Roman" w:cs="Times New Roman"/>
        </w:rPr>
        <w:t xml:space="preserve">where it may be impossible or very difficult to obtain consent. </w:t>
      </w:r>
    </w:p>
    <w:p w14:paraId="756D9262" w14:textId="137ABFDF" w:rsidR="00C54201" w:rsidRPr="006D2720" w:rsidRDefault="00B90DA3" w:rsidP="0066337D">
      <w:pPr>
        <w:pStyle w:val="Heading3"/>
        <w:rPr>
          <w:rFonts w:ascii="Times New Roman" w:eastAsia="Calibri" w:hAnsi="Times New Roman" w:cs="Times New Roman"/>
        </w:rPr>
      </w:pPr>
      <w:r w:rsidRPr="006D2720">
        <w:rPr>
          <w:rFonts w:ascii="Times New Roman" w:hAnsi="Times New Roman" w:cs="Times New Roman"/>
        </w:rPr>
        <w:t>The</w:t>
      </w:r>
      <w:r w:rsidR="5C0D21E8" w:rsidRPr="006D2720">
        <w:rPr>
          <w:rFonts w:ascii="Times New Roman" w:hAnsi="Times New Roman" w:cs="Times New Roman"/>
        </w:rPr>
        <w:t xml:space="preserve"> </w:t>
      </w:r>
      <w:r w:rsidR="00D73ABB" w:rsidRPr="006D2720">
        <w:rPr>
          <w:rFonts w:ascii="Times New Roman" w:hAnsi="Times New Roman" w:cs="Times New Roman"/>
        </w:rPr>
        <w:t>ACCC</w:t>
      </w:r>
      <w:r w:rsidR="005C26BA" w:rsidRPr="006D2720">
        <w:rPr>
          <w:rFonts w:ascii="Times New Roman" w:hAnsi="Times New Roman" w:cs="Times New Roman"/>
        </w:rPr>
        <w:t xml:space="preserve"> </w:t>
      </w:r>
      <w:r w:rsidRPr="006D2720">
        <w:rPr>
          <w:rFonts w:ascii="Times New Roman" w:hAnsi="Times New Roman" w:cs="Times New Roman"/>
        </w:rPr>
        <w:t xml:space="preserve">has </w:t>
      </w:r>
      <w:r w:rsidR="5C0D21E8" w:rsidRPr="006D2720">
        <w:rPr>
          <w:rFonts w:ascii="Times New Roman" w:hAnsi="Times New Roman" w:cs="Times New Roman"/>
        </w:rPr>
        <w:t xml:space="preserve">made important </w:t>
      </w:r>
      <w:r w:rsidR="5C0D21E8" w:rsidRPr="006D2720">
        <w:rPr>
          <w:rFonts w:ascii="Times New Roman" w:eastAsia="Calibri" w:hAnsi="Times New Roman" w:cs="Times New Roman"/>
        </w:rPr>
        <w:t>recommendations</w:t>
      </w:r>
      <w:r w:rsidR="002B37E0" w:rsidRPr="006D2720">
        <w:rPr>
          <w:rFonts w:ascii="Times New Roman" w:eastAsia="Calibri" w:hAnsi="Times New Roman" w:cs="Times New Roman"/>
        </w:rPr>
        <w:t xml:space="preserve"> </w:t>
      </w:r>
      <w:r w:rsidR="002C46E6" w:rsidRPr="006D2720">
        <w:rPr>
          <w:rFonts w:ascii="Times New Roman" w:eastAsia="Calibri" w:hAnsi="Times New Roman" w:cs="Times New Roman"/>
        </w:rPr>
        <w:t>about</w:t>
      </w:r>
      <w:r w:rsidR="5C0D21E8" w:rsidRPr="006D2720">
        <w:rPr>
          <w:rFonts w:ascii="Times New Roman" w:eastAsia="Calibri" w:hAnsi="Times New Roman" w:cs="Times New Roman"/>
        </w:rPr>
        <w:t xml:space="preserve"> </w:t>
      </w:r>
      <w:r w:rsidR="00FC023D" w:rsidRPr="006D2720">
        <w:rPr>
          <w:rFonts w:ascii="Times New Roman" w:eastAsia="Calibri" w:hAnsi="Times New Roman" w:cs="Times New Roman"/>
        </w:rPr>
        <w:t>amending</w:t>
      </w:r>
      <w:r w:rsidR="5C0D21E8" w:rsidRPr="006D2720">
        <w:rPr>
          <w:rFonts w:ascii="Times New Roman" w:eastAsia="Calibri" w:hAnsi="Times New Roman" w:cs="Times New Roman"/>
        </w:rPr>
        <w:t xml:space="preserve"> the Privacy Act to strengthen consent</w:t>
      </w:r>
      <w:r w:rsidR="004E2763" w:rsidRPr="006D2720">
        <w:rPr>
          <w:rFonts w:ascii="Times New Roman" w:eastAsia="Calibri" w:hAnsi="Times New Roman" w:cs="Times New Roman"/>
        </w:rPr>
        <w:t xml:space="preserve"> requirements</w:t>
      </w:r>
      <w:r w:rsidR="00086BD4">
        <w:rPr>
          <w:rFonts w:ascii="Times New Roman" w:eastAsia="Calibri" w:hAnsi="Times New Roman" w:cs="Times New Roman"/>
        </w:rPr>
        <w:t xml:space="preserve">, </w:t>
      </w:r>
      <w:r w:rsidR="5C0D21E8" w:rsidRPr="006D2720">
        <w:rPr>
          <w:rFonts w:ascii="Times New Roman" w:eastAsia="Calibri" w:hAnsi="Times New Roman" w:cs="Times New Roman"/>
        </w:rPr>
        <w:t>includ</w:t>
      </w:r>
      <w:r w:rsidR="00086BD4">
        <w:rPr>
          <w:rFonts w:ascii="Times New Roman" w:eastAsia="Calibri" w:hAnsi="Times New Roman" w:cs="Times New Roman"/>
        </w:rPr>
        <w:t>ing consideration of</w:t>
      </w:r>
      <w:r w:rsidR="5C0D21E8" w:rsidRPr="006D2720">
        <w:rPr>
          <w:rFonts w:ascii="Times New Roman" w:eastAsia="Calibri" w:hAnsi="Times New Roman" w:cs="Times New Roman"/>
        </w:rPr>
        <w:t>:</w:t>
      </w:r>
    </w:p>
    <w:p w14:paraId="213C12F1" w14:textId="37F6A22F" w:rsidR="009C201F" w:rsidRPr="006D2720" w:rsidRDefault="5C0D21E8" w:rsidP="00CA1A69">
      <w:pPr>
        <w:pStyle w:val="Blockquote"/>
        <w:rPr>
          <w:rFonts w:ascii="Times New Roman" w:hAnsi="Times New Roman" w:cs="Times New Roman"/>
        </w:rPr>
      </w:pPr>
      <w:r w:rsidRPr="006D2720">
        <w:rPr>
          <w:rFonts w:ascii="Times New Roman" w:hAnsi="Times New Roman" w:cs="Times New Roman"/>
        </w:rPr>
        <w:t>Strengthening consent requirements to require that consents are freely given, specific, unambiguous and informed and that any settings for additional data collection must be preselected to ‘off’. Consents should be required whenever personal information is collected, used or disclosed by an entity subject to the Privacy Act, unless the personal information is necessary to perform a contract to which a consumer is a party, required under law, or otherwise necessary in the public interest.</w:t>
      </w:r>
      <w:r w:rsidR="00A73725" w:rsidRPr="006D2720">
        <w:rPr>
          <w:rStyle w:val="FootnoteReference"/>
          <w:rFonts w:ascii="Times New Roman" w:eastAsia="Calibri" w:hAnsi="Times New Roman" w:cs="Times New Roman"/>
        </w:rPr>
        <w:footnoteReference w:id="193"/>
      </w:r>
    </w:p>
    <w:p w14:paraId="0131FF31" w14:textId="5E3C41A6" w:rsidR="009C201F" w:rsidRPr="006D2720" w:rsidRDefault="009C201F" w:rsidP="00CA1A69">
      <w:pPr>
        <w:pStyle w:val="Heading3"/>
        <w:rPr>
          <w:rStyle w:val="Hyperlink"/>
          <w:rFonts w:ascii="Times New Roman" w:hAnsi="Times New Roman" w:cs="Times New Roman"/>
          <w:color w:val="0D0D0D" w:themeColor="text1" w:themeTint="F2"/>
        </w:rPr>
      </w:pPr>
      <w:r w:rsidRPr="006D2720">
        <w:rPr>
          <w:rFonts w:ascii="Times New Roman" w:hAnsi="Times New Roman" w:cs="Times New Roman"/>
        </w:rPr>
        <w:t xml:space="preserve">This recommendation reflects the approach to consent </w:t>
      </w:r>
      <w:r w:rsidR="005A3966" w:rsidRPr="006D2720">
        <w:rPr>
          <w:rFonts w:ascii="Times New Roman" w:hAnsi="Times New Roman" w:cs="Times New Roman"/>
        </w:rPr>
        <w:t>under</w:t>
      </w:r>
      <w:r w:rsidRPr="006D2720">
        <w:rPr>
          <w:rFonts w:ascii="Times New Roman" w:hAnsi="Times New Roman" w:cs="Times New Roman"/>
        </w:rPr>
        <w:t xml:space="preserve"> the GDPR</w:t>
      </w:r>
      <w:r w:rsidR="00DF4B26" w:rsidRPr="006D2720">
        <w:rPr>
          <w:rFonts w:ascii="Times New Roman" w:hAnsi="Times New Roman" w:cs="Times New Roman"/>
        </w:rPr>
        <w:t>,</w:t>
      </w:r>
      <w:r w:rsidRPr="006D2720">
        <w:rPr>
          <w:rStyle w:val="FootnoteReference"/>
          <w:rFonts w:ascii="Times New Roman" w:eastAsia="Calibri" w:hAnsi="Times New Roman" w:cs="Times New Roman"/>
        </w:rPr>
        <w:footnoteReference w:id="194"/>
      </w:r>
      <w:r w:rsidRPr="006D2720">
        <w:rPr>
          <w:rFonts w:ascii="Times New Roman" w:hAnsi="Times New Roman" w:cs="Times New Roman"/>
        </w:rPr>
        <w:t xml:space="preserve"> </w:t>
      </w:r>
      <w:r w:rsidR="00DF4B26" w:rsidRPr="006D2720">
        <w:rPr>
          <w:rFonts w:ascii="Times New Roman" w:hAnsi="Times New Roman" w:cs="Times New Roman"/>
        </w:rPr>
        <w:t xml:space="preserve">where it </w:t>
      </w:r>
      <w:r w:rsidRPr="006D2720">
        <w:rPr>
          <w:rFonts w:ascii="Times New Roman" w:hAnsi="Times New Roman" w:cs="Times New Roman"/>
        </w:rPr>
        <w:t>include</w:t>
      </w:r>
      <w:r w:rsidR="00DF4B26" w:rsidRPr="006D2720">
        <w:rPr>
          <w:rFonts w:ascii="Times New Roman" w:hAnsi="Times New Roman" w:cs="Times New Roman"/>
        </w:rPr>
        <w:t>s</w:t>
      </w:r>
      <w:r w:rsidRPr="006D2720">
        <w:rPr>
          <w:rFonts w:ascii="Times New Roman" w:hAnsi="Times New Roman" w:cs="Times New Roman"/>
        </w:rPr>
        <w:t xml:space="preserve"> ‘any freely given, specific, informed and unambiguous indication of the data subject</w:t>
      </w:r>
      <w:r w:rsidR="00BF551D" w:rsidRPr="006D2720">
        <w:rPr>
          <w:rFonts w:ascii="Times New Roman" w:hAnsi="Times New Roman" w:cs="Times New Roman"/>
        </w:rPr>
        <w:t>’</w:t>
      </w:r>
      <w:r w:rsidRPr="006D2720">
        <w:rPr>
          <w:rFonts w:ascii="Times New Roman" w:hAnsi="Times New Roman" w:cs="Times New Roman"/>
        </w:rPr>
        <w:t xml:space="preserve">s wishes by which he or she, by a statement or by a clear affirmative action, signifies agreement to the processing of personal data relating to him or her’. The </w:t>
      </w:r>
      <w:r w:rsidR="00D73ABB" w:rsidRPr="006D2720">
        <w:rPr>
          <w:rFonts w:ascii="Times New Roman" w:hAnsi="Times New Roman" w:cs="Times New Roman"/>
        </w:rPr>
        <w:t>ACCC</w:t>
      </w:r>
      <w:r w:rsidRPr="006D2720">
        <w:rPr>
          <w:rFonts w:ascii="Times New Roman" w:hAnsi="Times New Roman" w:cs="Times New Roman"/>
        </w:rPr>
        <w:t>’s recommendation is to adopt the higher standard of consent provided for in the GDPR in order to bolster the level of protection provided in the Privacy Act.</w:t>
      </w:r>
      <w:r w:rsidRPr="006D2720">
        <w:rPr>
          <w:rStyle w:val="FootnoteReference"/>
          <w:rFonts w:ascii="Times New Roman" w:hAnsi="Times New Roman" w:cs="Times New Roman"/>
        </w:rPr>
        <w:footnoteReference w:id="195"/>
      </w:r>
    </w:p>
    <w:p w14:paraId="7C4AAC82" w14:textId="39AF3E85" w:rsidR="007B0BE9" w:rsidRPr="006D2720" w:rsidRDefault="00DC4FE4" w:rsidP="009C201F">
      <w:pPr>
        <w:pStyle w:val="Heading3"/>
        <w:rPr>
          <w:rFonts w:ascii="Times New Roman" w:hAnsi="Times New Roman" w:cs="Times New Roman"/>
        </w:rPr>
      </w:pPr>
      <w:r w:rsidRPr="006D2720">
        <w:rPr>
          <w:rFonts w:ascii="Times New Roman" w:hAnsi="Times New Roman" w:cs="Times New Roman"/>
        </w:rPr>
        <w:t>In its submission to the Privacy Act review, t</w:t>
      </w:r>
      <w:r w:rsidR="007B4741" w:rsidRPr="006D2720">
        <w:rPr>
          <w:rFonts w:ascii="Times New Roman" w:hAnsi="Times New Roman" w:cs="Times New Roman"/>
        </w:rPr>
        <w:t xml:space="preserve">he </w:t>
      </w:r>
      <w:r w:rsidR="00920465" w:rsidRPr="006D2720">
        <w:rPr>
          <w:rFonts w:ascii="Times New Roman" w:hAnsi="Times New Roman" w:cs="Times New Roman"/>
        </w:rPr>
        <w:t xml:space="preserve">OAIC </w:t>
      </w:r>
      <w:r w:rsidR="007170C4" w:rsidRPr="006D2720">
        <w:rPr>
          <w:rFonts w:ascii="Times New Roman" w:hAnsi="Times New Roman" w:cs="Times New Roman"/>
        </w:rPr>
        <w:t xml:space="preserve">generally agreed with </w:t>
      </w:r>
      <w:r w:rsidR="00605D6F" w:rsidRPr="006D2720">
        <w:rPr>
          <w:rFonts w:ascii="Times New Roman" w:hAnsi="Times New Roman" w:cs="Times New Roman"/>
        </w:rPr>
        <w:t xml:space="preserve">strengthening </w:t>
      </w:r>
      <w:r w:rsidR="0059768C" w:rsidRPr="006D2720">
        <w:rPr>
          <w:rFonts w:ascii="Times New Roman" w:hAnsi="Times New Roman" w:cs="Times New Roman"/>
        </w:rPr>
        <w:t xml:space="preserve">the </w:t>
      </w:r>
      <w:r w:rsidR="007170C4" w:rsidRPr="006D2720">
        <w:rPr>
          <w:rFonts w:ascii="Times New Roman" w:hAnsi="Times New Roman" w:cs="Times New Roman"/>
        </w:rPr>
        <w:t xml:space="preserve">current </w:t>
      </w:r>
      <w:r w:rsidR="00605D6F" w:rsidRPr="006D2720">
        <w:rPr>
          <w:rFonts w:ascii="Times New Roman" w:hAnsi="Times New Roman" w:cs="Times New Roman"/>
        </w:rPr>
        <w:t>consent requirements</w:t>
      </w:r>
      <w:r w:rsidR="00A627D8" w:rsidRPr="006D2720">
        <w:rPr>
          <w:rFonts w:ascii="Times New Roman" w:hAnsi="Times New Roman" w:cs="Times New Roman"/>
        </w:rPr>
        <w:t xml:space="preserve"> </w:t>
      </w:r>
      <w:r w:rsidR="007170C4" w:rsidRPr="006D2720">
        <w:rPr>
          <w:rFonts w:ascii="Times New Roman" w:hAnsi="Times New Roman" w:cs="Times New Roman"/>
        </w:rPr>
        <w:t xml:space="preserve">that apply to </w:t>
      </w:r>
      <w:r w:rsidR="00A627D8" w:rsidRPr="006D2720">
        <w:rPr>
          <w:rFonts w:ascii="Times New Roman" w:hAnsi="Times New Roman" w:cs="Times New Roman"/>
        </w:rPr>
        <w:t xml:space="preserve">circumstances where there is a high risk of privacy </w:t>
      </w:r>
      <w:r w:rsidR="00012A57" w:rsidRPr="006D2720">
        <w:rPr>
          <w:rFonts w:ascii="Times New Roman" w:hAnsi="Times New Roman" w:cs="Times New Roman"/>
        </w:rPr>
        <w:t xml:space="preserve">concerns arising. </w:t>
      </w:r>
      <w:r w:rsidR="007B0BE9" w:rsidRPr="006D2720">
        <w:rPr>
          <w:rFonts w:ascii="Times New Roman" w:hAnsi="Times New Roman" w:cs="Times New Roman"/>
        </w:rPr>
        <w:t>This includes:</w:t>
      </w:r>
    </w:p>
    <w:p w14:paraId="1372B6B5" w14:textId="3695AFE3" w:rsidR="007B0BE9" w:rsidRPr="006D2720" w:rsidRDefault="00AA244F" w:rsidP="007B0BE9">
      <w:pPr>
        <w:pStyle w:val="Dotpointlist"/>
        <w:rPr>
          <w:rFonts w:ascii="Times New Roman" w:hAnsi="Times New Roman" w:cs="Times New Roman"/>
        </w:rPr>
      </w:pPr>
      <w:r w:rsidRPr="006D2720">
        <w:rPr>
          <w:rFonts w:ascii="Times New Roman" w:hAnsi="Times New Roman" w:cs="Times New Roman"/>
        </w:rPr>
        <w:t>r</w:t>
      </w:r>
      <w:r w:rsidR="007B0BE9" w:rsidRPr="006D2720">
        <w:rPr>
          <w:rFonts w:ascii="Times New Roman" w:hAnsi="Times New Roman" w:cs="Times New Roman"/>
        </w:rPr>
        <w:t xml:space="preserve">equiring notices to </w:t>
      </w:r>
      <w:r w:rsidR="00012A57" w:rsidRPr="006D2720">
        <w:rPr>
          <w:rFonts w:ascii="Times New Roman" w:hAnsi="Times New Roman" w:cs="Times New Roman"/>
        </w:rPr>
        <w:t>be concise, transparent, intelligible, and written in clear and plain language</w:t>
      </w:r>
      <w:r w:rsidRPr="006D2720">
        <w:rPr>
          <w:rFonts w:ascii="Times New Roman" w:hAnsi="Times New Roman" w:cs="Times New Roman"/>
        </w:rPr>
        <w:t>;</w:t>
      </w:r>
      <w:r w:rsidRPr="006D2720">
        <w:rPr>
          <w:rStyle w:val="FootnoteReference"/>
          <w:rFonts w:ascii="Times New Roman" w:hAnsi="Times New Roman" w:cs="Times New Roman"/>
        </w:rPr>
        <w:footnoteReference w:id="196"/>
      </w:r>
      <w:r w:rsidRPr="006D2720">
        <w:rPr>
          <w:rFonts w:ascii="Times New Roman" w:hAnsi="Times New Roman" w:cs="Times New Roman"/>
        </w:rPr>
        <w:t xml:space="preserve"> </w:t>
      </w:r>
    </w:p>
    <w:p w14:paraId="24681E97" w14:textId="3F3A7DAA" w:rsidR="007B0BE9" w:rsidRPr="006D2720" w:rsidRDefault="00AA244F" w:rsidP="007B0BE9">
      <w:pPr>
        <w:pStyle w:val="Dotpointlist"/>
        <w:rPr>
          <w:rFonts w:ascii="Times New Roman" w:hAnsi="Times New Roman" w:cs="Times New Roman"/>
        </w:rPr>
      </w:pPr>
      <w:r w:rsidRPr="006D2720">
        <w:rPr>
          <w:rFonts w:ascii="Times New Roman" w:hAnsi="Times New Roman" w:cs="Times New Roman"/>
        </w:rPr>
        <w:t>r</w:t>
      </w:r>
      <w:r w:rsidR="007B0BE9" w:rsidRPr="006D2720">
        <w:rPr>
          <w:rFonts w:ascii="Times New Roman" w:hAnsi="Times New Roman" w:cs="Times New Roman"/>
        </w:rPr>
        <w:t xml:space="preserve">equiring the use of standardised </w:t>
      </w:r>
      <w:r w:rsidR="00075C59" w:rsidRPr="006D2720">
        <w:rPr>
          <w:rFonts w:ascii="Times New Roman" w:hAnsi="Times New Roman" w:cs="Times New Roman"/>
        </w:rPr>
        <w:t>icons</w:t>
      </w:r>
      <w:r w:rsidRPr="006D2720">
        <w:rPr>
          <w:rFonts w:ascii="Times New Roman" w:hAnsi="Times New Roman" w:cs="Times New Roman"/>
        </w:rPr>
        <w:t>;</w:t>
      </w:r>
      <w:r w:rsidRPr="006D2720">
        <w:rPr>
          <w:rStyle w:val="FootnoteReference"/>
          <w:rFonts w:ascii="Times New Roman" w:hAnsi="Times New Roman" w:cs="Times New Roman"/>
        </w:rPr>
        <w:footnoteReference w:id="197"/>
      </w:r>
      <w:r w:rsidRPr="006D2720">
        <w:rPr>
          <w:rFonts w:ascii="Times New Roman" w:hAnsi="Times New Roman" w:cs="Times New Roman"/>
        </w:rPr>
        <w:t xml:space="preserve"> and </w:t>
      </w:r>
    </w:p>
    <w:p w14:paraId="32891C56" w14:textId="3DC82008" w:rsidR="007B0BE9" w:rsidRPr="006D2720" w:rsidRDefault="00D84A6C" w:rsidP="0066337D">
      <w:pPr>
        <w:pStyle w:val="Dotpointlist"/>
        <w:rPr>
          <w:rFonts w:ascii="Times New Roman" w:hAnsi="Times New Roman" w:cs="Times New Roman"/>
        </w:rPr>
      </w:pPr>
      <w:r w:rsidRPr="006D2720">
        <w:rPr>
          <w:rFonts w:ascii="Times New Roman" w:hAnsi="Times New Roman" w:cs="Times New Roman"/>
        </w:rPr>
        <w:t>r</w:t>
      </w:r>
      <w:r w:rsidR="007B0BE9" w:rsidRPr="006D2720">
        <w:rPr>
          <w:rFonts w:ascii="Times New Roman" w:hAnsi="Times New Roman" w:cs="Times New Roman"/>
        </w:rPr>
        <w:t xml:space="preserve">equiring that notices </w:t>
      </w:r>
      <w:r w:rsidR="0001121D" w:rsidRPr="006D2720">
        <w:rPr>
          <w:rFonts w:ascii="Times New Roman" w:hAnsi="Times New Roman" w:cs="Times New Roman"/>
        </w:rPr>
        <w:t xml:space="preserve">should also include information on how </w:t>
      </w:r>
      <w:r w:rsidR="002D483E" w:rsidRPr="006D2720">
        <w:rPr>
          <w:rFonts w:ascii="Times New Roman" w:hAnsi="Times New Roman" w:cs="Times New Roman"/>
        </w:rPr>
        <w:t xml:space="preserve">an individual can withdraw their </w:t>
      </w:r>
      <w:r w:rsidR="0001121D" w:rsidRPr="006D2720">
        <w:rPr>
          <w:rFonts w:ascii="Times New Roman" w:hAnsi="Times New Roman" w:cs="Times New Roman"/>
        </w:rPr>
        <w:t>consent.</w:t>
      </w:r>
      <w:r w:rsidR="007170C4" w:rsidRPr="006D2720">
        <w:rPr>
          <w:rStyle w:val="FootnoteReference"/>
          <w:rFonts w:ascii="Times New Roman" w:hAnsi="Times New Roman" w:cs="Times New Roman"/>
        </w:rPr>
        <w:footnoteReference w:id="198"/>
      </w:r>
      <w:r w:rsidR="001A430E" w:rsidRPr="006D2720">
        <w:rPr>
          <w:rFonts w:ascii="Times New Roman" w:hAnsi="Times New Roman" w:cs="Times New Roman"/>
        </w:rPr>
        <w:t xml:space="preserve"> </w:t>
      </w:r>
    </w:p>
    <w:p w14:paraId="1D2B96FE" w14:textId="5E5D042A" w:rsidR="002676E3" w:rsidRPr="006D2720" w:rsidRDefault="001A430E" w:rsidP="0066337D">
      <w:pPr>
        <w:pStyle w:val="Heading3"/>
        <w:rPr>
          <w:rFonts w:ascii="Times New Roman" w:hAnsi="Times New Roman" w:cs="Times New Roman"/>
        </w:rPr>
      </w:pPr>
      <w:r w:rsidRPr="006D2720">
        <w:rPr>
          <w:rFonts w:ascii="Times New Roman" w:hAnsi="Times New Roman" w:cs="Times New Roman"/>
        </w:rPr>
        <w:t xml:space="preserve">However, the </w:t>
      </w:r>
      <w:r w:rsidR="00B26C79" w:rsidRPr="006D2720">
        <w:rPr>
          <w:rFonts w:ascii="Times New Roman" w:hAnsi="Times New Roman" w:cs="Times New Roman"/>
        </w:rPr>
        <w:t>OAIC</w:t>
      </w:r>
      <w:r w:rsidR="00214FDA" w:rsidRPr="006D2720">
        <w:rPr>
          <w:rFonts w:ascii="Times New Roman" w:hAnsi="Times New Roman" w:cs="Times New Roman"/>
        </w:rPr>
        <w:t xml:space="preserve"> </w:t>
      </w:r>
      <w:r w:rsidR="00301B13" w:rsidRPr="006D2720">
        <w:rPr>
          <w:rFonts w:ascii="Times New Roman" w:hAnsi="Times New Roman" w:cs="Times New Roman"/>
        </w:rPr>
        <w:t xml:space="preserve">cautioned against relying on </w:t>
      </w:r>
      <w:r w:rsidRPr="006D2720">
        <w:rPr>
          <w:rFonts w:ascii="Times New Roman" w:hAnsi="Times New Roman" w:cs="Times New Roman"/>
        </w:rPr>
        <w:t xml:space="preserve">notice and consent requirements in routine </w:t>
      </w:r>
      <w:r w:rsidR="00977C5A" w:rsidRPr="006D2720">
        <w:rPr>
          <w:rFonts w:ascii="Times New Roman" w:hAnsi="Times New Roman" w:cs="Times New Roman"/>
        </w:rPr>
        <w:t>privacy settings</w:t>
      </w:r>
      <w:r w:rsidR="005D390E" w:rsidRPr="006D2720">
        <w:rPr>
          <w:rFonts w:ascii="Times New Roman" w:hAnsi="Times New Roman" w:cs="Times New Roman"/>
        </w:rPr>
        <w:t xml:space="preserve">. </w:t>
      </w:r>
      <w:r w:rsidR="004B0C52" w:rsidRPr="006D2720">
        <w:rPr>
          <w:rFonts w:ascii="Times New Roman" w:hAnsi="Times New Roman" w:cs="Times New Roman"/>
        </w:rPr>
        <w:t>Personal information is collected and shared across an increasing</w:t>
      </w:r>
      <w:r w:rsidR="00DA3149" w:rsidRPr="006D2720">
        <w:rPr>
          <w:rFonts w:ascii="Times New Roman" w:hAnsi="Times New Roman" w:cs="Times New Roman"/>
        </w:rPr>
        <w:t xml:space="preserve">ly complex </w:t>
      </w:r>
      <w:r w:rsidR="004B0C52" w:rsidRPr="006D2720">
        <w:rPr>
          <w:rFonts w:ascii="Times New Roman" w:hAnsi="Times New Roman" w:cs="Times New Roman"/>
        </w:rPr>
        <w:t>range of devices</w:t>
      </w:r>
      <w:r w:rsidR="00C51684" w:rsidRPr="006D2720">
        <w:rPr>
          <w:rFonts w:ascii="Times New Roman" w:hAnsi="Times New Roman" w:cs="Times New Roman"/>
        </w:rPr>
        <w:t>,</w:t>
      </w:r>
      <w:r w:rsidR="004B0C52" w:rsidRPr="006D2720">
        <w:rPr>
          <w:rFonts w:ascii="Times New Roman" w:hAnsi="Times New Roman" w:cs="Times New Roman"/>
        </w:rPr>
        <w:t xml:space="preserve"> situations</w:t>
      </w:r>
      <w:r w:rsidR="00A10CF9" w:rsidRPr="006D2720">
        <w:rPr>
          <w:rFonts w:ascii="Times New Roman" w:hAnsi="Times New Roman" w:cs="Times New Roman"/>
        </w:rPr>
        <w:t>,</w:t>
      </w:r>
      <w:r w:rsidR="00C51684" w:rsidRPr="006D2720">
        <w:rPr>
          <w:rFonts w:ascii="Times New Roman" w:hAnsi="Times New Roman" w:cs="Times New Roman"/>
        </w:rPr>
        <w:t xml:space="preserve"> and </w:t>
      </w:r>
      <w:r w:rsidR="004B0C52" w:rsidRPr="006D2720">
        <w:rPr>
          <w:rFonts w:ascii="Times New Roman" w:hAnsi="Times New Roman" w:cs="Times New Roman"/>
        </w:rPr>
        <w:t>purposes.</w:t>
      </w:r>
      <w:r w:rsidR="00395E11" w:rsidRPr="006D2720">
        <w:rPr>
          <w:rFonts w:ascii="Times New Roman" w:hAnsi="Times New Roman" w:cs="Times New Roman"/>
        </w:rPr>
        <w:t xml:space="preserve"> Applying strengthened consent requirements </w:t>
      </w:r>
      <w:r w:rsidR="00EB7DDE" w:rsidRPr="006D2720">
        <w:rPr>
          <w:rFonts w:ascii="Times New Roman" w:hAnsi="Times New Roman" w:cs="Times New Roman"/>
        </w:rPr>
        <w:t xml:space="preserve">in a wholesale manner </w:t>
      </w:r>
      <w:r w:rsidR="00851A85" w:rsidRPr="006D2720">
        <w:rPr>
          <w:rFonts w:ascii="Times New Roman" w:hAnsi="Times New Roman" w:cs="Times New Roman"/>
        </w:rPr>
        <w:t>may impose unnecessary compliance burdens on custodians. Further, it also risks turning consent into a ‘tick-box exercise which will detract the value of consent in higher-risk situations where it will actually be valuable’.</w:t>
      </w:r>
      <w:r w:rsidR="00851A85" w:rsidRPr="006D2720">
        <w:rPr>
          <w:rStyle w:val="FootnoteReference"/>
          <w:rFonts w:ascii="Times New Roman" w:hAnsi="Times New Roman" w:cs="Times New Roman"/>
        </w:rPr>
        <w:footnoteReference w:id="199"/>
      </w:r>
      <w:r w:rsidR="000E0919" w:rsidRPr="006D2720">
        <w:rPr>
          <w:rFonts w:ascii="Times New Roman" w:hAnsi="Times New Roman" w:cs="Times New Roman"/>
        </w:rPr>
        <w:t xml:space="preserve"> </w:t>
      </w:r>
      <w:r w:rsidR="005D390E" w:rsidRPr="006D2720">
        <w:rPr>
          <w:rFonts w:ascii="Times New Roman" w:hAnsi="Times New Roman" w:cs="Times New Roman"/>
        </w:rPr>
        <w:t xml:space="preserve">The </w:t>
      </w:r>
      <w:r w:rsidR="007626A9" w:rsidRPr="006D2720">
        <w:rPr>
          <w:rFonts w:ascii="Times New Roman" w:hAnsi="Times New Roman" w:cs="Times New Roman"/>
        </w:rPr>
        <w:t xml:space="preserve">OAIC </w:t>
      </w:r>
      <w:r w:rsidR="005D390E" w:rsidRPr="006D2720">
        <w:rPr>
          <w:rFonts w:ascii="Times New Roman" w:hAnsi="Times New Roman" w:cs="Times New Roman"/>
        </w:rPr>
        <w:t xml:space="preserve">therefore recommended that consent requirements be augmented with </w:t>
      </w:r>
      <w:r w:rsidR="00050F42" w:rsidRPr="006D2720">
        <w:rPr>
          <w:rFonts w:ascii="Times New Roman" w:hAnsi="Times New Roman" w:cs="Times New Roman"/>
        </w:rPr>
        <w:t>general fairness and reasonableness requirements on all personal information handling</w:t>
      </w:r>
      <w:r w:rsidR="005D390E" w:rsidRPr="006D2720">
        <w:rPr>
          <w:rFonts w:ascii="Times New Roman" w:hAnsi="Times New Roman" w:cs="Times New Roman"/>
        </w:rPr>
        <w:t xml:space="preserve"> (</w:t>
      </w:r>
      <w:r w:rsidR="00B26C79" w:rsidRPr="006D2720">
        <w:rPr>
          <w:rFonts w:ascii="Times New Roman" w:hAnsi="Times New Roman" w:cs="Times New Roman"/>
        </w:rPr>
        <w:t xml:space="preserve">discussed </w:t>
      </w:r>
      <w:r w:rsidR="00A10CF9" w:rsidRPr="006D2720">
        <w:rPr>
          <w:rFonts w:ascii="Times New Roman" w:hAnsi="Times New Roman" w:cs="Times New Roman"/>
        </w:rPr>
        <w:t>next</w:t>
      </w:r>
      <w:r w:rsidR="005D390E" w:rsidRPr="006D2720">
        <w:rPr>
          <w:rFonts w:ascii="Times New Roman" w:hAnsi="Times New Roman" w:cs="Times New Roman"/>
        </w:rPr>
        <w:t>)</w:t>
      </w:r>
      <w:r w:rsidR="00050F42" w:rsidRPr="006D2720">
        <w:rPr>
          <w:rFonts w:ascii="Times New Roman" w:hAnsi="Times New Roman" w:cs="Times New Roman"/>
        </w:rPr>
        <w:t>.</w:t>
      </w:r>
    </w:p>
    <w:p w14:paraId="06E10CA7" w14:textId="0A988210" w:rsidR="004C5D0F" w:rsidRPr="006D2720" w:rsidRDefault="00507921" w:rsidP="00E57D5C">
      <w:pPr>
        <w:pStyle w:val="Heading3"/>
        <w:rPr>
          <w:rFonts w:ascii="Times New Roman" w:hAnsi="Times New Roman" w:cs="Times New Roman"/>
        </w:rPr>
      </w:pPr>
      <w:r w:rsidRPr="006D2720">
        <w:rPr>
          <w:rFonts w:ascii="Times New Roman" w:hAnsi="Times New Roman" w:cs="Times New Roman"/>
        </w:rPr>
        <w:t>Relying</w:t>
      </w:r>
      <w:r w:rsidR="005D390E" w:rsidRPr="006D2720">
        <w:rPr>
          <w:rFonts w:ascii="Times New Roman" w:hAnsi="Times New Roman" w:cs="Times New Roman"/>
        </w:rPr>
        <w:t xml:space="preserve"> on consent to validate a custodian’s information handling practices also raises concerns over the treatment of children and others with limited capacity to consent. </w:t>
      </w:r>
      <w:r w:rsidR="00C96D94" w:rsidRPr="006D2720">
        <w:rPr>
          <w:rFonts w:ascii="Times New Roman" w:hAnsi="Times New Roman" w:cs="Times New Roman"/>
        </w:rPr>
        <w:t xml:space="preserve">PIPP 2 </w:t>
      </w:r>
      <w:r w:rsidR="00D1164A" w:rsidRPr="006D2720">
        <w:rPr>
          <w:rFonts w:ascii="Times New Roman" w:hAnsi="Times New Roman" w:cs="Times New Roman"/>
        </w:rPr>
        <w:t xml:space="preserve">on disclosure </w:t>
      </w:r>
      <w:r w:rsidR="00C96D94" w:rsidRPr="006D2720">
        <w:rPr>
          <w:rFonts w:ascii="Times New Roman" w:hAnsi="Times New Roman" w:cs="Times New Roman"/>
        </w:rPr>
        <w:t>recognises that disclosure of personal information to a parent may be suitable in some circumstances. However, PIPP 1</w:t>
      </w:r>
      <w:r w:rsidR="00A079DA" w:rsidRPr="006D2720">
        <w:rPr>
          <w:rFonts w:ascii="Times New Roman" w:hAnsi="Times New Roman" w:cs="Times New Roman"/>
        </w:rPr>
        <w:t xml:space="preserve"> on </w:t>
      </w:r>
      <w:r w:rsidR="00A079DA" w:rsidRPr="006D2720">
        <w:rPr>
          <w:rFonts w:ascii="Times New Roman" w:hAnsi="Times New Roman" w:cs="Times New Roman"/>
          <w:i/>
          <w:iCs/>
        </w:rPr>
        <w:t>collection</w:t>
      </w:r>
      <w:r w:rsidR="00C96D94" w:rsidRPr="006D2720">
        <w:rPr>
          <w:rFonts w:ascii="Times New Roman" w:hAnsi="Times New Roman" w:cs="Times New Roman"/>
        </w:rPr>
        <w:t xml:space="preserve"> does</w:t>
      </w:r>
      <w:r w:rsidR="00173FFB" w:rsidRPr="006D2720">
        <w:rPr>
          <w:rFonts w:ascii="Times New Roman" w:hAnsi="Times New Roman" w:cs="Times New Roman"/>
        </w:rPr>
        <w:t xml:space="preserve"> not</w:t>
      </w:r>
      <w:r w:rsidR="00C96D94" w:rsidRPr="006D2720">
        <w:rPr>
          <w:rFonts w:ascii="Times New Roman" w:hAnsi="Times New Roman" w:cs="Times New Roman"/>
        </w:rPr>
        <w:t xml:space="preserve"> </w:t>
      </w:r>
      <w:r w:rsidR="00173FFB" w:rsidRPr="006D2720">
        <w:rPr>
          <w:rFonts w:ascii="Times New Roman" w:hAnsi="Times New Roman" w:cs="Times New Roman"/>
        </w:rPr>
        <w:t xml:space="preserve">make particular provision regarding who is </w:t>
      </w:r>
      <w:r w:rsidR="00C96D94" w:rsidRPr="006D2720">
        <w:rPr>
          <w:rFonts w:ascii="Times New Roman" w:hAnsi="Times New Roman" w:cs="Times New Roman"/>
        </w:rPr>
        <w:t xml:space="preserve">being asked to consent to the collection of personal information. </w:t>
      </w:r>
      <w:r w:rsidR="005D390E" w:rsidRPr="006D2720">
        <w:rPr>
          <w:rFonts w:ascii="Times New Roman" w:hAnsi="Times New Roman" w:cs="Times New Roman"/>
        </w:rPr>
        <w:t>In comparison, t</w:t>
      </w:r>
      <w:r w:rsidR="00C96D94" w:rsidRPr="006D2720">
        <w:rPr>
          <w:rFonts w:ascii="Times New Roman" w:hAnsi="Times New Roman" w:cs="Times New Roman"/>
        </w:rPr>
        <w:t xml:space="preserve">he privacy principles </w:t>
      </w:r>
      <w:r w:rsidR="00B22477" w:rsidRPr="006D2720">
        <w:rPr>
          <w:rFonts w:ascii="Times New Roman" w:hAnsi="Times New Roman" w:cs="Times New Roman"/>
        </w:rPr>
        <w:t xml:space="preserve">in </w:t>
      </w:r>
      <w:r w:rsidR="00614884" w:rsidRPr="006D2720">
        <w:rPr>
          <w:rFonts w:ascii="Times New Roman" w:hAnsi="Times New Roman" w:cs="Times New Roman"/>
        </w:rPr>
        <w:t>NSW</w:t>
      </w:r>
      <w:r w:rsidR="00B22477" w:rsidRPr="006D2720">
        <w:rPr>
          <w:rFonts w:ascii="Times New Roman" w:hAnsi="Times New Roman" w:cs="Times New Roman"/>
        </w:rPr>
        <w:t xml:space="preserve"> </w:t>
      </w:r>
      <w:r w:rsidR="00C96D94" w:rsidRPr="006D2720">
        <w:rPr>
          <w:rFonts w:ascii="Times New Roman" w:hAnsi="Times New Roman" w:cs="Times New Roman"/>
        </w:rPr>
        <w:t xml:space="preserve">include the possibility of collecting information from a person’s guardian where </w:t>
      </w:r>
      <w:r w:rsidR="00EB1E1E" w:rsidRPr="006D2720">
        <w:rPr>
          <w:rFonts w:ascii="Times New Roman" w:hAnsi="Times New Roman" w:cs="Times New Roman"/>
        </w:rPr>
        <w:t xml:space="preserve">the </w:t>
      </w:r>
      <w:r w:rsidR="00BF551D" w:rsidRPr="006D2720">
        <w:rPr>
          <w:rFonts w:ascii="Times New Roman" w:hAnsi="Times New Roman" w:cs="Times New Roman"/>
        </w:rPr>
        <w:t>I</w:t>
      </w:r>
      <w:r w:rsidR="00EB1E1E" w:rsidRPr="006D2720">
        <w:rPr>
          <w:rFonts w:ascii="Times New Roman" w:hAnsi="Times New Roman" w:cs="Times New Roman"/>
        </w:rPr>
        <w:t xml:space="preserve">ndividual concerned is </w:t>
      </w:r>
      <w:r w:rsidR="00C96D94" w:rsidRPr="006D2720">
        <w:rPr>
          <w:rFonts w:ascii="Times New Roman" w:hAnsi="Times New Roman" w:cs="Times New Roman"/>
        </w:rPr>
        <w:t>under 16.</w:t>
      </w:r>
      <w:r w:rsidR="00C96D94" w:rsidRPr="006D2720">
        <w:rPr>
          <w:rStyle w:val="FootnoteReference"/>
          <w:rFonts w:ascii="Times New Roman" w:hAnsi="Times New Roman" w:cs="Times New Roman"/>
        </w:rPr>
        <w:footnoteReference w:id="200"/>
      </w:r>
      <w:r w:rsidR="00C96D94" w:rsidRPr="006D2720">
        <w:rPr>
          <w:rFonts w:ascii="Times New Roman" w:hAnsi="Times New Roman" w:cs="Times New Roman"/>
        </w:rPr>
        <w:t xml:space="preserve"> </w:t>
      </w:r>
    </w:p>
    <w:p w14:paraId="000CD58F" w14:textId="0AFC691D" w:rsidR="004C12AA" w:rsidRPr="006D2720" w:rsidRDefault="00C96D94" w:rsidP="009C201F">
      <w:pPr>
        <w:pStyle w:val="Heading3"/>
        <w:rPr>
          <w:rFonts w:ascii="Times New Roman" w:hAnsi="Times New Roman" w:cs="Times New Roman"/>
        </w:rPr>
      </w:pPr>
      <w:r w:rsidRPr="006D2720">
        <w:rPr>
          <w:rFonts w:ascii="Times New Roman" w:hAnsi="Times New Roman" w:cs="Times New Roman"/>
        </w:rPr>
        <w:t xml:space="preserve">In calling for </w:t>
      </w:r>
      <w:r w:rsidR="00346AB6" w:rsidRPr="006D2720">
        <w:rPr>
          <w:rFonts w:ascii="Times New Roman" w:hAnsi="Times New Roman" w:cs="Times New Roman"/>
        </w:rPr>
        <w:t xml:space="preserve">the </w:t>
      </w:r>
      <w:r w:rsidRPr="006D2720">
        <w:rPr>
          <w:rFonts w:ascii="Times New Roman" w:hAnsi="Times New Roman" w:cs="Times New Roman"/>
        </w:rPr>
        <w:t xml:space="preserve">strengthening of consent requirements in its Digital Platforms report, the </w:t>
      </w:r>
      <w:r w:rsidR="00D73ABB" w:rsidRPr="006D2720">
        <w:rPr>
          <w:rFonts w:ascii="Times New Roman" w:hAnsi="Times New Roman" w:cs="Times New Roman"/>
        </w:rPr>
        <w:t>ACCC</w:t>
      </w:r>
      <w:r w:rsidR="00DD506D" w:rsidRPr="006D2720">
        <w:rPr>
          <w:rFonts w:ascii="Times New Roman" w:hAnsi="Times New Roman" w:cs="Times New Roman"/>
        </w:rPr>
        <w:t xml:space="preserve"> </w:t>
      </w:r>
      <w:r w:rsidR="0095129E" w:rsidRPr="006D2720">
        <w:rPr>
          <w:rFonts w:ascii="Times New Roman" w:hAnsi="Times New Roman" w:cs="Times New Roman"/>
        </w:rPr>
        <w:t xml:space="preserve">noted </w:t>
      </w:r>
      <w:r w:rsidRPr="006D2720">
        <w:rPr>
          <w:rFonts w:ascii="Times New Roman" w:hAnsi="Times New Roman" w:cs="Times New Roman"/>
        </w:rPr>
        <w:t xml:space="preserve">that </w:t>
      </w:r>
      <w:r w:rsidR="0095129E" w:rsidRPr="006D2720">
        <w:rPr>
          <w:rFonts w:ascii="Times New Roman" w:hAnsi="Times New Roman" w:cs="Times New Roman"/>
        </w:rPr>
        <w:t>users of digital platforms</w:t>
      </w:r>
      <w:r w:rsidR="000E1849" w:rsidRPr="006D2720">
        <w:rPr>
          <w:rFonts w:ascii="Times New Roman" w:hAnsi="Times New Roman" w:cs="Times New Roman"/>
        </w:rPr>
        <w:t xml:space="preserve"> often include</w:t>
      </w:r>
      <w:r w:rsidR="0095129E" w:rsidRPr="006D2720">
        <w:rPr>
          <w:rFonts w:ascii="Times New Roman" w:hAnsi="Times New Roman" w:cs="Times New Roman"/>
        </w:rPr>
        <w:t xml:space="preserve"> </w:t>
      </w:r>
      <w:r w:rsidRPr="006D2720">
        <w:rPr>
          <w:rFonts w:ascii="Times New Roman" w:hAnsi="Times New Roman" w:cs="Times New Roman"/>
        </w:rPr>
        <w:t xml:space="preserve">children who </w:t>
      </w:r>
      <w:r w:rsidR="0095129E" w:rsidRPr="006D2720">
        <w:rPr>
          <w:rFonts w:ascii="Times New Roman" w:hAnsi="Times New Roman" w:cs="Times New Roman"/>
        </w:rPr>
        <w:t xml:space="preserve">likely </w:t>
      </w:r>
      <w:r w:rsidRPr="006D2720">
        <w:rPr>
          <w:rFonts w:ascii="Times New Roman" w:hAnsi="Times New Roman" w:cs="Times New Roman"/>
        </w:rPr>
        <w:t xml:space="preserve">lack </w:t>
      </w:r>
      <w:r w:rsidR="0095129E" w:rsidRPr="006D2720">
        <w:rPr>
          <w:rFonts w:ascii="Times New Roman" w:hAnsi="Times New Roman" w:cs="Times New Roman"/>
        </w:rPr>
        <w:t xml:space="preserve">the </w:t>
      </w:r>
      <w:r w:rsidRPr="006D2720">
        <w:rPr>
          <w:rFonts w:ascii="Times New Roman" w:hAnsi="Times New Roman" w:cs="Times New Roman"/>
        </w:rPr>
        <w:t xml:space="preserve">capacity </w:t>
      </w:r>
      <w:r w:rsidR="00A63341" w:rsidRPr="006D2720">
        <w:rPr>
          <w:rFonts w:ascii="Times New Roman" w:hAnsi="Times New Roman" w:cs="Times New Roman"/>
        </w:rPr>
        <w:t>to truly understand how their personal information is collected, used</w:t>
      </w:r>
      <w:r w:rsidR="00DF7782" w:rsidRPr="006D2720">
        <w:rPr>
          <w:rFonts w:ascii="Times New Roman" w:hAnsi="Times New Roman" w:cs="Times New Roman"/>
        </w:rPr>
        <w:t>,</w:t>
      </w:r>
      <w:r w:rsidR="00A63341" w:rsidRPr="006D2720">
        <w:rPr>
          <w:rFonts w:ascii="Times New Roman" w:hAnsi="Times New Roman" w:cs="Times New Roman"/>
        </w:rPr>
        <w:t xml:space="preserve"> and disclosed</w:t>
      </w:r>
      <w:r w:rsidR="003F63C7" w:rsidRPr="006D2720">
        <w:rPr>
          <w:rFonts w:ascii="Times New Roman" w:hAnsi="Times New Roman" w:cs="Times New Roman"/>
        </w:rPr>
        <w:t>. The Commission therefore recommended that children</w:t>
      </w:r>
      <w:r w:rsidR="0095129E" w:rsidRPr="006D2720">
        <w:rPr>
          <w:rFonts w:ascii="Times New Roman" w:hAnsi="Times New Roman" w:cs="Times New Roman"/>
        </w:rPr>
        <w:t xml:space="preserve"> </w:t>
      </w:r>
      <w:r w:rsidRPr="006D2720">
        <w:rPr>
          <w:rFonts w:ascii="Times New Roman" w:hAnsi="Times New Roman" w:cs="Times New Roman"/>
        </w:rPr>
        <w:t>should only be able to consent through their guardian</w:t>
      </w:r>
      <w:r w:rsidR="005D390E" w:rsidRPr="006D2720">
        <w:rPr>
          <w:rFonts w:ascii="Times New Roman" w:hAnsi="Times New Roman" w:cs="Times New Roman"/>
        </w:rPr>
        <w:t>.</w:t>
      </w:r>
      <w:r w:rsidRPr="006D2720">
        <w:rPr>
          <w:rStyle w:val="FootnoteReference"/>
          <w:rFonts w:ascii="Times New Roman" w:hAnsi="Times New Roman" w:cs="Times New Roman"/>
        </w:rPr>
        <w:footnoteReference w:id="201"/>
      </w:r>
      <w:r w:rsidR="40B8BF66" w:rsidRPr="006D2720">
        <w:rPr>
          <w:rFonts w:ascii="Times New Roman" w:hAnsi="Times New Roman" w:cs="Times New Roman"/>
        </w:rPr>
        <w:t xml:space="preserve"> </w:t>
      </w:r>
    </w:p>
    <w:p w14:paraId="2B7E2967" w14:textId="3D1B6B65" w:rsidR="00C96D94" w:rsidRPr="006D2720" w:rsidRDefault="005A3966" w:rsidP="0066337D">
      <w:pPr>
        <w:pStyle w:val="Heading3"/>
        <w:rPr>
          <w:rFonts w:ascii="Times New Roman" w:hAnsi="Times New Roman" w:cs="Times New Roman"/>
        </w:rPr>
      </w:pPr>
      <w:r w:rsidRPr="006D2720">
        <w:rPr>
          <w:rFonts w:ascii="Times New Roman" w:hAnsi="Times New Roman" w:cs="Times New Roman"/>
        </w:rPr>
        <w:t>I</w:t>
      </w:r>
      <w:r w:rsidR="005E4A42" w:rsidRPr="006D2720">
        <w:rPr>
          <w:rFonts w:ascii="Times New Roman" w:hAnsi="Times New Roman" w:cs="Times New Roman"/>
        </w:rPr>
        <w:t xml:space="preserve">n some </w:t>
      </w:r>
      <w:r w:rsidR="00C96D94" w:rsidRPr="006D2720">
        <w:rPr>
          <w:rFonts w:ascii="Times New Roman" w:hAnsi="Times New Roman" w:cs="Times New Roman"/>
        </w:rPr>
        <w:t>circumstances</w:t>
      </w:r>
      <w:r w:rsidR="005E4A42" w:rsidRPr="006D2720">
        <w:rPr>
          <w:rFonts w:ascii="Times New Roman" w:hAnsi="Times New Roman" w:cs="Times New Roman"/>
        </w:rPr>
        <w:t xml:space="preserve">, it may not be practicable to obtain </w:t>
      </w:r>
      <w:r w:rsidR="004C12AA" w:rsidRPr="006D2720">
        <w:rPr>
          <w:rFonts w:ascii="Times New Roman" w:hAnsi="Times New Roman" w:cs="Times New Roman"/>
        </w:rPr>
        <w:t>a child’s consent through their guardian</w:t>
      </w:r>
      <w:r w:rsidR="005E4A42" w:rsidRPr="006D2720">
        <w:rPr>
          <w:rFonts w:ascii="Times New Roman" w:hAnsi="Times New Roman" w:cs="Times New Roman"/>
        </w:rPr>
        <w:t>, such as</w:t>
      </w:r>
      <w:r w:rsidR="00EE1039" w:rsidRPr="006D2720">
        <w:rPr>
          <w:rFonts w:ascii="Times New Roman" w:hAnsi="Times New Roman" w:cs="Times New Roman"/>
        </w:rPr>
        <w:t xml:space="preserve"> in </w:t>
      </w:r>
      <w:r w:rsidR="00C96D94" w:rsidRPr="006D2720">
        <w:rPr>
          <w:rFonts w:ascii="Times New Roman" w:hAnsi="Times New Roman" w:cs="Times New Roman"/>
        </w:rPr>
        <w:t>many online settings or in relation to the information collected through use of devices which include an internet connection</w:t>
      </w:r>
      <w:r w:rsidR="005E4A42" w:rsidRPr="006D2720">
        <w:rPr>
          <w:rFonts w:ascii="Times New Roman" w:hAnsi="Times New Roman" w:cs="Times New Roman"/>
        </w:rPr>
        <w:t>.</w:t>
      </w:r>
      <w:r w:rsidR="001C6F52" w:rsidRPr="006D2720">
        <w:rPr>
          <w:rFonts w:ascii="Times New Roman" w:hAnsi="Times New Roman" w:cs="Times New Roman"/>
        </w:rPr>
        <w:t xml:space="preserve"> Therefore</w:t>
      </w:r>
      <w:r w:rsidR="00C96D94" w:rsidRPr="006D2720">
        <w:rPr>
          <w:rFonts w:ascii="Times New Roman" w:hAnsi="Times New Roman" w:cs="Times New Roman"/>
        </w:rPr>
        <w:t xml:space="preserve">, </w:t>
      </w:r>
      <w:r w:rsidR="00DF7782" w:rsidRPr="006D2720">
        <w:rPr>
          <w:rFonts w:ascii="Times New Roman" w:hAnsi="Times New Roman" w:cs="Times New Roman"/>
        </w:rPr>
        <w:t xml:space="preserve">the Commission </w:t>
      </w:r>
      <w:r w:rsidR="005165AF" w:rsidRPr="006D2720">
        <w:rPr>
          <w:rFonts w:ascii="Times New Roman" w:hAnsi="Times New Roman" w:cs="Times New Roman"/>
        </w:rPr>
        <w:t>recommended that</w:t>
      </w:r>
      <w:r w:rsidR="00DF7782" w:rsidRPr="006D2720">
        <w:rPr>
          <w:rFonts w:ascii="Times New Roman" w:hAnsi="Times New Roman" w:cs="Times New Roman"/>
        </w:rPr>
        <w:t xml:space="preserve"> </w:t>
      </w:r>
      <w:r w:rsidR="00C96D94" w:rsidRPr="006D2720">
        <w:rPr>
          <w:rFonts w:ascii="Times New Roman" w:hAnsi="Times New Roman" w:cs="Times New Roman"/>
        </w:rPr>
        <w:t xml:space="preserve">additional requirements </w:t>
      </w:r>
      <w:r w:rsidR="00074C7B" w:rsidRPr="006D2720">
        <w:rPr>
          <w:rFonts w:ascii="Times New Roman" w:hAnsi="Times New Roman" w:cs="Times New Roman"/>
        </w:rPr>
        <w:t xml:space="preserve">to minimise collection of personal information from children who </w:t>
      </w:r>
      <w:r w:rsidR="00C96D94" w:rsidRPr="006D2720">
        <w:rPr>
          <w:rFonts w:ascii="Times New Roman" w:hAnsi="Times New Roman" w:cs="Times New Roman"/>
        </w:rPr>
        <w:t>engage</w:t>
      </w:r>
      <w:r w:rsidR="00A31D04" w:rsidRPr="006D2720">
        <w:rPr>
          <w:rFonts w:ascii="Times New Roman" w:hAnsi="Times New Roman" w:cs="Times New Roman"/>
        </w:rPr>
        <w:t xml:space="preserve"> </w:t>
      </w:r>
      <w:r w:rsidR="00074C7B" w:rsidRPr="006D2720">
        <w:rPr>
          <w:rFonts w:ascii="Times New Roman" w:hAnsi="Times New Roman" w:cs="Times New Roman"/>
        </w:rPr>
        <w:t xml:space="preserve">with digital platforms and ensure meaningful guardian consent </w:t>
      </w:r>
      <w:r w:rsidR="00C96D94" w:rsidRPr="006D2720">
        <w:rPr>
          <w:rFonts w:ascii="Times New Roman" w:hAnsi="Times New Roman" w:cs="Times New Roman"/>
        </w:rPr>
        <w:t>should be addressed in an online privacy code of conduct</w:t>
      </w:r>
      <w:r w:rsidR="009B0D58" w:rsidRPr="006D2720">
        <w:rPr>
          <w:rFonts w:ascii="Times New Roman" w:hAnsi="Times New Roman" w:cs="Times New Roman"/>
        </w:rPr>
        <w:t xml:space="preserve"> </w:t>
      </w:r>
      <w:r w:rsidR="009010ED" w:rsidRPr="006D2720">
        <w:rPr>
          <w:rFonts w:ascii="Times New Roman" w:hAnsi="Times New Roman" w:cs="Times New Roman"/>
        </w:rPr>
        <w:t>for this context</w:t>
      </w:r>
      <w:r w:rsidR="00C96D94" w:rsidRPr="006D2720">
        <w:rPr>
          <w:rFonts w:ascii="Times New Roman" w:hAnsi="Times New Roman" w:cs="Times New Roman"/>
        </w:rPr>
        <w:t>.</w:t>
      </w:r>
      <w:r w:rsidR="00A31D04" w:rsidRPr="006D2720">
        <w:rPr>
          <w:rStyle w:val="FootnoteReference"/>
          <w:rFonts w:ascii="Times New Roman" w:hAnsi="Times New Roman" w:cs="Times New Roman"/>
        </w:rPr>
        <w:footnoteReference w:id="202"/>
      </w:r>
      <w:r w:rsidR="00111E63" w:rsidRPr="006D2720">
        <w:rPr>
          <w:rFonts w:ascii="Times New Roman" w:hAnsi="Times New Roman" w:cs="Times New Roman"/>
        </w:rPr>
        <w:t xml:space="preserve"> </w:t>
      </w:r>
    </w:p>
    <w:p w14:paraId="611087B1" w14:textId="053A09D8" w:rsidR="00050F42" w:rsidRPr="006D2720" w:rsidRDefault="00050F42" w:rsidP="00D83805">
      <w:pPr>
        <w:keepNext/>
        <w:rPr>
          <w:rFonts w:ascii="Times New Roman" w:hAnsi="Times New Roman" w:cs="Times New Roman"/>
          <w:b/>
          <w:bCs/>
          <w:i/>
          <w:iCs/>
        </w:rPr>
      </w:pPr>
      <w:r w:rsidRPr="006D2720">
        <w:rPr>
          <w:rFonts w:ascii="Times New Roman" w:hAnsi="Times New Roman" w:cs="Times New Roman"/>
          <w:b/>
          <w:bCs/>
          <w:i/>
          <w:iCs/>
        </w:rPr>
        <w:t>Fairness and reasonableness requirements</w:t>
      </w:r>
    </w:p>
    <w:p w14:paraId="4E26379E" w14:textId="603BDB97" w:rsidR="0091145A" w:rsidRPr="006D2720" w:rsidRDefault="005A3966" w:rsidP="0066337D">
      <w:pPr>
        <w:pStyle w:val="Heading3"/>
        <w:rPr>
          <w:rFonts w:ascii="Times New Roman" w:hAnsi="Times New Roman" w:cs="Times New Roman"/>
        </w:rPr>
      </w:pPr>
      <w:r w:rsidRPr="006D2720">
        <w:rPr>
          <w:rFonts w:ascii="Times New Roman" w:hAnsi="Times New Roman" w:cs="Times New Roman"/>
        </w:rPr>
        <w:t xml:space="preserve">As has been discussed, under Tasmanian law, </w:t>
      </w:r>
      <w:r w:rsidR="00FD67A4" w:rsidRPr="006D2720">
        <w:rPr>
          <w:rFonts w:ascii="Times New Roman" w:hAnsi="Times New Roman" w:cs="Times New Roman"/>
        </w:rPr>
        <w:t xml:space="preserve">PIPP 1 requires the collection of personal information to be </w:t>
      </w:r>
      <w:r w:rsidR="002A38BC" w:rsidRPr="006D2720">
        <w:rPr>
          <w:rFonts w:ascii="Times New Roman" w:hAnsi="Times New Roman" w:cs="Times New Roman"/>
        </w:rPr>
        <w:t xml:space="preserve">done by </w:t>
      </w:r>
      <w:r w:rsidR="00FD67A4" w:rsidRPr="006D2720">
        <w:rPr>
          <w:rFonts w:ascii="Times New Roman" w:hAnsi="Times New Roman" w:cs="Times New Roman"/>
        </w:rPr>
        <w:t>lawful</w:t>
      </w:r>
      <w:r w:rsidR="002A38BC" w:rsidRPr="006D2720">
        <w:rPr>
          <w:rFonts w:ascii="Times New Roman" w:hAnsi="Times New Roman" w:cs="Times New Roman"/>
        </w:rPr>
        <w:t xml:space="preserve"> </w:t>
      </w:r>
      <w:r w:rsidRPr="006D2720">
        <w:rPr>
          <w:rFonts w:ascii="Times New Roman" w:hAnsi="Times New Roman" w:cs="Times New Roman"/>
        </w:rPr>
        <w:t xml:space="preserve">means, whereas under Commonwealth law, </w:t>
      </w:r>
      <w:r w:rsidR="00E80972" w:rsidRPr="006D2720">
        <w:rPr>
          <w:rFonts w:ascii="Times New Roman" w:hAnsi="Times New Roman" w:cs="Times New Roman"/>
        </w:rPr>
        <w:t xml:space="preserve">APP 3 </w:t>
      </w:r>
      <w:r w:rsidR="00A478B8" w:rsidRPr="006D2720">
        <w:rPr>
          <w:rFonts w:ascii="Times New Roman" w:hAnsi="Times New Roman" w:cs="Times New Roman"/>
        </w:rPr>
        <w:t>requires</w:t>
      </w:r>
      <w:r w:rsidR="00E80972" w:rsidRPr="006D2720">
        <w:rPr>
          <w:rFonts w:ascii="Times New Roman" w:hAnsi="Times New Roman" w:cs="Times New Roman"/>
        </w:rPr>
        <w:t xml:space="preserve"> collection to be not only lawful, but also fair</w:t>
      </w:r>
      <w:r w:rsidR="00A478B8" w:rsidRPr="006D2720">
        <w:rPr>
          <w:rFonts w:ascii="Times New Roman" w:hAnsi="Times New Roman" w:cs="Times New Roman"/>
        </w:rPr>
        <w:t xml:space="preserve">. </w:t>
      </w:r>
      <w:r w:rsidR="00FB2663" w:rsidRPr="006D2720">
        <w:rPr>
          <w:rFonts w:ascii="Times New Roman" w:hAnsi="Times New Roman" w:cs="Times New Roman"/>
        </w:rPr>
        <w:t xml:space="preserve">However, this </w:t>
      </w:r>
      <w:r w:rsidRPr="006D2720">
        <w:rPr>
          <w:rFonts w:ascii="Times New Roman" w:hAnsi="Times New Roman" w:cs="Times New Roman"/>
        </w:rPr>
        <w:t xml:space="preserve">fairness </w:t>
      </w:r>
      <w:r w:rsidR="00FB2663" w:rsidRPr="006D2720">
        <w:rPr>
          <w:rFonts w:ascii="Times New Roman" w:hAnsi="Times New Roman" w:cs="Times New Roman"/>
        </w:rPr>
        <w:t xml:space="preserve">requirement does not similarly extend to </w:t>
      </w:r>
      <w:r w:rsidR="00A478B8" w:rsidRPr="006D2720">
        <w:rPr>
          <w:rFonts w:ascii="Times New Roman" w:hAnsi="Times New Roman" w:cs="Times New Roman"/>
        </w:rPr>
        <w:t xml:space="preserve">the </w:t>
      </w:r>
      <w:r w:rsidR="00A478B8" w:rsidRPr="006D2720">
        <w:rPr>
          <w:rFonts w:ascii="Times New Roman" w:hAnsi="Times New Roman" w:cs="Times New Roman"/>
          <w:i/>
          <w:iCs/>
        </w:rPr>
        <w:t>use</w:t>
      </w:r>
      <w:r w:rsidR="00A478B8" w:rsidRPr="006D2720">
        <w:rPr>
          <w:rFonts w:ascii="Times New Roman" w:hAnsi="Times New Roman" w:cs="Times New Roman"/>
        </w:rPr>
        <w:t xml:space="preserve"> </w:t>
      </w:r>
      <w:r w:rsidR="00F654C9" w:rsidRPr="006D2720">
        <w:rPr>
          <w:rFonts w:ascii="Times New Roman" w:hAnsi="Times New Roman" w:cs="Times New Roman"/>
        </w:rPr>
        <w:t xml:space="preserve">or </w:t>
      </w:r>
      <w:r w:rsidR="00A478B8" w:rsidRPr="006D2720">
        <w:rPr>
          <w:rFonts w:ascii="Times New Roman" w:hAnsi="Times New Roman" w:cs="Times New Roman"/>
          <w:i/>
          <w:iCs/>
        </w:rPr>
        <w:t>disclosure</w:t>
      </w:r>
      <w:r w:rsidR="00A478B8" w:rsidRPr="006D2720">
        <w:rPr>
          <w:rFonts w:ascii="Times New Roman" w:hAnsi="Times New Roman" w:cs="Times New Roman"/>
        </w:rPr>
        <w:t xml:space="preserve"> of personal information. </w:t>
      </w:r>
    </w:p>
    <w:p w14:paraId="128E4C95" w14:textId="7364274A" w:rsidR="00C10213" w:rsidRPr="006D2720" w:rsidRDefault="00173D13" w:rsidP="0048729A">
      <w:pPr>
        <w:pStyle w:val="Heading3"/>
        <w:rPr>
          <w:rFonts w:ascii="Times New Roman" w:hAnsi="Times New Roman" w:cs="Times New Roman"/>
        </w:rPr>
      </w:pPr>
      <w:r w:rsidRPr="006D2720">
        <w:rPr>
          <w:rFonts w:ascii="Times New Roman" w:hAnsi="Times New Roman" w:cs="Times New Roman"/>
        </w:rPr>
        <w:t xml:space="preserve">In its submission to the Privacy Act review, the </w:t>
      </w:r>
      <w:r w:rsidR="00920465" w:rsidRPr="006D2720">
        <w:rPr>
          <w:rFonts w:ascii="Times New Roman" w:hAnsi="Times New Roman" w:cs="Times New Roman"/>
        </w:rPr>
        <w:t>OAIC</w:t>
      </w:r>
      <w:r w:rsidRPr="006D2720">
        <w:rPr>
          <w:rFonts w:ascii="Times New Roman" w:hAnsi="Times New Roman" w:cs="Times New Roman"/>
        </w:rPr>
        <w:t xml:space="preserve"> </w:t>
      </w:r>
      <w:r w:rsidR="00426BB7" w:rsidRPr="006D2720">
        <w:rPr>
          <w:rFonts w:ascii="Times New Roman" w:hAnsi="Times New Roman" w:cs="Times New Roman"/>
        </w:rPr>
        <w:t>recommend</w:t>
      </w:r>
      <w:r w:rsidR="008164BC" w:rsidRPr="006D2720">
        <w:rPr>
          <w:rFonts w:ascii="Times New Roman" w:hAnsi="Times New Roman" w:cs="Times New Roman"/>
        </w:rPr>
        <w:t>ed</w:t>
      </w:r>
      <w:r w:rsidR="00426BB7" w:rsidRPr="006D2720">
        <w:rPr>
          <w:rFonts w:ascii="Times New Roman" w:hAnsi="Times New Roman" w:cs="Times New Roman"/>
        </w:rPr>
        <w:t xml:space="preserve"> that </w:t>
      </w:r>
      <w:r w:rsidR="00A903CA" w:rsidRPr="006D2720">
        <w:rPr>
          <w:rFonts w:ascii="Times New Roman" w:hAnsi="Times New Roman" w:cs="Times New Roman"/>
        </w:rPr>
        <w:t xml:space="preserve">fairness and reasonableness requirements apply to </w:t>
      </w:r>
      <w:r w:rsidR="00426BB7" w:rsidRPr="006D2720">
        <w:rPr>
          <w:rFonts w:ascii="Times New Roman" w:hAnsi="Times New Roman" w:cs="Times New Roman"/>
        </w:rPr>
        <w:t>collection, use</w:t>
      </w:r>
      <w:r w:rsidR="00173FFB" w:rsidRPr="006D2720">
        <w:rPr>
          <w:rFonts w:ascii="Times New Roman" w:hAnsi="Times New Roman" w:cs="Times New Roman"/>
        </w:rPr>
        <w:t>,</w:t>
      </w:r>
      <w:r w:rsidR="00426BB7" w:rsidRPr="006D2720">
        <w:rPr>
          <w:rFonts w:ascii="Times New Roman" w:hAnsi="Times New Roman" w:cs="Times New Roman"/>
        </w:rPr>
        <w:t xml:space="preserve"> and disclosure of personal information</w:t>
      </w:r>
      <w:r w:rsidR="00DD2696" w:rsidRPr="006D2720">
        <w:rPr>
          <w:rFonts w:ascii="Times New Roman" w:hAnsi="Times New Roman" w:cs="Times New Roman"/>
        </w:rPr>
        <w:t>.</w:t>
      </w:r>
      <w:r w:rsidR="00E6240E" w:rsidRPr="006D2720">
        <w:rPr>
          <w:rFonts w:ascii="Times New Roman" w:hAnsi="Times New Roman" w:cs="Times New Roman"/>
        </w:rPr>
        <w:t xml:space="preserve"> </w:t>
      </w:r>
      <w:r w:rsidR="00DD2696" w:rsidRPr="006D2720">
        <w:rPr>
          <w:rFonts w:ascii="Times New Roman" w:hAnsi="Times New Roman" w:cs="Times New Roman"/>
        </w:rPr>
        <w:t xml:space="preserve">This requirement would apply even </w:t>
      </w:r>
      <w:r w:rsidR="00426BB7" w:rsidRPr="006D2720">
        <w:rPr>
          <w:rFonts w:ascii="Times New Roman" w:hAnsi="Times New Roman" w:cs="Times New Roman"/>
        </w:rPr>
        <w:t>where the individual has consented</w:t>
      </w:r>
      <w:r w:rsidR="00DD2696" w:rsidRPr="006D2720">
        <w:rPr>
          <w:rFonts w:ascii="Times New Roman" w:hAnsi="Times New Roman" w:cs="Times New Roman"/>
        </w:rPr>
        <w:t xml:space="preserve"> to the particular form of information handling</w:t>
      </w:r>
      <w:r w:rsidR="00426BB7" w:rsidRPr="006D2720">
        <w:rPr>
          <w:rFonts w:ascii="Times New Roman" w:hAnsi="Times New Roman" w:cs="Times New Roman"/>
        </w:rPr>
        <w:t>.</w:t>
      </w:r>
      <w:r w:rsidR="00C92A51" w:rsidRPr="006D2720">
        <w:rPr>
          <w:rFonts w:ascii="Times New Roman" w:hAnsi="Times New Roman" w:cs="Times New Roman"/>
        </w:rPr>
        <w:t xml:space="preserve"> </w:t>
      </w:r>
    </w:p>
    <w:p w14:paraId="27B10010" w14:textId="06146FAC" w:rsidR="00DA3A4B" w:rsidRPr="006D2720" w:rsidRDefault="00C92A51" w:rsidP="0048729A">
      <w:pPr>
        <w:pStyle w:val="Heading3"/>
        <w:rPr>
          <w:rFonts w:ascii="Times New Roman" w:hAnsi="Times New Roman" w:cs="Times New Roman"/>
        </w:rPr>
      </w:pPr>
      <w:r w:rsidRPr="006D2720">
        <w:rPr>
          <w:rFonts w:ascii="Times New Roman" w:hAnsi="Times New Roman" w:cs="Times New Roman"/>
        </w:rPr>
        <w:t>The</w:t>
      </w:r>
      <w:r w:rsidR="00DD2696" w:rsidRPr="006D2720">
        <w:rPr>
          <w:rFonts w:ascii="Times New Roman" w:hAnsi="Times New Roman" w:cs="Times New Roman"/>
        </w:rPr>
        <w:t xml:space="preserve"> </w:t>
      </w:r>
      <w:r w:rsidR="00EC331A" w:rsidRPr="006D2720">
        <w:rPr>
          <w:rFonts w:ascii="Times New Roman" w:hAnsi="Times New Roman" w:cs="Times New Roman"/>
        </w:rPr>
        <w:t>OAIC</w:t>
      </w:r>
      <w:r w:rsidR="00632EF0" w:rsidRPr="006D2720">
        <w:rPr>
          <w:rFonts w:ascii="Times New Roman" w:hAnsi="Times New Roman" w:cs="Times New Roman"/>
        </w:rPr>
        <w:t xml:space="preserve"> </w:t>
      </w:r>
      <w:r w:rsidRPr="006D2720">
        <w:rPr>
          <w:rFonts w:ascii="Times New Roman" w:hAnsi="Times New Roman" w:cs="Times New Roman"/>
        </w:rPr>
        <w:t xml:space="preserve">also recommended </w:t>
      </w:r>
      <w:r w:rsidR="005A3966" w:rsidRPr="006D2720">
        <w:rPr>
          <w:rFonts w:ascii="Times New Roman" w:hAnsi="Times New Roman" w:cs="Times New Roman"/>
        </w:rPr>
        <w:t>that</w:t>
      </w:r>
      <w:r w:rsidR="00044B9A" w:rsidRPr="006D2720">
        <w:rPr>
          <w:rFonts w:ascii="Times New Roman" w:hAnsi="Times New Roman" w:cs="Times New Roman"/>
        </w:rPr>
        <w:t xml:space="preserve"> </w:t>
      </w:r>
      <w:r w:rsidR="00596088" w:rsidRPr="006D2720">
        <w:rPr>
          <w:rFonts w:ascii="Times New Roman" w:hAnsi="Times New Roman" w:cs="Times New Roman"/>
        </w:rPr>
        <w:t xml:space="preserve">a non-exhaustive list of factors </w:t>
      </w:r>
      <w:r w:rsidR="00044B9A" w:rsidRPr="006D2720">
        <w:rPr>
          <w:rFonts w:ascii="Times New Roman" w:hAnsi="Times New Roman" w:cs="Times New Roman"/>
        </w:rPr>
        <w:t xml:space="preserve">be set out in legislation for use in determining </w:t>
      </w:r>
      <w:r w:rsidR="00DD2696" w:rsidRPr="006D2720">
        <w:rPr>
          <w:rFonts w:ascii="Times New Roman" w:hAnsi="Times New Roman" w:cs="Times New Roman"/>
        </w:rPr>
        <w:t xml:space="preserve">whether information handling is fair and reasonable </w:t>
      </w:r>
      <w:r w:rsidR="00044B9A" w:rsidRPr="006D2720">
        <w:rPr>
          <w:rFonts w:ascii="Times New Roman" w:hAnsi="Times New Roman" w:cs="Times New Roman"/>
        </w:rPr>
        <w:t>in the circumstances</w:t>
      </w:r>
      <w:r w:rsidR="00DD2696" w:rsidRPr="006D2720">
        <w:rPr>
          <w:rFonts w:ascii="Times New Roman" w:hAnsi="Times New Roman" w:cs="Times New Roman"/>
        </w:rPr>
        <w:t xml:space="preserve">. These would reflect </w:t>
      </w:r>
      <w:r w:rsidR="00641991" w:rsidRPr="006D2720">
        <w:rPr>
          <w:rFonts w:ascii="Times New Roman" w:hAnsi="Times New Roman" w:cs="Times New Roman"/>
        </w:rPr>
        <w:t>requirements in other jurisdictions,</w:t>
      </w:r>
      <w:r w:rsidR="002761BF" w:rsidRPr="006D2720">
        <w:rPr>
          <w:rStyle w:val="FootnoteReference"/>
          <w:rFonts w:ascii="Times New Roman" w:hAnsi="Times New Roman" w:cs="Times New Roman"/>
        </w:rPr>
        <w:footnoteReference w:id="203"/>
      </w:r>
      <w:r w:rsidR="00641991" w:rsidRPr="006D2720">
        <w:rPr>
          <w:rFonts w:ascii="Times New Roman" w:hAnsi="Times New Roman" w:cs="Times New Roman"/>
        </w:rPr>
        <w:t xml:space="preserve"> including</w:t>
      </w:r>
      <w:r w:rsidR="00DA3A4B" w:rsidRPr="006D2720">
        <w:rPr>
          <w:rFonts w:ascii="Times New Roman" w:hAnsi="Times New Roman" w:cs="Times New Roman"/>
        </w:rPr>
        <w:t>:</w:t>
      </w:r>
    </w:p>
    <w:p w14:paraId="341268F5" w14:textId="383612DF" w:rsidR="00301268" w:rsidRPr="006D2720" w:rsidRDefault="00ED18E3" w:rsidP="00DA3A4B">
      <w:pPr>
        <w:pStyle w:val="Dotpointlist"/>
        <w:rPr>
          <w:rFonts w:ascii="Times New Roman" w:hAnsi="Times New Roman" w:cs="Times New Roman"/>
        </w:rPr>
      </w:pPr>
      <w:r w:rsidRPr="006D2720">
        <w:rPr>
          <w:rFonts w:ascii="Times New Roman" w:hAnsi="Times New Roman" w:cs="Times New Roman"/>
        </w:rPr>
        <w:t>whether the purposes for collection, use</w:t>
      </w:r>
      <w:r w:rsidR="00794A53" w:rsidRPr="006D2720">
        <w:rPr>
          <w:rFonts w:ascii="Times New Roman" w:hAnsi="Times New Roman" w:cs="Times New Roman"/>
        </w:rPr>
        <w:t>,</w:t>
      </w:r>
      <w:r w:rsidRPr="006D2720">
        <w:rPr>
          <w:rFonts w:ascii="Times New Roman" w:hAnsi="Times New Roman" w:cs="Times New Roman"/>
        </w:rPr>
        <w:t xml:space="preserve"> or disclosure </w:t>
      </w:r>
      <w:r w:rsidR="00AE6EFD" w:rsidRPr="006D2720">
        <w:rPr>
          <w:rFonts w:ascii="Times New Roman" w:hAnsi="Times New Roman" w:cs="Times New Roman"/>
        </w:rPr>
        <w:t>will</w:t>
      </w:r>
      <w:r w:rsidRPr="006D2720">
        <w:rPr>
          <w:rFonts w:ascii="Times New Roman" w:hAnsi="Times New Roman" w:cs="Times New Roman"/>
        </w:rPr>
        <w:t xml:space="preserve"> have unjustified adverse impacts on any individual</w:t>
      </w:r>
      <w:r w:rsidR="00DA3A4B" w:rsidRPr="006D2720">
        <w:rPr>
          <w:rFonts w:ascii="Times New Roman" w:hAnsi="Times New Roman" w:cs="Times New Roman"/>
        </w:rPr>
        <w:t>;</w:t>
      </w:r>
      <w:r w:rsidRPr="006D2720">
        <w:rPr>
          <w:rFonts w:ascii="Times New Roman" w:hAnsi="Times New Roman" w:cs="Times New Roman"/>
        </w:rPr>
        <w:t xml:space="preserve"> </w:t>
      </w:r>
    </w:p>
    <w:p w14:paraId="77306C2B" w14:textId="42809883" w:rsidR="00DA3A4B" w:rsidRPr="006D2720" w:rsidRDefault="00DA3A4B" w:rsidP="00CA1A69">
      <w:pPr>
        <w:pStyle w:val="Dotpointlist"/>
        <w:rPr>
          <w:rFonts w:ascii="Times New Roman" w:hAnsi="Times New Roman" w:cs="Times New Roman"/>
        </w:rPr>
      </w:pPr>
      <w:r w:rsidRPr="006D2720">
        <w:rPr>
          <w:rFonts w:ascii="Times New Roman" w:hAnsi="Times New Roman" w:cs="Times New Roman"/>
        </w:rPr>
        <w:t>whether the purposes are reasonable, necessary</w:t>
      </w:r>
      <w:r w:rsidR="00794A53" w:rsidRPr="006D2720">
        <w:rPr>
          <w:rFonts w:ascii="Times New Roman" w:hAnsi="Times New Roman" w:cs="Times New Roman"/>
        </w:rPr>
        <w:t>,</w:t>
      </w:r>
      <w:r w:rsidRPr="006D2720">
        <w:rPr>
          <w:rFonts w:ascii="Times New Roman" w:hAnsi="Times New Roman" w:cs="Times New Roman"/>
        </w:rPr>
        <w:t xml:space="preserve"> and proportionate; </w:t>
      </w:r>
    </w:p>
    <w:p w14:paraId="3F3D29C8" w14:textId="7FD8F418" w:rsidR="00301268" w:rsidRPr="006D2720" w:rsidRDefault="00DA3A4B" w:rsidP="00301268">
      <w:pPr>
        <w:pStyle w:val="Dotpointlist"/>
        <w:rPr>
          <w:rFonts w:ascii="Times New Roman" w:hAnsi="Times New Roman" w:cs="Times New Roman"/>
        </w:rPr>
      </w:pPr>
      <w:r w:rsidRPr="006D2720">
        <w:rPr>
          <w:rFonts w:ascii="Times New Roman" w:hAnsi="Times New Roman" w:cs="Times New Roman"/>
        </w:rPr>
        <w:t>whether the actual collection, use</w:t>
      </w:r>
      <w:r w:rsidR="00794A53" w:rsidRPr="006D2720">
        <w:rPr>
          <w:rFonts w:ascii="Times New Roman" w:hAnsi="Times New Roman" w:cs="Times New Roman"/>
        </w:rPr>
        <w:t>,</w:t>
      </w:r>
      <w:r w:rsidRPr="006D2720">
        <w:rPr>
          <w:rFonts w:ascii="Times New Roman" w:hAnsi="Times New Roman" w:cs="Times New Roman"/>
        </w:rPr>
        <w:t xml:space="preserve"> or disclosure will </w:t>
      </w:r>
      <w:r w:rsidR="004A4048" w:rsidRPr="006D2720">
        <w:rPr>
          <w:rFonts w:ascii="Times New Roman" w:hAnsi="Times New Roman" w:cs="Times New Roman"/>
        </w:rPr>
        <w:t>intrude into</w:t>
      </w:r>
      <w:r w:rsidR="00293B27" w:rsidRPr="006D2720">
        <w:rPr>
          <w:rFonts w:ascii="Times New Roman" w:hAnsi="Times New Roman" w:cs="Times New Roman"/>
        </w:rPr>
        <w:t xml:space="preserve"> an individual’s personal affairs</w:t>
      </w:r>
      <w:r w:rsidR="00301268" w:rsidRPr="006D2720">
        <w:rPr>
          <w:rFonts w:ascii="Times New Roman" w:hAnsi="Times New Roman" w:cs="Times New Roman"/>
        </w:rPr>
        <w:t xml:space="preserve">; and </w:t>
      </w:r>
    </w:p>
    <w:p w14:paraId="1E98572C" w14:textId="7EE16B4F" w:rsidR="00050F42" w:rsidRPr="006D2720" w:rsidRDefault="00DA3A4B" w:rsidP="0066337D">
      <w:pPr>
        <w:pStyle w:val="Dotpointlist"/>
        <w:rPr>
          <w:rFonts w:ascii="Times New Roman" w:hAnsi="Times New Roman" w:cs="Times New Roman"/>
        </w:rPr>
      </w:pPr>
      <w:r w:rsidRPr="006D2720">
        <w:rPr>
          <w:rFonts w:ascii="Times New Roman" w:hAnsi="Times New Roman" w:cs="Times New Roman"/>
        </w:rPr>
        <w:t>whether the actual collection, use</w:t>
      </w:r>
      <w:r w:rsidR="00794A53" w:rsidRPr="006D2720">
        <w:rPr>
          <w:rFonts w:ascii="Times New Roman" w:hAnsi="Times New Roman" w:cs="Times New Roman"/>
        </w:rPr>
        <w:t>,</w:t>
      </w:r>
      <w:r w:rsidRPr="006D2720">
        <w:rPr>
          <w:rFonts w:ascii="Times New Roman" w:hAnsi="Times New Roman" w:cs="Times New Roman"/>
        </w:rPr>
        <w:t xml:space="preserve"> or disclosure </w:t>
      </w:r>
      <w:r w:rsidR="00841358" w:rsidRPr="006D2720">
        <w:rPr>
          <w:rFonts w:ascii="Times New Roman" w:hAnsi="Times New Roman" w:cs="Times New Roman"/>
        </w:rPr>
        <w:t xml:space="preserve">is within </w:t>
      </w:r>
      <w:r w:rsidR="00DD2696" w:rsidRPr="006D2720">
        <w:rPr>
          <w:rFonts w:ascii="Times New Roman" w:hAnsi="Times New Roman" w:cs="Times New Roman"/>
        </w:rPr>
        <w:t xml:space="preserve">the </w:t>
      </w:r>
      <w:r w:rsidR="00841358" w:rsidRPr="006D2720">
        <w:rPr>
          <w:rFonts w:ascii="Times New Roman" w:hAnsi="Times New Roman" w:cs="Times New Roman"/>
        </w:rPr>
        <w:t>reasonable expectation of the individual concerned.</w:t>
      </w:r>
      <w:r w:rsidR="00841358" w:rsidRPr="006D2720">
        <w:rPr>
          <w:rStyle w:val="FootnoteReference"/>
          <w:rFonts w:ascii="Times New Roman" w:hAnsi="Times New Roman" w:cs="Times New Roman"/>
        </w:rPr>
        <w:footnoteReference w:id="204"/>
      </w:r>
      <w:r w:rsidR="00841358" w:rsidRPr="006D2720">
        <w:rPr>
          <w:rFonts w:ascii="Times New Roman" w:hAnsi="Times New Roman" w:cs="Times New Roman"/>
        </w:rPr>
        <w:t xml:space="preserve"> </w:t>
      </w:r>
    </w:p>
    <w:p w14:paraId="17808DF2" w14:textId="124959C8" w:rsidR="00DD2696" w:rsidRPr="006D2720" w:rsidRDefault="00EC331A" w:rsidP="0066337D">
      <w:pPr>
        <w:pStyle w:val="Heading3"/>
        <w:rPr>
          <w:rFonts w:ascii="Times New Roman" w:hAnsi="Times New Roman" w:cs="Times New Roman"/>
        </w:rPr>
      </w:pPr>
      <w:r w:rsidRPr="006D2720">
        <w:rPr>
          <w:rFonts w:ascii="Times New Roman" w:hAnsi="Times New Roman" w:cs="Times New Roman"/>
        </w:rPr>
        <w:t xml:space="preserve">Further, the </w:t>
      </w:r>
      <w:r w:rsidR="00A63478" w:rsidRPr="006D2720">
        <w:rPr>
          <w:rFonts w:ascii="Times New Roman" w:hAnsi="Times New Roman" w:cs="Times New Roman"/>
        </w:rPr>
        <w:t xml:space="preserve">OAIC </w:t>
      </w:r>
      <w:r w:rsidR="002B13D4" w:rsidRPr="006D2720">
        <w:rPr>
          <w:rFonts w:ascii="Times New Roman" w:hAnsi="Times New Roman" w:cs="Times New Roman"/>
        </w:rPr>
        <w:t>recommended that there should be full or partial prohibitions on certain types of information handling practices</w:t>
      </w:r>
      <w:r w:rsidR="00DD2696" w:rsidRPr="006D2720">
        <w:rPr>
          <w:rFonts w:ascii="Times New Roman" w:hAnsi="Times New Roman" w:cs="Times New Roman"/>
        </w:rPr>
        <w:t>. Th</w:t>
      </w:r>
      <w:r w:rsidR="004C006A" w:rsidRPr="006D2720">
        <w:rPr>
          <w:rFonts w:ascii="Times New Roman" w:hAnsi="Times New Roman" w:cs="Times New Roman"/>
        </w:rPr>
        <w:t>is</w:t>
      </w:r>
      <w:r w:rsidR="00DD2696" w:rsidRPr="006D2720">
        <w:rPr>
          <w:rFonts w:ascii="Times New Roman" w:hAnsi="Times New Roman" w:cs="Times New Roman"/>
        </w:rPr>
        <w:t xml:space="preserve"> could include practices with a high risk of privacy intrusion</w:t>
      </w:r>
      <w:r w:rsidR="004C006A" w:rsidRPr="006D2720">
        <w:rPr>
          <w:rFonts w:ascii="Times New Roman" w:hAnsi="Times New Roman" w:cs="Times New Roman"/>
        </w:rPr>
        <w:t>,</w:t>
      </w:r>
      <w:r w:rsidR="00DD2696" w:rsidRPr="006D2720">
        <w:rPr>
          <w:rFonts w:ascii="Times New Roman" w:hAnsi="Times New Roman" w:cs="Times New Roman"/>
        </w:rPr>
        <w:t xml:space="preserve"> </w:t>
      </w:r>
      <w:r w:rsidR="00572AE6" w:rsidRPr="006D2720">
        <w:rPr>
          <w:rFonts w:ascii="Times New Roman" w:hAnsi="Times New Roman" w:cs="Times New Roman"/>
        </w:rPr>
        <w:t>such as:</w:t>
      </w:r>
      <w:r w:rsidR="00F82ED5" w:rsidRPr="006D2720">
        <w:rPr>
          <w:rFonts w:ascii="Times New Roman" w:hAnsi="Times New Roman" w:cs="Times New Roman"/>
        </w:rPr>
        <w:t xml:space="preserve"> </w:t>
      </w:r>
    </w:p>
    <w:p w14:paraId="0B11B18D" w14:textId="729AA1EF" w:rsidR="00DD2696" w:rsidRPr="006D2720" w:rsidRDefault="008317EE">
      <w:pPr>
        <w:numPr>
          <w:ilvl w:val="0"/>
          <w:numId w:val="14"/>
        </w:numPr>
        <w:rPr>
          <w:rFonts w:ascii="Times New Roman" w:hAnsi="Times New Roman" w:cs="Times New Roman"/>
        </w:rPr>
      </w:pPr>
      <w:r w:rsidRPr="006D2720">
        <w:rPr>
          <w:rFonts w:ascii="Times New Roman" w:hAnsi="Times New Roman" w:cs="Times New Roman"/>
        </w:rPr>
        <w:t>p</w:t>
      </w:r>
      <w:r w:rsidR="00DD2696" w:rsidRPr="006D2720">
        <w:rPr>
          <w:rFonts w:ascii="Times New Roman" w:hAnsi="Times New Roman" w:cs="Times New Roman"/>
        </w:rPr>
        <w:t xml:space="preserve">ractices aimed at children, including </w:t>
      </w:r>
      <w:r w:rsidR="00F82ED5" w:rsidRPr="006D2720">
        <w:rPr>
          <w:rFonts w:ascii="Times New Roman" w:hAnsi="Times New Roman" w:cs="Times New Roman"/>
        </w:rPr>
        <w:t>profiling, tracking</w:t>
      </w:r>
      <w:r w:rsidR="00EC331A" w:rsidRPr="006D2720">
        <w:rPr>
          <w:rFonts w:ascii="Times New Roman" w:hAnsi="Times New Roman" w:cs="Times New Roman"/>
        </w:rPr>
        <w:t>,</w:t>
      </w:r>
      <w:r w:rsidR="00F82ED5" w:rsidRPr="006D2720">
        <w:rPr>
          <w:rFonts w:ascii="Times New Roman" w:hAnsi="Times New Roman" w:cs="Times New Roman"/>
        </w:rPr>
        <w:t xml:space="preserve"> or behavioural monitoring</w:t>
      </w:r>
      <w:r w:rsidR="00DD2696" w:rsidRPr="006D2720">
        <w:rPr>
          <w:rFonts w:ascii="Times New Roman" w:hAnsi="Times New Roman" w:cs="Times New Roman"/>
        </w:rPr>
        <w:t>, or</w:t>
      </w:r>
      <w:r w:rsidR="00F82ED5" w:rsidRPr="006D2720">
        <w:rPr>
          <w:rFonts w:ascii="Times New Roman" w:hAnsi="Times New Roman" w:cs="Times New Roman"/>
        </w:rPr>
        <w:t xml:space="preserve"> direct advertising</w:t>
      </w:r>
      <w:r w:rsidR="00DD2696" w:rsidRPr="006D2720">
        <w:rPr>
          <w:rFonts w:ascii="Times New Roman" w:hAnsi="Times New Roman" w:cs="Times New Roman"/>
        </w:rPr>
        <w:t>;</w:t>
      </w:r>
      <w:r w:rsidR="00F82ED5" w:rsidRPr="006D2720">
        <w:rPr>
          <w:rFonts w:ascii="Times New Roman" w:hAnsi="Times New Roman" w:cs="Times New Roman"/>
        </w:rPr>
        <w:t xml:space="preserve"> </w:t>
      </w:r>
    </w:p>
    <w:p w14:paraId="12E27869" w14:textId="31435452" w:rsidR="00DD2696" w:rsidRPr="006D2720" w:rsidRDefault="00354BBC">
      <w:pPr>
        <w:numPr>
          <w:ilvl w:val="0"/>
          <w:numId w:val="14"/>
        </w:numPr>
        <w:rPr>
          <w:rFonts w:ascii="Times New Roman" w:hAnsi="Times New Roman" w:cs="Times New Roman"/>
        </w:rPr>
      </w:pPr>
      <w:r w:rsidRPr="006D2720">
        <w:rPr>
          <w:rFonts w:ascii="Times New Roman" w:hAnsi="Times New Roman" w:cs="Times New Roman"/>
        </w:rPr>
        <w:t>inappropriate surveillance or monitoring of an individual through audio or video functionality of the individual’s mobile phone or other personal devices</w:t>
      </w:r>
      <w:r w:rsidR="00F82ED5" w:rsidRPr="006D2720">
        <w:rPr>
          <w:rFonts w:ascii="Times New Roman" w:hAnsi="Times New Roman" w:cs="Times New Roman"/>
        </w:rPr>
        <w:t xml:space="preserve">; </w:t>
      </w:r>
    </w:p>
    <w:p w14:paraId="2DF4F80C" w14:textId="576FF35D" w:rsidR="00DD2696" w:rsidRPr="006D2720" w:rsidRDefault="00354BBC">
      <w:pPr>
        <w:numPr>
          <w:ilvl w:val="0"/>
          <w:numId w:val="14"/>
        </w:numPr>
        <w:rPr>
          <w:rFonts w:ascii="Times New Roman" w:hAnsi="Times New Roman" w:cs="Times New Roman"/>
        </w:rPr>
      </w:pPr>
      <w:r w:rsidRPr="006D2720">
        <w:rPr>
          <w:rFonts w:ascii="Times New Roman" w:hAnsi="Times New Roman" w:cs="Times New Roman"/>
        </w:rPr>
        <w:t>scraping of personal information from online platforms</w:t>
      </w:r>
      <w:r w:rsidR="00F82ED5" w:rsidRPr="006D2720">
        <w:rPr>
          <w:rFonts w:ascii="Times New Roman" w:hAnsi="Times New Roman" w:cs="Times New Roman"/>
        </w:rPr>
        <w:t xml:space="preserve">; </w:t>
      </w:r>
      <w:r w:rsidR="002761BF" w:rsidRPr="006D2720">
        <w:rPr>
          <w:rFonts w:ascii="Times New Roman" w:hAnsi="Times New Roman" w:cs="Times New Roman"/>
        </w:rPr>
        <w:t xml:space="preserve">and </w:t>
      </w:r>
    </w:p>
    <w:p w14:paraId="41EE0F3B" w14:textId="7F06A96C" w:rsidR="002761BF" w:rsidRPr="006D2720" w:rsidRDefault="00354BBC">
      <w:pPr>
        <w:numPr>
          <w:ilvl w:val="0"/>
          <w:numId w:val="14"/>
        </w:numPr>
        <w:rPr>
          <w:rFonts w:ascii="Times New Roman" w:hAnsi="Times New Roman" w:cs="Times New Roman"/>
        </w:rPr>
      </w:pPr>
      <w:r w:rsidRPr="006D2720">
        <w:rPr>
          <w:rFonts w:ascii="Times New Roman" w:hAnsi="Times New Roman" w:cs="Times New Roman"/>
        </w:rPr>
        <w:t>handling location information about individuals</w:t>
      </w:r>
      <w:r w:rsidR="00937B52" w:rsidRPr="006D2720">
        <w:rPr>
          <w:rFonts w:ascii="Times New Roman" w:hAnsi="Times New Roman" w:cs="Times New Roman"/>
        </w:rPr>
        <w:t xml:space="preserve">. </w:t>
      </w:r>
    </w:p>
    <w:p w14:paraId="0E4C9EA2" w14:textId="342BCDEE" w:rsidR="00DD2696" w:rsidRPr="006D2720" w:rsidRDefault="002761BF" w:rsidP="0066337D">
      <w:pPr>
        <w:pStyle w:val="Heading3"/>
        <w:rPr>
          <w:rFonts w:ascii="Times New Roman" w:hAnsi="Times New Roman" w:cs="Times New Roman"/>
        </w:rPr>
      </w:pPr>
      <w:r w:rsidRPr="006D2720">
        <w:rPr>
          <w:rFonts w:ascii="Times New Roman" w:hAnsi="Times New Roman" w:cs="Times New Roman"/>
        </w:rPr>
        <w:t xml:space="preserve">Various </w:t>
      </w:r>
      <w:r w:rsidR="00354BBC" w:rsidRPr="006D2720">
        <w:rPr>
          <w:rFonts w:ascii="Times New Roman" w:hAnsi="Times New Roman" w:cs="Times New Roman"/>
        </w:rPr>
        <w:t xml:space="preserve">uses of </w:t>
      </w:r>
      <w:r w:rsidR="0048187C" w:rsidRPr="006D2720">
        <w:rPr>
          <w:rFonts w:ascii="Times New Roman" w:hAnsi="Times New Roman" w:cs="Times New Roman"/>
        </w:rPr>
        <w:t xml:space="preserve">artificial intelligence </w:t>
      </w:r>
      <w:r w:rsidR="00354BBC" w:rsidRPr="006D2720">
        <w:rPr>
          <w:rFonts w:ascii="Times New Roman" w:hAnsi="Times New Roman" w:cs="Times New Roman"/>
        </w:rPr>
        <w:t>technology to make decisions about individuals</w:t>
      </w:r>
      <w:r w:rsidRPr="006D2720">
        <w:rPr>
          <w:rFonts w:ascii="Times New Roman" w:hAnsi="Times New Roman" w:cs="Times New Roman"/>
        </w:rPr>
        <w:t xml:space="preserve"> could also be subject to additional requirements to ensure their use meets the fair and reasonableness standard</w:t>
      </w:r>
      <w:r w:rsidR="000A7F9E" w:rsidRPr="006D2720">
        <w:rPr>
          <w:rFonts w:ascii="Times New Roman" w:hAnsi="Times New Roman" w:cs="Times New Roman"/>
        </w:rPr>
        <w:t xml:space="preserve"> (see </w:t>
      </w:r>
      <w:r w:rsidR="005A3966" w:rsidRPr="006D2720">
        <w:rPr>
          <w:rFonts w:ascii="Times New Roman" w:hAnsi="Times New Roman" w:cs="Times New Roman"/>
        </w:rPr>
        <w:t xml:space="preserve">discussion </w:t>
      </w:r>
      <w:r w:rsidR="00655A1A" w:rsidRPr="006D2720">
        <w:rPr>
          <w:rFonts w:ascii="Times New Roman" w:hAnsi="Times New Roman" w:cs="Times New Roman"/>
        </w:rPr>
        <w:t xml:space="preserve">below on artificial intelligence, at </w:t>
      </w:r>
      <w:r w:rsidR="00D332F8" w:rsidRPr="006D2720">
        <w:rPr>
          <w:rFonts w:ascii="Times New Roman" w:hAnsi="Times New Roman" w:cs="Times New Roman"/>
        </w:rPr>
        <w:t>[</w:t>
      </w:r>
      <w:r w:rsidR="00EB1E1E" w:rsidRPr="006D2720">
        <w:rPr>
          <w:rFonts w:ascii="Times New Roman" w:hAnsi="Times New Roman" w:cs="Times New Roman"/>
        </w:rPr>
        <w:fldChar w:fldCharType="begin"/>
      </w:r>
      <w:r w:rsidR="00EB1E1E" w:rsidRPr="006D2720">
        <w:rPr>
          <w:rFonts w:ascii="Times New Roman" w:hAnsi="Times New Roman" w:cs="Times New Roman"/>
        </w:rPr>
        <w:instrText xml:space="preserve"> REF _Ref91659614 \r \h </w:instrText>
      </w:r>
      <w:r w:rsidR="00A660A0" w:rsidRPr="006D2720">
        <w:rPr>
          <w:rFonts w:ascii="Times New Roman" w:hAnsi="Times New Roman" w:cs="Times New Roman"/>
        </w:rPr>
        <w:instrText xml:space="preserve"> \* MERGEFORMAT </w:instrText>
      </w:r>
      <w:r w:rsidR="00EB1E1E" w:rsidRPr="006D2720">
        <w:rPr>
          <w:rFonts w:ascii="Times New Roman" w:hAnsi="Times New Roman" w:cs="Times New Roman"/>
        </w:rPr>
      </w:r>
      <w:r w:rsidR="00EB1E1E" w:rsidRPr="006D2720">
        <w:rPr>
          <w:rFonts w:ascii="Times New Roman" w:hAnsi="Times New Roman" w:cs="Times New Roman"/>
        </w:rPr>
        <w:fldChar w:fldCharType="separate"/>
      </w:r>
      <w:r w:rsidR="00E66B60">
        <w:rPr>
          <w:rFonts w:ascii="Times New Roman" w:hAnsi="Times New Roman" w:cs="Times New Roman"/>
        </w:rPr>
        <w:t>2.3.86</w:t>
      </w:r>
      <w:r w:rsidR="00EB1E1E" w:rsidRPr="006D2720">
        <w:rPr>
          <w:rFonts w:ascii="Times New Roman" w:hAnsi="Times New Roman" w:cs="Times New Roman"/>
        </w:rPr>
        <w:fldChar w:fldCharType="end"/>
      </w:r>
      <w:r w:rsidR="00D332F8" w:rsidRPr="006D2720">
        <w:rPr>
          <w:rFonts w:ascii="Times New Roman" w:hAnsi="Times New Roman" w:cs="Times New Roman"/>
        </w:rPr>
        <w:t>]</w:t>
      </w:r>
      <w:r w:rsidR="00655A1A" w:rsidRPr="006D2720">
        <w:rPr>
          <w:rFonts w:ascii="Times New Roman" w:hAnsi="Times New Roman" w:cs="Times New Roman"/>
        </w:rPr>
        <w:t>–</w:t>
      </w:r>
      <w:r w:rsidR="00D332F8" w:rsidRPr="006D2720">
        <w:rPr>
          <w:rFonts w:ascii="Times New Roman" w:hAnsi="Times New Roman" w:cs="Times New Roman"/>
        </w:rPr>
        <w:t>[</w:t>
      </w:r>
      <w:r w:rsidR="00655A1A" w:rsidRPr="006D2720">
        <w:rPr>
          <w:rFonts w:ascii="Times New Roman" w:hAnsi="Times New Roman" w:cs="Times New Roman"/>
        </w:rPr>
        <w:fldChar w:fldCharType="begin"/>
      </w:r>
      <w:r w:rsidR="00655A1A" w:rsidRPr="006D2720">
        <w:rPr>
          <w:rFonts w:ascii="Times New Roman" w:hAnsi="Times New Roman" w:cs="Times New Roman"/>
        </w:rPr>
        <w:instrText xml:space="preserve"> REF _Ref91660118 \r \h </w:instrText>
      </w:r>
      <w:r w:rsidR="00A660A0" w:rsidRPr="006D2720">
        <w:rPr>
          <w:rFonts w:ascii="Times New Roman" w:hAnsi="Times New Roman" w:cs="Times New Roman"/>
        </w:rPr>
        <w:instrText xml:space="preserve"> \* MERGEFORMAT </w:instrText>
      </w:r>
      <w:r w:rsidR="00655A1A" w:rsidRPr="006D2720">
        <w:rPr>
          <w:rFonts w:ascii="Times New Roman" w:hAnsi="Times New Roman" w:cs="Times New Roman"/>
        </w:rPr>
      </w:r>
      <w:r w:rsidR="00655A1A" w:rsidRPr="006D2720">
        <w:rPr>
          <w:rFonts w:ascii="Times New Roman" w:hAnsi="Times New Roman" w:cs="Times New Roman"/>
        </w:rPr>
        <w:fldChar w:fldCharType="separate"/>
      </w:r>
      <w:r w:rsidR="00E66B60">
        <w:rPr>
          <w:rFonts w:ascii="Times New Roman" w:hAnsi="Times New Roman" w:cs="Times New Roman"/>
        </w:rPr>
        <w:t>2.3.90</w:t>
      </w:r>
      <w:r w:rsidR="00655A1A" w:rsidRPr="006D2720">
        <w:rPr>
          <w:rFonts w:ascii="Times New Roman" w:hAnsi="Times New Roman" w:cs="Times New Roman"/>
        </w:rPr>
        <w:fldChar w:fldCharType="end"/>
      </w:r>
      <w:r w:rsidR="00D332F8" w:rsidRPr="006D2720">
        <w:rPr>
          <w:rFonts w:ascii="Times New Roman" w:hAnsi="Times New Roman" w:cs="Times New Roman"/>
        </w:rPr>
        <w:t>]</w:t>
      </w:r>
      <w:r w:rsidR="000A7F9E" w:rsidRPr="006D2720">
        <w:rPr>
          <w:rFonts w:ascii="Times New Roman" w:hAnsi="Times New Roman" w:cs="Times New Roman"/>
        </w:rPr>
        <w:t>)</w:t>
      </w:r>
      <w:r w:rsidRPr="006D2720">
        <w:rPr>
          <w:rFonts w:ascii="Times New Roman" w:hAnsi="Times New Roman" w:cs="Times New Roman"/>
        </w:rPr>
        <w:t>.</w:t>
      </w:r>
      <w:r w:rsidR="35AB85EE" w:rsidRPr="006D2720">
        <w:rPr>
          <w:rFonts w:ascii="Times New Roman" w:hAnsi="Times New Roman" w:cs="Times New Roman"/>
        </w:rPr>
        <w:t xml:space="preserve"> </w:t>
      </w:r>
    </w:p>
    <w:p w14:paraId="69938567" w14:textId="0FB55D2F" w:rsidR="00DD2696" w:rsidRPr="006D2720" w:rsidRDefault="006614D8" w:rsidP="0066337D">
      <w:pPr>
        <w:pStyle w:val="Heading3"/>
        <w:rPr>
          <w:rFonts w:ascii="Times New Roman" w:hAnsi="Times New Roman" w:cs="Times New Roman"/>
        </w:rPr>
      </w:pPr>
      <w:r w:rsidRPr="006D2720">
        <w:rPr>
          <w:rFonts w:ascii="Times New Roman" w:hAnsi="Times New Roman" w:cs="Times New Roman"/>
        </w:rPr>
        <w:t xml:space="preserve">Incorporating a fair and reasonableness standard </w:t>
      </w:r>
      <w:r w:rsidR="009010ED" w:rsidRPr="006D2720">
        <w:rPr>
          <w:rFonts w:ascii="Times New Roman" w:hAnsi="Times New Roman" w:cs="Times New Roman"/>
        </w:rPr>
        <w:t xml:space="preserve">for the collection, use and disclosure of all forms of personal information </w:t>
      </w:r>
      <w:r w:rsidRPr="006D2720">
        <w:rPr>
          <w:rFonts w:ascii="Times New Roman" w:hAnsi="Times New Roman" w:cs="Times New Roman"/>
        </w:rPr>
        <w:t>into the PIPA</w:t>
      </w:r>
      <w:r w:rsidR="009E010C" w:rsidRPr="006D2720">
        <w:rPr>
          <w:rFonts w:ascii="Times New Roman" w:hAnsi="Times New Roman" w:cs="Times New Roman"/>
        </w:rPr>
        <w:t>,</w:t>
      </w:r>
      <w:r w:rsidR="00DD2696" w:rsidRPr="006D2720">
        <w:rPr>
          <w:rFonts w:ascii="Times New Roman" w:hAnsi="Times New Roman" w:cs="Times New Roman"/>
        </w:rPr>
        <w:t xml:space="preserve"> along with a set of </w:t>
      </w:r>
      <w:r w:rsidR="009010ED" w:rsidRPr="006D2720">
        <w:rPr>
          <w:rFonts w:ascii="Times New Roman" w:hAnsi="Times New Roman" w:cs="Times New Roman"/>
        </w:rPr>
        <w:t xml:space="preserve">guiding </w:t>
      </w:r>
      <w:r w:rsidR="00DD2696" w:rsidRPr="006D2720">
        <w:rPr>
          <w:rFonts w:ascii="Times New Roman" w:hAnsi="Times New Roman" w:cs="Times New Roman"/>
        </w:rPr>
        <w:t xml:space="preserve">criteria </w:t>
      </w:r>
      <w:r w:rsidR="009010ED" w:rsidRPr="006D2720">
        <w:rPr>
          <w:rFonts w:ascii="Times New Roman" w:hAnsi="Times New Roman" w:cs="Times New Roman"/>
        </w:rPr>
        <w:t xml:space="preserve">for applying the </w:t>
      </w:r>
      <w:r w:rsidR="0042490F" w:rsidRPr="006D2720">
        <w:rPr>
          <w:rFonts w:ascii="Times New Roman" w:hAnsi="Times New Roman" w:cs="Times New Roman"/>
        </w:rPr>
        <w:t>standard</w:t>
      </w:r>
      <w:r w:rsidR="00DD2696" w:rsidRPr="006D2720">
        <w:rPr>
          <w:rFonts w:ascii="Times New Roman" w:hAnsi="Times New Roman" w:cs="Times New Roman"/>
        </w:rPr>
        <w:t xml:space="preserve">, </w:t>
      </w:r>
      <w:r w:rsidR="009E010C" w:rsidRPr="006D2720">
        <w:rPr>
          <w:rFonts w:ascii="Times New Roman" w:hAnsi="Times New Roman" w:cs="Times New Roman"/>
        </w:rPr>
        <w:t>wou</w:t>
      </w:r>
      <w:r w:rsidR="00D60F28" w:rsidRPr="006D2720">
        <w:rPr>
          <w:rFonts w:ascii="Times New Roman" w:hAnsi="Times New Roman" w:cs="Times New Roman"/>
        </w:rPr>
        <w:t>ld</w:t>
      </w:r>
      <w:r w:rsidR="009E010C" w:rsidRPr="006D2720">
        <w:rPr>
          <w:rFonts w:ascii="Times New Roman" w:hAnsi="Times New Roman" w:cs="Times New Roman"/>
        </w:rPr>
        <w:t xml:space="preserve"> enable </w:t>
      </w:r>
      <w:r w:rsidR="00D60F28" w:rsidRPr="006D2720">
        <w:rPr>
          <w:rFonts w:ascii="Times New Roman" w:hAnsi="Times New Roman" w:cs="Times New Roman"/>
        </w:rPr>
        <w:t xml:space="preserve">Tasmania to regulate the above practices </w:t>
      </w:r>
      <w:r w:rsidR="00DD2696" w:rsidRPr="006D2720">
        <w:rPr>
          <w:rFonts w:ascii="Times New Roman" w:hAnsi="Times New Roman" w:cs="Times New Roman"/>
        </w:rPr>
        <w:t xml:space="preserve">and other emerging privacy risk practices </w:t>
      </w:r>
      <w:r w:rsidR="00D60F28" w:rsidRPr="006D2720">
        <w:rPr>
          <w:rFonts w:ascii="Times New Roman" w:hAnsi="Times New Roman" w:cs="Times New Roman"/>
        </w:rPr>
        <w:t xml:space="preserve">with an approach that aligns with </w:t>
      </w:r>
      <w:r w:rsidR="00DD2696" w:rsidRPr="006D2720">
        <w:rPr>
          <w:rFonts w:ascii="Times New Roman" w:hAnsi="Times New Roman" w:cs="Times New Roman"/>
        </w:rPr>
        <w:t>th</w:t>
      </w:r>
      <w:r w:rsidR="009010ED" w:rsidRPr="006D2720">
        <w:rPr>
          <w:rFonts w:ascii="Times New Roman" w:hAnsi="Times New Roman" w:cs="Times New Roman"/>
        </w:rPr>
        <w:t>ose</w:t>
      </w:r>
      <w:r w:rsidR="00DD2696" w:rsidRPr="006D2720">
        <w:rPr>
          <w:rFonts w:ascii="Times New Roman" w:hAnsi="Times New Roman" w:cs="Times New Roman"/>
        </w:rPr>
        <w:t xml:space="preserve"> in other jurisdictions.</w:t>
      </w:r>
    </w:p>
    <w:p w14:paraId="504C1D08" w14:textId="77777777" w:rsidR="00446C1E" w:rsidRPr="006D2720" w:rsidRDefault="00446C1E">
      <w:pPr>
        <w:rPr>
          <w:rFonts w:ascii="Times New Roman" w:hAnsi="Times New Roman" w:cs="Times New Roman"/>
          <w:b/>
          <w:bCs/>
          <w:i/>
          <w:iCs/>
        </w:rPr>
      </w:pPr>
      <w:r w:rsidRPr="006D2720">
        <w:rPr>
          <w:rFonts w:ascii="Times New Roman" w:hAnsi="Times New Roman" w:cs="Times New Roman"/>
          <w:b/>
          <w:bCs/>
          <w:i/>
          <w:iCs/>
        </w:rPr>
        <w:br w:type="page"/>
      </w:r>
    </w:p>
    <w:p w14:paraId="562C3DF5" w14:textId="68DBB8C4" w:rsidR="00C07DDE" w:rsidRPr="006D2720" w:rsidRDefault="00C07DDE" w:rsidP="00CA1A69">
      <w:pPr>
        <w:keepNext/>
        <w:rPr>
          <w:rFonts w:ascii="Times New Roman" w:hAnsi="Times New Roman" w:cs="Times New Roman"/>
          <w:b/>
          <w:bCs/>
          <w:i/>
          <w:iCs/>
        </w:rPr>
      </w:pPr>
      <w:r w:rsidRPr="006D2720">
        <w:rPr>
          <w:rFonts w:ascii="Times New Roman" w:hAnsi="Times New Roman" w:cs="Times New Roman"/>
          <w:b/>
          <w:bCs/>
          <w:i/>
          <w:iCs/>
        </w:rPr>
        <w:t>Right to object</w:t>
      </w:r>
    </w:p>
    <w:p w14:paraId="675FC0A3" w14:textId="54DFDB39" w:rsidR="00A850BE" w:rsidRPr="006D2720" w:rsidRDefault="001F35B7" w:rsidP="009A279C">
      <w:pPr>
        <w:pStyle w:val="Heading3"/>
        <w:rPr>
          <w:rFonts w:ascii="Times New Roman" w:hAnsi="Times New Roman" w:cs="Times New Roman"/>
        </w:rPr>
      </w:pPr>
      <w:bookmarkStart w:id="295" w:name="_Ref91615725"/>
      <w:r w:rsidRPr="006D2720">
        <w:rPr>
          <w:rFonts w:ascii="Times New Roman" w:hAnsi="Times New Roman" w:cs="Times New Roman"/>
        </w:rPr>
        <w:t>Under art</w:t>
      </w:r>
      <w:r w:rsidR="002761BF" w:rsidRPr="006D2720">
        <w:rPr>
          <w:rFonts w:ascii="Times New Roman" w:hAnsi="Times New Roman" w:cs="Times New Roman"/>
        </w:rPr>
        <w:t>icle</w:t>
      </w:r>
      <w:r w:rsidRPr="006D2720">
        <w:rPr>
          <w:rFonts w:ascii="Times New Roman" w:hAnsi="Times New Roman" w:cs="Times New Roman"/>
        </w:rPr>
        <w:t xml:space="preserve"> 21 of the GDPR, </w:t>
      </w:r>
      <w:r w:rsidR="00A52B51" w:rsidRPr="006D2720">
        <w:rPr>
          <w:rFonts w:ascii="Times New Roman" w:hAnsi="Times New Roman" w:cs="Times New Roman"/>
        </w:rPr>
        <w:t xml:space="preserve">individuals have a right to object to </w:t>
      </w:r>
      <w:r w:rsidR="00027289" w:rsidRPr="006D2720">
        <w:rPr>
          <w:rFonts w:ascii="Times New Roman" w:hAnsi="Times New Roman" w:cs="Times New Roman"/>
        </w:rPr>
        <w:t xml:space="preserve">the </w:t>
      </w:r>
      <w:r w:rsidR="00DE55BB" w:rsidRPr="006D2720">
        <w:rPr>
          <w:rFonts w:ascii="Times New Roman" w:hAnsi="Times New Roman" w:cs="Times New Roman"/>
        </w:rPr>
        <w:t xml:space="preserve">processing </w:t>
      </w:r>
      <w:r w:rsidR="00027289" w:rsidRPr="006D2720">
        <w:rPr>
          <w:rFonts w:ascii="Times New Roman" w:hAnsi="Times New Roman" w:cs="Times New Roman"/>
        </w:rPr>
        <w:t>of their personal information</w:t>
      </w:r>
      <w:r w:rsidR="001F1FB0" w:rsidRPr="006D2720">
        <w:rPr>
          <w:rFonts w:ascii="Times New Roman" w:hAnsi="Times New Roman" w:cs="Times New Roman"/>
        </w:rPr>
        <w:t xml:space="preserve">. This </w:t>
      </w:r>
      <w:r w:rsidR="00406BEF" w:rsidRPr="006D2720">
        <w:rPr>
          <w:rFonts w:ascii="Times New Roman" w:hAnsi="Times New Roman" w:cs="Times New Roman"/>
        </w:rPr>
        <w:t xml:space="preserve">right </w:t>
      </w:r>
      <w:r w:rsidR="00FF652E" w:rsidRPr="006D2720">
        <w:rPr>
          <w:rFonts w:ascii="Times New Roman" w:hAnsi="Times New Roman" w:cs="Times New Roman"/>
        </w:rPr>
        <w:t xml:space="preserve">applies </w:t>
      </w:r>
      <w:r w:rsidR="00406BEF" w:rsidRPr="006D2720">
        <w:rPr>
          <w:rFonts w:ascii="Times New Roman" w:hAnsi="Times New Roman" w:cs="Times New Roman"/>
        </w:rPr>
        <w:t>along</w:t>
      </w:r>
      <w:r w:rsidR="00FF652E" w:rsidRPr="006D2720">
        <w:rPr>
          <w:rFonts w:ascii="Times New Roman" w:hAnsi="Times New Roman" w:cs="Times New Roman"/>
        </w:rPr>
        <w:t>side</w:t>
      </w:r>
      <w:r w:rsidR="00406BEF" w:rsidRPr="006D2720">
        <w:rPr>
          <w:rFonts w:ascii="Times New Roman" w:hAnsi="Times New Roman" w:cs="Times New Roman"/>
        </w:rPr>
        <w:t xml:space="preserve"> fairness and reasonableness requirements </w:t>
      </w:r>
      <w:r w:rsidR="002761BF" w:rsidRPr="006D2720">
        <w:rPr>
          <w:rFonts w:ascii="Times New Roman" w:hAnsi="Times New Roman" w:cs="Times New Roman"/>
        </w:rPr>
        <w:t xml:space="preserve">in circumstances </w:t>
      </w:r>
      <w:r w:rsidR="00406BEF" w:rsidRPr="006D2720">
        <w:rPr>
          <w:rFonts w:ascii="Times New Roman" w:hAnsi="Times New Roman" w:cs="Times New Roman"/>
        </w:rPr>
        <w:t xml:space="preserve">where </w:t>
      </w:r>
      <w:r w:rsidR="00222A55" w:rsidRPr="006D2720">
        <w:rPr>
          <w:rFonts w:ascii="Times New Roman" w:hAnsi="Times New Roman" w:cs="Times New Roman"/>
        </w:rPr>
        <w:t xml:space="preserve">there is no requirement for an individual to </w:t>
      </w:r>
      <w:r w:rsidR="00406BEF" w:rsidRPr="006D2720">
        <w:rPr>
          <w:rFonts w:ascii="Times New Roman" w:hAnsi="Times New Roman" w:cs="Times New Roman"/>
        </w:rPr>
        <w:t xml:space="preserve">consent </w:t>
      </w:r>
      <w:r w:rsidR="000C0DAA" w:rsidRPr="006D2720">
        <w:rPr>
          <w:rFonts w:ascii="Times New Roman" w:hAnsi="Times New Roman" w:cs="Times New Roman"/>
        </w:rPr>
        <w:t>to the collection and use of the</w:t>
      </w:r>
      <w:r w:rsidR="00222A55" w:rsidRPr="006D2720">
        <w:rPr>
          <w:rFonts w:ascii="Times New Roman" w:hAnsi="Times New Roman" w:cs="Times New Roman"/>
        </w:rPr>
        <w:t>ir</w:t>
      </w:r>
      <w:r w:rsidR="000C0DAA" w:rsidRPr="006D2720">
        <w:rPr>
          <w:rFonts w:ascii="Times New Roman" w:hAnsi="Times New Roman" w:cs="Times New Roman"/>
        </w:rPr>
        <w:t xml:space="preserve"> information.</w:t>
      </w:r>
      <w:bookmarkEnd w:id="295"/>
      <w:r w:rsidR="000C0DAA" w:rsidRPr="006D2720">
        <w:rPr>
          <w:rFonts w:ascii="Times New Roman" w:hAnsi="Times New Roman" w:cs="Times New Roman"/>
        </w:rPr>
        <w:t xml:space="preserve"> </w:t>
      </w:r>
    </w:p>
    <w:p w14:paraId="50A73C63" w14:textId="5AD96BE3" w:rsidR="007E1A80" w:rsidRPr="006D2720" w:rsidRDefault="007E1A80" w:rsidP="009A279C">
      <w:pPr>
        <w:pStyle w:val="Heading3"/>
        <w:rPr>
          <w:rFonts w:ascii="Times New Roman" w:hAnsi="Times New Roman" w:cs="Times New Roman"/>
        </w:rPr>
      </w:pPr>
      <w:r w:rsidRPr="006D2720">
        <w:rPr>
          <w:rFonts w:ascii="Times New Roman" w:hAnsi="Times New Roman" w:cs="Times New Roman"/>
        </w:rPr>
        <w:t xml:space="preserve">Once an objection is </w:t>
      </w:r>
      <w:r w:rsidR="008B5122" w:rsidRPr="006D2720">
        <w:rPr>
          <w:rFonts w:ascii="Times New Roman" w:hAnsi="Times New Roman" w:cs="Times New Roman"/>
        </w:rPr>
        <w:t xml:space="preserve">raised, </w:t>
      </w:r>
      <w:r w:rsidR="00DE55BB" w:rsidRPr="006D2720">
        <w:rPr>
          <w:rFonts w:ascii="Times New Roman" w:hAnsi="Times New Roman" w:cs="Times New Roman"/>
        </w:rPr>
        <w:t>processing</w:t>
      </w:r>
      <w:r w:rsidR="00794CC9" w:rsidRPr="006D2720">
        <w:rPr>
          <w:rFonts w:ascii="Times New Roman" w:hAnsi="Times New Roman" w:cs="Times New Roman"/>
        </w:rPr>
        <w:t xml:space="preserve"> of the data must cease unless an exception applies</w:t>
      </w:r>
      <w:r w:rsidR="00665E12" w:rsidRPr="006D2720">
        <w:rPr>
          <w:rFonts w:ascii="Times New Roman" w:hAnsi="Times New Roman" w:cs="Times New Roman"/>
        </w:rPr>
        <w:t xml:space="preserve">. </w:t>
      </w:r>
      <w:r w:rsidR="009867BC" w:rsidRPr="006D2720">
        <w:rPr>
          <w:rFonts w:ascii="Times New Roman" w:hAnsi="Times New Roman" w:cs="Times New Roman"/>
        </w:rPr>
        <w:t xml:space="preserve">The applicability of the two </w:t>
      </w:r>
      <w:r w:rsidR="00665E12" w:rsidRPr="006D2720">
        <w:rPr>
          <w:rFonts w:ascii="Times New Roman" w:hAnsi="Times New Roman" w:cs="Times New Roman"/>
        </w:rPr>
        <w:t>exceptions depend on why the data was lawfully collected without the individual’s consent in the first place</w:t>
      </w:r>
      <w:r w:rsidR="009867BC" w:rsidRPr="006D2720">
        <w:rPr>
          <w:rFonts w:ascii="Times New Roman" w:hAnsi="Times New Roman" w:cs="Times New Roman"/>
        </w:rPr>
        <w:t>, as set out below</w:t>
      </w:r>
      <w:r w:rsidR="00665E12" w:rsidRPr="006D2720">
        <w:rPr>
          <w:rFonts w:ascii="Times New Roman" w:hAnsi="Times New Roman" w:cs="Times New Roman"/>
        </w:rPr>
        <w:t>.</w:t>
      </w:r>
    </w:p>
    <w:p w14:paraId="23D16281" w14:textId="13C51402" w:rsidR="00665E12" w:rsidRPr="006D2720" w:rsidRDefault="00665E12" w:rsidP="00665E12">
      <w:pPr>
        <w:pStyle w:val="Dotpointlist"/>
        <w:rPr>
          <w:rFonts w:ascii="Times New Roman" w:hAnsi="Times New Roman" w:cs="Times New Roman"/>
        </w:rPr>
      </w:pPr>
      <w:r w:rsidRPr="006D2720">
        <w:rPr>
          <w:rFonts w:ascii="Times New Roman" w:hAnsi="Times New Roman" w:cs="Times New Roman"/>
        </w:rPr>
        <w:t>If the collection was</w:t>
      </w:r>
      <w:r w:rsidR="004019C8" w:rsidRPr="006D2720">
        <w:rPr>
          <w:rFonts w:ascii="Times New Roman" w:hAnsi="Times New Roman" w:cs="Times New Roman"/>
        </w:rPr>
        <w:t xml:space="preserve"> done</w:t>
      </w:r>
      <w:r w:rsidRPr="006D2720">
        <w:rPr>
          <w:rFonts w:ascii="Times New Roman" w:hAnsi="Times New Roman" w:cs="Times New Roman"/>
        </w:rPr>
        <w:t xml:space="preserve"> in the public interest or was an exercise of lawful authority, </w:t>
      </w:r>
      <w:r w:rsidR="002F060A" w:rsidRPr="006D2720">
        <w:rPr>
          <w:rFonts w:ascii="Times New Roman" w:hAnsi="Times New Roman" w:cs="Times New Roman"/>
        </w:rPr>
        <w:t xml:space="preserve">the entity must stop </w:t>
      </w:r>
      <w:r w:rsidR="00725620" w:rsidRPr="006D2720">
        <w:rPr>
          <w:rFonts w:ascii="Times New Roman" w:hAnsi="Times New Roman" w:cs="Times New Roman"/>
        </w:rPr>
        <w:t>processing</w:t>
      </w:r>
      <w:r w:rsidR="002F060A" w:rsidRPr="006D2720">
        <w:rPr>
          <w:rFonts w:ascii="Times New Roman" w:hAnsi="Times New Roman" w:cs="Times New Roman"/>
        </w:rPr>
        <w:t xml:space="preserve"> the data </w:t>
      </w:r>
      <w:r w:rsidRPr="006D2720">
        <w:rPr>
          <w:rFonts w:ascii="Times New Roman" w:hAnsi="Times New Roman" w:cs="Times New Roman"/>
        </w:rPr>
        <w:t xml:space="preserve">unless it is being used in relation to legal claims or </w:t>
      </w:r>
      <w:r w:rsidR="00871E40" w:rsidRPr="006D2720">
        <w:rPr>
          <w:rFonts w:ascii="Times New Roman" w:hAnsi="Times New Roman" w:cs="Times New Roman"/>
        </w:rPr>
        <w:t xml:space="preserve">if there </w:t>
      </w:r>
      <w:r w:rsidRPr="006D2720">
        <w:rPr>
          <w:rFonts w:ascii="Times New Roman" w:hAnsi="Times New Roman" w:cs="Times New Roman"/>
        </w:rPr>
        <w:t>are compelling legitimate grounds</w:t>
      </w:r>
      <w:r w:rsidR="0011728E" w:rsidRPr="006D2720">
        <w:rPr>
          <w:rFonts w:ascii="Times New Roman" w:hAnsi="Times New Roman" w:cs="Times New Roman"/>
        </w:rPr>
        <w:t xml:space="preserve"> for processing the information—grounds which </w:t>
      </w:r>
      <w:r w:rsidR="00871E40" w:rsidRPr="006D2720">
        <w:rPr>
          <w:rFonts w:ascii="Times New Roman" w:hAnsi="Times New Roman" w:cs="Times New Roman"/>
        </w:rPr>
        <w:t>outweigh the interests, rights and freedoms of the individual</w:t>
      </w:r>
      <w:r w:rsidRPr="006D2720">
        <w:rPr>
          <w:rFonts w:ascii="Times New Roman" w:hAnsi="Times New Roman" w:cs="Times New Roman"/>
        </w:rPr>
        <w:t>.</w:t>
      </w:r>
    </w:p>
    <w:p w14:paraId="556C59DD" w14:textId="514C27C8" w:rsidR="00F41E86" w:rsidRPr="006D2720" w:rsidRDefault="00F41E86" w:rsidP="00CA1A69">
      <w:pPr>
        <w:pStyle w:val="Dotpointlist"/>
        <w:rPr>
          <w:rFonts w:ascii="Times New Roman" w:hAnsi="Times New Roman" w:cs="Times New Roman"/>
        </w:rPr>
      </w:pPr>
      <w:r w:rsidRPr="006D2720">
        <w:rPr>
          <w:rFonts w:ascii="Times New Roman" w:hAnsi="Times New Roman" w:cs="Times New Roman"/>
        </w:rPr>
        <w:t>If the collection was for scientific, historical research or statistical purposes</w:t>
      </w:r>
      <w:r w:rsidR="00354FA1" w:rsidRPr="006D2720">
        <w:rPr>
          <w:rFonts w:ascii="Times New Roman" w:hAnsi="Times New Roman" w:cs="Times New Roman"/>
        </w:rPr>
        <w:t>,</w:t>
      </w:r>
      <w:r w:rsidR="0011728E" w:rsidRPr="006D2720">
        <w:rPr>
          <w:rFonts w:ascii="Times New Roman" w:hAnsi="Times New Roman" w:cs="Times New Roman"/>
        </w:rPr>
        <w:t xml:space="preserve"> the entity must stop processing the data</w:t>
      </w:r>
      <w:r w:rsidR="00FF4ADA" w:rsidRPr="006D2720">
        <w:rPr>
          <w:rFonts w:ascii="Times New Roman" w:hAnsi="Times New Roman" w:cs="Times New Roman"/>
        </w:rPr>
        <w:t>,</w:t>
      </w:r>
      <w:r w:rsidR="0011728E" w:rsidRPr="006D2720">
        <w:rPr>
          <w:rFonts w:ascii="Times New Roman" w:hAnsi="Times New Roman" w:cs="Times New Roman"/>
        </w:rPr>
        <w:t xml:space="preserve"> unless the processing is necessary for performing a task that is carried out for public interest reasons. </w:t>
      </w:r>
    </w:p>
    <w:p w14:paraId="53E737ED" w14:textId="1F9A5530" w:rsidR="001F35B7" w:rsidRPr="006D2720" w:rsidRDefault="00F334C4" w:rsidP="0066337D">
      <w:pPr>
        <w:pStyle w:val="Heading3"/>
        <w:rPr>
          <w:rFonts w:ascii="Times New Roman" w:hAnsi="Times New Roman" w:cs="Times New Roman"/>
        </w:rPr>
      </w:pPr>
      <w:r w:rsidRPr="006D2720">
        <w:rPr>
          <w:rFonts w:ascii="Times New Roman" w:hAnsi="Times New Roman" w:cs="Times New Roman"/>
        </w:rPr>
        <w:t>The GDPR also expressly addresses the situation where information is processed for direct marketing purposes</w:t>
      </w:r>
      <w:r w:rsidR="001B2C8A" w:rsidRPr="006D2720">
        <w:rPr>
          <w:rFonts w:ascii="Times New Roman" w:hAnsi="Times New Roman" w:cs="Times New Roman"/>
        </w:rPr>
        <w:t>, and</w:t>
      </w:r>
      <w:r w:rsidRPr="006D2720">
        <w:rPr>
          <w:rFonts w:ascii="Times New Roman" w:hAnsi="Times New Roman" w:cs="Times New Roman"/>
        </w:rPr>
        <w:t xml:space="preserve"> </w:t>
      </w:r>
      <w:r w:rsidR="00892B9F" w:rsidRPr="006D2720">
        <w:rPr>
          <w:rFonts w:ascii="Times New Roman" w:hAnsi="Times New Roman" w:cs="Times New Roman"/>
        </w:rPr>
        <w:t>allows</w:t>
      </w:r>
      <w:r w:rsidRPr="006D2720">
        <w:rPr>
          <w:rFonts w:ascii="Times New Roman" w:hAnsi="Times New Roman" w:cs="Times New Roman"/>
        </w:rPr>
        <w:t xml:space="preserve"> </w:t>
      </w:r>
      <w:r w:rsidR="00A93388" w:rsidRPr="006D2720">
        <w:rPr>
          <w:rFonts w:ascii="Times New Roman" w:hAnsi="Times New Roman" w:cs="Times New Roman"/>
        </w:rPr>
        <w:t xml:space="preserve">individuals </w:t>
      </w:r>
      <w:r w:rsidR="00892B9F" w:rsidRPr="006D2720">
        <w:rPr>
          <w:rFonts w:ascii="Times New Roman" w:hAnsi="Times New Roman" w:cs="Times New Roman"/>
        </w:rPr>
        <w:t xml:space="preserve">to </w:t>
      </w:r>
      <w:r w:rsidR="00D66676" w:rsidRPr="006D2720">
        <w:rPr>
          <w:rFonts w:ascii="Times New Roman" w:hAnsi="Times New Roman" w:cs="Times New Roman"/>
        </w:rPr>
        <w:t xml:space="preserve">object at any time to </w:t>
      </w:r>
      <w:r w:rsidR="001B2C8A" w:rsidRPr="006D2720">
        <w:rPr>
          <w:rFonts w:ascii="Times New Roman" w:hAnsi="Times New Roman" w:cs="Times New Roman"/>
        </w:rPr>
        <w:t>such</w:t>
      </w:r>
      <w:r w:rsidR="003D45A2" w:rsidRPr="006D2720">
        <w:rPr>
          <w:rFonts w:ascii="Times New Roman" w:hAnsi="Times New Roman" w:cs="Times New Roman"/>
        </w:rPr>
        <w:t xml:space="preserve"> </w:t>
      </w:r>
      <w:r w:rsidR="00D66676" w:rsidRPr="006D2720">
        <w:rPr>
          <w:rFonts w:ascii="Times New Roman" w:hAnsi="Times New Roman" w:cs="Times New Roman"/>
        </w:rPr>
        <w:t>use of their personal data</w:t>
      </w:r>
      <w:r w:rsidR="003D45A2" w:rsidRPr="006D2720">
        <w:rPr>
          <w:rFonts w:ascii="Times New Roman" w:hAnsi="Times New Roman" w:cs="Times New Roman"/>
        </w:rPr>
        <w:t>. Once</w:t>
      </w:r>
      <w:r w:rsidR="00D66676" w:rsidRPr="006D2720">
        <w:rPr>
          <w:rFonts w:ascii="Times New Roman" w:hAnsi="Times New Roman" w:cs="Times New Roman"/>
        </w:rPr>
        <w:t xml:space="preserve"> notified, </w:t>
      </w:r>
      <w:r w:rsidR="00592616" w:rsidRPr="006D2720">
        <w:rPr>
          <w:rFonts w:ascii="Times New Roman" w:hAnsi="Times New Roman" w:cs="Times New Roman"/>
        </w:rPr>
        <w:t xml:space="preserve">the entity </w:t>
      </w:r>
      <w:r w:rsidR="003D7640" w:rsidRPr="006D2720">
        <w:rPr>
          <w:rFonts w:ascii="Times New Roman" w:hAnsi="Times New Roman" w:cs="Times New Roman"/>
        </w:rPr>
        <w:t>must</w:t>
      </w:r>
      <w:r w:rsidR="00592616" w:rsidRPr="006D2720">
        <w:rPr>
          <w:rFonts w:ascii="Times New Roman" w:hAnsi="Times New Roman" w:cs="Times New Roman"/>
        </w:rPr>
        <w:t xml:space="preserve"> </w:t>
      </w:r>
      <w:r w:rsidR="007C71DA" w:rsidRPr="006D2720">
        <w:rPr>
          <w:rFonts w:ascii="Times New Roman" w:hAnsi="Times New Roman" w:cs="Times New Roman"/>
        </w:rPr>
        <w:t>stop</w:t>
      </w:r>
      <w:r w:rsidR="00592616" w:rsidRPr="006D2720">
        <w:rPr>
          <w:rFonts w:ascii="Times New Roman" w:hAnsi="Times New Roman" w:cs="Times New Roman"/>
        </w:rPr>
        <w:t xml:space="preserve"> using the data </w:t>
      </w:r>
      <w:r w:rsidR="003D45A2" w:rsidRPr="006D2720">
        <w:rPr>
          <w:rFonts w:ascii="Times New Roman" w:hAnsi="Times New Roman" w:cs="Times New Roman"/>
        </w:rPr>
        <w:t>in this way</w:t>
      </w:r>
      <w:r w:rsidR="00856DC2" w:rsidRPr="006D2720">
        <w:rPr>
          <w:rFonts w:ascii="Times New Roman" w:hAnsi="Times New Roman" w:cs="Times New Roman"/>
        </w:rPr>
        <w:t>.</w:t>
      </w:r>
    </w:p>
    <w:p w14:paraId="660BA281" w14:textId="4CE0B012" w:rsidR="008B251E" w:rsidRPr="006D2720" w:rsidRDefault="006C623E" w:rsidP="0066337D">
      <w:pPr>
        <w:pStyle w:val="Heading3"/>
        <w:rPr>
          <w:rFonts w:ascii="Times New Roman" w:hAnsi="Times New Roman" w:cs="Times New Roman"/>
        </w:rPr>
      </w:pPr>
      <w:r w:rsidRPr="006D2720">
        <w:rPr>
          <w:rFonts w:ascii="Times New Roman" w:hAnsi="Times New Roman" w:cs="Times New Roman"/>
        </w:rPr>
        <w:t xml:space="preserve">In its submission to the </w:t>
      </w:r>
      <w:r w:rsidR="009867BC" w:rsidRPr="006D2720">
        <w:rPr>
          <w:rFonts w:ascii="Times New Roman" w:hAnsi="Times New Roman" w:cs="Times New Roman"/>
        </w:rPr>
        <w:t xml:space="preserve">Privacy Act </w:t>
      </w:r>
      <w:r w:rsidRPr="006D2720">
        <w:rPr>
          <w:rFonts w:ascii="Times New Roman" w:hAnsi="Times New Roman" w:cs="Times New Roman"/>
        </w:rPr>
        <w:t xml:space="preserve">review, the </w:t>
      </w:r>
      <w:r w:rsidR="008B251E" w:rsidRPr="006D2720">
        <w:rPr>
          <w:rFonts w:ascii="Times New Roman" w:hAnsi="Times New Roman" w:cs="Times New Roman"/>
        </w:rPr>
        <w:t>OAIC</w:t>
      </w:r>
      <w:r w:rsidRPr="006D2720">
        <w:rPr>
          <w:rFonts w:ascii="Times New Roman" w:hAnsi="Times New Roman" w:cs="Times New Roman"/>
        </w:rPr>
        <w:t xml:space="preserve"> </w:t>
      </w:r>
      <w:r w:rsidR="008B251E" w:rsidRPr="006D2720">
        <w:rPr>
          <w:rFonts w:ascii="Times New Roman" w:hAnsi="Times New Roman" w:cs="Times New Roman"/>
        </w:rPr>
        <w:t xml:space="preserve">recommended </w:t>
      </w:r>
      <w:r w:rsidR="00127F76" w:rsidRPr="006D2720">
        <w:rPr>
          <w:rFonts w:ascii="Times New Roman" w:hAnsi="Times New Roman" w:cs="Times New Roman"/>
        </w:rPr>
        <w:t xml:space="preserve">that </w:t>
      </w:r>
      <w:r w:rsidR="003B7A14" w:rsidRPr="006D2720">
        <w:rPr>
          <w:rFonts w:ascii="Times New Roman" w:hAnsi="Times New Roman" w:cs="Times New Roman"/>
        </w:rPr>
        <w:t xml:space="preserve">the </w:t>
      </w:r>
      <w:r w:rsidR="009867BC" w:rsidRPr="006D2720">
        <w:rPr>
          <w:rFonts w:ascii="Times New Roman" w:hAnsi="Times New Roman" w:cs="Times New Roman"/>
        </w:rPr>
        <w:t>Act</w:t>
      </w:r>
      <w:r w:rsidR="00127F76" w:rsidRPr="006D2720">
        <w:rPr>
          <w:rFonts w:ascii="Times New Roman" w:hAnsi="Times New Roman" w:cs="Times New Roman"/>
        </w:rPr>
        <w:t xml:space="preserve"> adopt </w:t>
      </w:r>
      <w:r w:rsidR="008B251E" w:rsidRPr="006D2720">
        <w:rPr>
          <w:rFonts w:ascii="Times New Roman" w:hAnsi="Times New Roman" w:cs="Times New Roman"/>
        </w:rPr>
        <w:t xml:space="preserve">a </w:t>
      </w:r>
      <w:r w:rsidR="00347CC5" w:rsidRPr="006D2720">
        <w:rPr>
          <w:rFonts w:ascii="Times New Roman" w:hAnsi="Times New Roman" w:cs="Times New Roman"/>
        </w:rPr>
        <w:t xml:space="preserve">similar </w:t>
      </w:r>
      <w:r w:rsidR="008B251E" w:rsidRPr="006D2720">
        <w:rPr>
          <w:rFonts w:ascii="Times New Roman" w:hAnsi="Times New Roman" w:cs="Times New Roman"/>
        </w:rPr>
        <w:t>right to object</w:t>
      </w:r>
      <w:r w:rsidR="008059E8" w:rsidRPr="006D2720">
        <w:rPr>
          <w:rFonts w:ascii="Times New Roman" w:hAnsi="Times New Roman" w:cs="Times New Roman"/>
        </w:rPr>
        <w:t xml:space="preserve">. This complemented </w:t>
      </w:r>
      <w:r w:rsidR="008B251E" w:rsidRPr="006D2720">
        <w:rPr>
          <w:rFonts w:ascii="Times New Roman" w:hAnsi="Times New Roman" w:cs="Times New Roman"/>
        </w:rPr>
        <w:t xml:space="preserve">its recommendation to repeal APP 7 </w:t>
      </w:r>
      <w:r w:rsidR="005B70A7" w:rsidRPr="006D2720">
        <w:rPr>
          <w:rFonts w:ascii="Times New Roman" w:hAnsi="Times New Roman" w:cs="Times New Roman"/>
        </w:rPr>
        <w:t xml:space="preserve">on </w:t>
      </w:r>
      <w:r w:rsidR="008B251E" w:rsidRPr="006D2720">
        <w:rPr>
          <w:rFonts w:ascii="Times New Roman" w:hAnsi="Times New Roman" w:cs="Times New Roman"/>
        </w:rPr>
        <w:t>direct marketing</w:t>
      </w:r>
      <w:r w:rsidR="00347CC5" w:rsidRPr="006D2720">
        <w:rPr>
          <w:rFonts w:ascii="Times New Roman" w:hAnsi="Times New Roman" w:cs="Times New Roman"/>
        </w:rPr>
        <w:t>.</w:t>
      </w:r>
      <w:r w:rsidR="00347CC5" w:rsidRPr="006D2720">
        <w:rPr>
          <w:rStyle w:val="FootnoteReference"/>
          <w:rFonts w:ascii="Times New Roman" w:hAnsi="Times New Roman" w:cs="Times New Roman"/>
        </w:rPr>
        <w:footnoteReference w:id="205"/>
      </w:r>
      <w:r w:rsidR="0023322C" w:rsidRPr="006D2720">
        <w:rPr>
          <w:rFonts w:ascii="Times New Roman" w:hAnsi="Times New Roman" w:cs="Times New Roman"/>
        </w:rPr>
        <w:t xml:space="preserve"> </w:t>
      </w:r>
    </w:p>
    <w:p w14:paraId="4238D70A" w14:textId="6B945D51" w:rsidR="00BC7421" w:rsidRPr="006D2720" w:rsidRDefault="00BC7421" w:rsidP="009A279C">
      <w:pPr>
        <w:pStyle w:val="Heading3"/>
        <w:rPr>
          <w:rFonts w:ascii="Times New Roman" w:hAnsi="Times New Roman" w:cs="Times New Roman"/>
        </w:rPr>
      </w:pPr>
      <w:bookmarkStart w:id="296" w:name="_Ref91615727"/>
      <w:r w:rsidRPr="006D2720">
        <w:rPr>
          <w:rFonts w:ascii="Times New Roman" w:hAnsi="Times New Roman" w:cs="Times New Roman"/>
        </w:rPr>
        <w:t xml:space="preserve">If incorporated into </w:t>
      </w:r>
      <w:r w:rsidR="005B7992" w:rsidRPr="006D2720">
        <w:rPr>
          <w:rFonts w:ascii="Times New Roman" w:hAnsi="Times New Roman" w:cs="Times New Roman"/>
        </w:rPr>
        <w:t xml:space="preserve">the </w:t>
      </w:r>
      <w:r w:rsidR="00A43846" w:rsidRPr="006D2720">
        <w:rPr>
          <w:rFonts w:ascii="Times New Roman" w:hAnsi="Times New Roman" w:cs="Times New Roman"/>
        </w:rPr>
        <w:t xml:space="preserve">PIPA, a </w:t>
      </w:r>
      <w:r w:rsidR="00BC4B08" w:rsidRPr="006D2720">
        <w:rPr>
          <w:rFonts w:ascii="Times New Roman" w:hAnsi="Times New Roman" w:cs="Times New Roman"/>
        </w:rPr>
        <w:t xml:space="preserve">general </w:t>
      </w:r>
      <w:r w:rsidR="00A43846" w:rsidRPr="006D2720">
        <w:rPr>
          <w:rFonts w:ascii="Times New Roman" w:hAnsi="Times New Roman" w:cs="Times New Roman"/>
        </w:rPr>
        <w:t xml:space="preserve">right to object </w:t>
      </w:r>
      <w:r w:rsidRPr="006D2720">
        <w:rPr>
          <w:rFonts w:ascii="Times New Roman" w:hAnsi="Times New Roman" w:cs="Times New Roman"/>
        </w:rPr>
        <w:t>could apply to a range of situations, including</w:t>
      </w:r>
      <w:r w:rsidR="00555DC0" w:rsidRPr="006D2720">
        <w:rPr>
          <w:rFonts w:ascii="Times New Roman" w:hAnsi="Times New Roman" w:cs="Times New Roman"/>
        </w:rPr>
        <w:t xml:space="preserve"> any use of personal information for direct marketing by non-government bodies. </w:t>
      </w:r>
      <w:r w:rsidR="00464DC2" w:rsidRPr="006D2720">
        <w:rPr>
          <w:rFonts w:ascii="Times New Roman" w:hAnsi="Times New Roman" w:cs="Times New Roman"/>
        </w:rPr>
        <w:t>It would also allow individuals to object where government entit</w:t>
      </w:r>
      <w:r w:rsidR="00D67189" w:rsidRPr="006D2720">
        <w:rPr>
          <w:rFonts w:ascii="Times New Roman" w:hAnsi="Times New Roman" w:cs="Times New Roman"/>
        </w:rPr>
        <w:t>i</w:t>
      </w:r>
      <w:r w:rsidR="00464DC2" w:rsidRPr="006D2720">
        <w:rPr>
          <w:rFonts w:ascii="Times New Roman" w:hAnsi="Times New Roman" w:cs="Times New Roman"/>
        </w:rPr>
        <w:t>es have collected information from a source other than the individual concerned</w:t>
      </w:r>
      <w:r w:rsidR="00C73C97" w:rsidRPr="006D2720">
        <w:rPr>
          <w:rFonts w:ascii="Times New Roman" w:hAnsi="Times New Roman" w:cs="Times New Roman"/>
        </w:rPr>
        <w:t xml:space="preserve">, without the individual’s consent. For example, </w:t>
      </w:r>
      <w:r w:rsidR="001952BD" w:rsidRPr="006D2720">
        <w:rPr>
          <w:rFonts w:ascii="Times New Roman" w:hAnsi="Times New Roman" w:cs="Times New Roman"/>
        </w:rPr>
        <w:t>where the government is using profiles of individuals based on information about their previous choices or browsing habits.</w:t>
      </w:r>
      <w:r w:rsidR="009A4960" w:rsidRPr="006D2720">
        <w:rPr>
          <w:rFonts w:ascii="Times New Roman" w:hAnsi="Times New Roman" w:cs="Times New Roman"/>
        </w:rPr>
        <w:t xml:space="preserve"> If </w:t>
      </w:r>
      <w:r w:rsidR="00E54AD3" w:rsidRPr="006D2720">
        <w:rPr>
          <w:rFonts w:ascii="Times New Roman" w:hAnsi="Times New Roman" w:cs="Times New Roman"/>
        </w:rPr>
        <w:t>an objection is raised, the entity would</w:t>
      </w:r>
      <w:r w:rsidR="00B14359" w:rsidRPr="006D2720">
        <w:rPr>
          <w:rFonts w:ascii="Times New Roman" w:hAnsi="Times New Roman" w:cs="Times New Roman"/>
        </w:rPr>
        <w:t xml:space="preserve"> then</w:t>
      </w:r>
      <w:r w:rsidR="00E54AD3" w:rsidRPr="006D2720">
        <w:rPr>
          <w:rFonts w:ascii="Times New Roman" w:hAnsi="Times New Roman" w:cs="Times New Roman"/>
        </w:rPr>
        <w:t xml:space="preserve"> need to identify a compelling legitimate </w:t>
      </w:r>
      <w:r w:rsidR="00FC073A" w:rsidRPr="006D2720">
        <w:rPr>
          <w:rFonts w:ascii="Times New Roman" w:hAnsi="Times New Roman" w:cs="Times New Roman"/>
        </w:rPr>
        <w:t>reason</w:t>
      </w:r>
      <w:r w:rsidR="00E54AD3" w:rsidRPr="006D2720">
        <w:rPr>
          <w:rFonts w:ascii="Times New Roman" w:hAnsi="Times New Roman" w:cs="Times New Roman"/>
        </w:rPr>
        <w:t xml:space="preserve"> before it could continue</w:t>
      </w:r>
      <w:r w:rsidR="00C3393A" w:rsidRPr="006D2720">
        <w:rPr>
          <w:rFonts w:ascii="Times New Roman" w:hAnsi="Times New Roman" w:cs="Times New Roman"/>
        </w:rPr>
        <w:t xml:space="preserve"> using the information</w:t>
      </w:r>
      <w:r w:rsidR="00270BC1" w:rsidRPr="006D2720">
        <w:rPr>
          <w:rFonts w:ascii="Times New Roman" w:hAnsi="Times New Roman" w:cs="Times New Roman"/>
        </w:rPr>
        <w:t>.</w:t>
      </w:r>
      <w:bookmarkEnd w:id="296"/>
      <w:r w:rsidR="00270BC1" w:rsidRPr="006D2720">
        <w:rPr>
          <w:rFonts w:ascii="Times New Roman" w:hAnsi="Times New Roman" w:cs="Times New Roman"/>
        </w:rPr>
        <w:t xml:space="preserve"> </w:t>
      </w:r>
    </w:p>
    <w:p w14:paraId="4CD407C0" w14:textId="0A046431" w:rsidR="002F6031" w:rsidRPr="006D2720" w:rsidRDefault="002F6031" w:rsidP="001C7CC5">
      <w:pPr>
        <w:rPr>
          <w:rFonts w:ascii="Times New Roman" w:hAnsi="Times New Roman" w:cs="Times New Roman"/>
          <w:b/>
          <w:bCs/>
          <w:i/>
          <w:iCs/>
        </w:rPr>
      </w:pPr>
      <w:r w:rsidRPr="006D2720">
        <w:rPr>
          <w:rFonts w:ascii="Times New Roman" w:hAnsi="Times New Roman" w:cs="Times New Roman"/>
          <w:b/>
          <w:bCs/>
          <w:i/>
          <w:iCs/>
        </w:rPr>
        <w:t xml:space="preserve">Right </w:t>
      </w:r>
      <w:r w:rsidR="00514816" w:rsidRPr="006D2720">
        <w:rPr>
          <w:rFonts w:ascii="Times New Roman" w:hAnsi="Times New Roman" w:cs="Times New Roman"/>
          <w:b/>
          <w:bCs/>
          <w:i/>
          <w:iCs/>
        </w:rPr>
        <w:t>of erasure</w:t>
      </w:r>
    </w:p>
    <w:p w14:paraId="42921E88" w14:textId="10B79639" w:rsidR="0020322A" w:rsidRPr="006D2720" w:rsidRDefault="00997140" w:rsidP="002F6031">
      <w:pPr>
        <w:pStyle w:val="Heading3"/>
        <w:rPr>
          <w:rFonts w:ascii="Times New Roman" w:hAnsi="Times New Roman" w:cs="Times New Roman"/>
        </w:rPr>
      </w:pPr>
      <w:r w:rsidRPr="006D2720">
        <w:rPr>
          <w:rFonts w:ascii="Times New Roman" w:hAnsi="Times New Roman" w:cs="Times New Roman"/>
        </w:rPr>
        <w:t>Under the GDPR, the right to object complements the right to erasure</w:t>
      </w:r>
      <w:r w:rsidR="007C6273" w:rsidRPr="006D2720">
        <w:rPr>
          <w:rFonts w:ascii="Times New Roman" w:hAnsi="Times New Roman" w:cs="Times New Roman"/>
        </w:rPr>
        <w:t>, otherwise known as a ‘right to be forgotten’</w:t>
      </w:r>
      <w:r w:rsidRPr="006D2720">
        <w:rPr>
          <w:rFonts w:ascii="Times New Roman" w:hAnsi="Times New Roman" w:cs="Times New Roman"/>
        </w:rPr>
        <w:t xml:space="preserve">. </w:t>
      </w:r>
      <w:r w:rsidR="002F6031" w:rsidRPr="006D2720">
        <w:rPr>
          <w:rFonts w:ascii="Times New Roman" w:hAnsi="Times New Roman" w:cs="Times New Roman"/>
        </w:rPr>
        <w:t xml:space="preserve">Article 17 of the GDPR provides for </w:t>
      </w:r>
      <w:r w:rsidR="00B75203" w:rsidRPr="006D2720">
        <w:rPr>
          <w:rFonts w:ascii="Times New Roman" w:hAnsi="Times New Roman" w:cs="Times New Roman"/>
        </w:rPr>
        <w:t xml:space="preserve">this </w:t>
      </w:r>
      <w:r w:rsidR="002F6031" w:rsidRPr="006D2720">
        <w:rPr>
          <w:rFonts w:ascii="Times New Roman" w:hAnsi="Times New Roman" w:cs="Times New Roman"/>
        </w:rPr>
        <w:t>‘right to be forgotten’</w:t>
      </w:r>
      <w:r w:rsidR="00031973" w:rsidRPr="006D2720">
        <w:rPr>
          <w:rFonts w:ascii="Times New Roman" w:hAnsi="Times New Roman" w:cs="Times New Roman"/>
        </w:rPr>
        <w:t xml:space="preserve"> in some circumstances</w:t>
      </w:r>
      <w:r w:rsidR="00E05451" w:rsidRPr="006D2720">
        <w:rPr>
          <w:rFonts w:ascii="Times New Roman" w:hAnsi="Times New Roman" w:cs="Times New Roman"/>
        </w:rPr>
        <w:t>. Where it applies, it requires</w:t>
      </w:r>
      <w:r w:rsidR="002F6031" w:rsidRPr="006D2720">
        <w:rPr>
          <w:rFonts w:ascii="Times New Roman" w:hAnsi="Times New Roman" w:cs="Times New Roman"/>
        </w:rPr>
        <w:t xml:space="preserve"> data controllers</w:t>
      </w:r>
      <w:r w:rsidR="00031973" w:rsidRPr="006D2720">
        <w:rPr>
          <w:rFonts w:ascii="Times New Roman" w:hAnsi="Times New Roman" w:cs="Times New Roman"/>
        </w:rPr>
        <w:t xml:space="preserve"> </w:t>
      </w:r>
      <w:r w:rsidR="002F6031" w:rsidRPr="006D2720">
        <w:rPr>
          <w:rFonts w:ascii="Times New Roman" w:hAnsi="Times New Roman" w:cs="Times New Roman"/>
        </w:rPr>
        <w:t>to erase personal information without delay</w:t>
      </w:r>
      <w:r w:rsidR="00353FDE" w:rsidRPr="006D2720">
        <w:rPr>
          <w:rFonts w:ascii="Times New Roman" w:hAnsi="Times New Roman" w:cs="Times New Roman"/>
        </w:rPr>
        <w:t xml:space="preserve"> if requested by the individual</w:t>
      </w:r>
      <w:r w:rsidR="002F6031" w:rsidRPr="006D2720">
        <w:rPr>
          <w:rFonts w:ascii="Times New Roman" w:hAnsi="Times New Roman" w:cs="Times New Roman"/>
        </w:rPr>
        <w:t>, and to take reasonable steps to inform other controllers</w:t>
      </w:r>
      <w:r w:rsidR="00031973" w:rsidRPr="006D2720">
        <w:rPr>
          <w:rFonts w:ascii="Times New Roman" w:hAnsi="Times New Roman" w:cs="Times New Roman"/>
        </w:rPr>
        <w:t xml:space="preserve">. </w:t>
      </w:r>
    </w:p>
    <w:p w14:paraId="4DE980BF" w14:textId="6E0AD26F" w:rsidR="00031973" w:rsidRPr="006D2720" w:rsidRDefault="00031973" w:rsidP="0066337D">
      <w:pPr>
        <w:pStyle w:val="Heading3"/>
        <w:rPr>
          <w:rFonts w:ascii="Times New Roman" w:hAnsi="Times New Roman" w:cs="Times New Roman"/>
        </w:rPr>
      </w:pPr>
      <w:r w:rsidRPr="006D2720">
        <w:rPr>
          <w:rFonts w:ascii="Times New Roman" w:hAnsi="Times New Roman" w:cs="Times New Roman"/>
        </w:rPr>
        <w:t xml:space="preserve">The right applies </w:t>
      </w:r>
      <w:r w:rsidR="002F6031" w:rsidRPr="006D2720">
        <w:rPr>
          <w:rFonts w:ascii="Times New Roman" w:hAnsi="Times New Roman" w:cs="Times New Roman"/>
        </w:rPr>
        <w:t>where</w:t>
      </w:r>
      <w:r w:rsidRPr="006D2720">
        <w:rPr>
          <w:rFonts w:ascii="Times New Roman" w:hAnsi="Times New Roman" w:cs="Times New Roman"/>
        </w:rPr>
        <w:t xml:space="preserve"> either:</w:t>
      </w:r>
    </w:p>
    <w:p w14:paraId="7907ECEF" w14:textId="3037E256" w:rsidR="00031973" w:rsidRPr="006D2720" w:rsidRDefault="00031973">
      <w:pPr>
        <w:numPr>
          <w:ilvl w:val="0"/>
          <w:numId w:val="15"/>
        </w:numPr>
        <w:rPr>
          <w:rFonts w:ascii="Times New Roman" w:hAnsi="Times New Roman" w:cs="Times New Roman"/>
        </w:rPr>
      </w:pPr>
      <w:r w:rsidRPr="006D2720">
        <w:rPr>
          <w:rFonts w:ascii="Times New Roman" w:hAnsi="Times New Roman" w:cs="Times New Roman"/>
        </w:rPr>
        <w:t xml:space="preserve">retaining </w:t>
      </w:r>
      <w:r w:rsidR="002F6031" w:rsidRPr="006D2720">
        <w:rPr>
          <w:rFonts w:ascii="Times New Roman" w:hAnsi="Times New Roman" w:cs="Times New Roman"/>
        </w:rPr>
        <w:t>the information is no longer necessary in relation to the purposes for which it was collected</w:t>
      </w:r>
      <w:r w:rsidR="000864EF" w:rsidRPr="006D2720">
        <w:rPr>
          <w:rFonts w:ascii="Times New Roman" w:hAnsi="Times New Roman" w:cs="Times New Roman"/>
        </w:rPr>
        <w:t>;</w:t>
      </w:r>
    </w:p>
    <w:p w14:paraId="1DF16DA6" w14:textId="3707F7FA" w:rsidR="00031973" w:rsidRPr="006D2720" w:rsidRDefault="002F6031">
      <w:pPr>
        <w:numPr>
          <w:ilvl w:val="0"/>
          <w:numId w:val="15"/>
        </w:numPr>
        <w:rPr>
          <w:rFonts w:ascii="Times New Roman" w:hAnsi="Times New Roman" w:cs="Times New Roman"/>
        </w:rPr>
      </w:pPr>
      <w:r w:rsidRPr="006D2720">
        <w:rPr>
          <w:rFonts w:ascii="Times New Roman" w:hAnsi="Times New Roman" w:cs="Times New Roman"/>
        </w:rPr>
        <w:t xml:space="preserve">the </w:t>
      </w:r>
      <w:r w:rsidR="00031973" w:rsidRPr="006D2720">
        <w:rPr>
          <w:rFonts w:ascii="Times New Roman" w:hAnsi="Times New Roman" w:cs="Times New Roman"/>
        </w:rPr>
        <w:t xml:space="preserve">request to erase the information amounts to a withdrawal of </w:t>
      </w:r>
      <w:r w:rsidR="000864EF" w:rsidRPr="006D2720">
        <w:rPr>
          <w:rFonts w:ascii="Times New Roman" w:hAnsi="Times New Roman" w:cs="Times New Roman"/>
        </w:rPr>
        <w:t xml:space="preserve">the </w:t>
      </w:r>
      <w:r w:rsidRPr="006D2720">
        <w:rPr>
          <w:rFonts w:ascii="Times New Roman" w:hAnsi="Times New Roman" w:cs="Times New Roman"/>
        </w:rPr>
        <w:t xml:space="preserve">consent </w:t>
      </w:r>
      <w:r w:rsidR="000864EF" w:rsidRPr="006D2720">
        <w:rPr>
          <w:rFonts w:ascii="Times New Roman" w:hAnsi="Times New Roman" w:cs="Times New Roman"/>
        </w:rPr>
        <w:t xml:space="preserve">that allowed the </w:t>
      </w:r>
      <w:r w:rsidRPr="006D2720">
        <w:rPr>
          <w:rFonts w:ascii="Times New Roman" w:hAnsi="Times New Roman" w:cs="Times New Roman"/>
        </w:rPr>
        <w:t xml:space="preserve">information </w:t>
      </w:r>
      <w:r w:rsidR="000864EF" w:rsidRPr="006D2720">
        <w:rPr>
          <w:rFonts w:ascii="Times New Roman" w:hAnsi="Times New Roman" w:cs="Times New Roman"/>
        </w:rPr>
        <w:t xml:space="preserve">to be </w:t>
      </w:r>
      <w:r w:rsidRPr="006D2720">
        <w:rPr>
          <w:rFonts w:ascii="Times New Roman" w:hAnsi="Times New Roman" w:cs="Times New Roman"/>
        </w:rPr>
        <w:t>collected or used</w:t>
      </w:r>
      <w:r w:rsidR="000864EF" w:rsidRPr="006D2720">
        <w:rPr>
          <w:rFonts w:ascii="Times New Roman" w:hAnsi="Times New Roman" w:cs="Times New Roman"/>
        </w:rPr>
        <w:t xml:space="preserve"> in the first place</w:t>
      </w:r>
      <w:r w:rsidR="00031973" w:rsidRPr="006D2720">
        <w:rPr>
          <w:rFonts w:ascii="Times New Roman" w:hAnsi="Times New Roman" w:cs="Times New Roman"/>
        </w:rPr>
        <w:t>;</w:t>
      </w:r>
      <w:r w:rsidRPr="006D2720">
        <w:rPr>
          <w:rFonts w:ascii="Times New Roman" w:hAnsi="Times New Roman" w:cs="Times New Roman"/>
        </w:rPr>
        <w:t xml:space="preserve"> </w:t>
      </w:r>
    </w:p>
    <w:p w14:paraId="6409049D" w14:textId="47C11506" w:rsidR="00031973" w:rsidRPr="006D2720" w:rsidRDefault="002F6031">
      <w:pPr>
        <w:numPr>
          <w:ilvl w:val="0"/>
          <w:numId w:val="15"/>
        </w:numPr>
        <w:rPr>
          <w:rFonts w:ascii="Times New Roman" w:hAnsi="Times New Roman" w:cs="Times New Roman"/>
        </w:rPr>
      </w:pPr>
      <w:r w:rsidRPr="006D2720">
        <w:rPr>
          <w:rFonts w:ascii="Times New Roman" w:hAnsi="Times New Roman" w:cs="Times New Roman"/>
        </w:rPr>
        <w:t>the individual objects to the use</w:t>
      </w:r>
      <w:r w:rsidR="00031973" w:rsidRPr="006D2720">
        <w:rPr>
          <w:rFonts w:ascii="Times New Roman" w:hAnsi="Times New Roman" w:cs="Times New Roman"/>
        </w:rPr>
        <w:t xml:space="preserve"> under the right to object </w:t>
      </w:r>
      <w:r w:rsidR="00E07220" w:rsidRPr="006D2720">
        <w:rPr>
          <w:rFonts w:ascii="Times New Roman" w:hAnsi="Times New Roman" w:cs="Times New Roman"/>
        </w:rPr>
        <w:t xml:space="preserve">as </w:t>
      </w:r>
      <w:r w:rsidR="00031973" w:rsidRPr="006D2720">
        <w:rPr>
          <w:rFonts w:ascii="Times New Roman" w:hAnsi="Times New Roman" w:cs="Times New Roman"/>
        </w:rPr>
        <w:t>described above;</w:t>
      </w:r>
    </w:p>
    <w:p w14:paraId="211FB63C" w14:textId="555073E6" w:rsidR="00031973" w:rsidRPr="006D2720" w:rsidRDefault="00476132">
      <w:pPr>
        <w:numPr>
          <w:ilvl w:val="0"/>
          <w:numId w:val="15"/>
        </w:numPr>
        <w:rPr>
          <w:rFonts w:ascii="Times New Roman" w:hAnsi="Times New Roman" w:cs="Times New Roman"/>
        </w:rPr>
      </w:pPr>
      <w:r w:rsidRPr="006D2720">
        <w:rPr>
          <w:rFonts w:ascii="Times New Roman" w:hAnsi="Times New Roman" w:cs="Times New Roman"/>
        </w:rPr>
        <w:t>the information was collected through use of an online service by a child, including where the parent or guardian consented;</w:t>
      </w:r>
      <w:r w:rsidR="00B75203" w:rsidRPr="006D2720">
        <w:rPr>
          <w:rFonts w:ascii="Times New Roman" w:hAnsi="Times New Roman" w:cs="Times New Roman"/>
        </w:rPr>
        <w:t xml:space="preserve"> or</w:t>
      </w:r>
    </w:p>
    <w:p w14:paraId="279B6A77" w14:textId="7AFFD0E6" w:rsidR="00476132" w:rsidRPr="006D2720" w:rsidRDefault="00476132">
      <w:pPr>
        <w:numPr>
          <w:ilvl w:val="0"/>
          <w:numId w:val="15"/>
        </w:numPr>
        <w:rPr>
          <w:rFonts w:ascii="Times New Roman" w:hAnsi="Times New Roman" w:cs="Times New Roman"/>
        </w:rPr>
      </w:pPr>
      <w:r w:rsidRPr="006D2720">
        <w:rPr>
          <w:rFonts w:ascii="Times New Roman" w:hAnsi="Times New Roman" w:cs="Times New Roman"/>
        </w:rPr>
        <w:t xml:space="preserve">the information was collected, used or disclosed or otherwise handled in an unlawful way. </w:t>
      </w:r>
    </w:p>
    <w:p w14:paraId="79AAE163" w14:textId="0A7B2DE7" w:rsidR="00476132" w:rsidRPr="006D2720" w:rsidRDefault="002F6031" w:rsidP="0066337D">
      <w:pPr>
        <w:pStyle w:val="Heading3"/>
        <w:rPr>
          <w:rFonts w:ascii="Times New Roman" w:hAnsi="Times New Roman" w:cs="Times New Roman"/>
        </w:rPr>
      </w:pPr>
      <w:r w:rsidRPr="006D2720">
        <w:rPr>
          <w:rFonts w:ascii="Times New Roman" w:hAnsi="Times New Roman" w:cs="Times New Roman"/>
        </w:rPr>
        <w:t xml:space="preserve">There are various exceptions where </w:t>
      </w:r>
      <w:r w:rsidR="00476132" w:rsidRPr="006D2720">
        <w:rPr>
          <w:rFonts w:ascii="Times New Roman" w:hAnsi="Times New Roman" w:cs="Times New Roman"/>
        </w:rPr>
        <w:t xml:space="preserve">the information is </w:t>
      </w:r>
      <w:r w:rsidR="00945733" w:rsidRPr="006D2720">
        <w:rPr>
          <w:rFonts w:ascii="Times New Roman" w:hAnsi="Times New Roman" w:cs="Times New Roman"/>
        </w:rPr>
        <w:t xml:space="preserve">nevertheless </w:t>
      </w:r>
      <w:r w:rsidR="00476132" w:rsidRPr="006D2720">
        <w:rPr>
          <w:rFonts w:ascii="Times New Roman" w:hAnsi="Times New Roman" w:cs="Times New Roman"/>
        </w:rPr>
        <w:t>able to be retained,</w:t>
      </w:r>
      <w:r w:rsidRPr="006D2720">
        <w:rPr>
          <w:rFonts w:ascii="Times New Roman" w:hAnsi="Times New Roman" w:cs="Times New Roman"/>
        </w:rPr>
        <w:t xml:space="preserve"> including</w:t>
      </w:r>
      <w:r w:rsidR="00476132" w:rsidRPr="006D2720">
        <w:rPr>
          <w:rFonts w:ascii="Times New Roman" w:hAnsi="Times New Roman" w:cs="Times New Roman"/>
        </w:rPr>
        <w:t xml:space="preserve"> where retention is necessary:</w:t>
      </w:r>
    </w:p>
    <w:p w14:paraId="2D27B02D" w14:textId="3EC8FBCC" w:rsidR="00476132" w:rsidRPr="006D2720" w:rsidRDefault="00476132">
      <w:pPr>
        <w:numPr>
          <w:ilvl w:val="0"/>
          <w:numId w:val="16"/>
        </w:numPr>
        <w:rPr>
          <w:rFonts w:ascii="Times New Roman" w:hAnsi="Times New Roman" w:cs="Times New Roman"/>
        </w:rPr>
      </w:pPr>
      <w:r w:rsidRPr="006D2720">
        <w:rPr>
          <w:rFonts w:ascii="Times New Roman" w:hAnsi="Times New Roman" w:cs="Times New Roman"/>
        </w:rPr>
        <w:t xml:space="preserve">for </w:t>
      </w:r>
      <w:r w:rsidR="002F6031" w:rsidRPr="006D2720">
        <w:rPr>
          <w:rFonts w:ascii="Times New Roman" w:hAnsi="Times New Roman" w:cs="Times New Roman"/>
        </w:rPr>
        <w:t>the exercise of the right to free expression</w:t>
      </w:r>
      <w:r w:rsidRPr="006D2720">
        <w:rPr>
          <w:rFonts w:ascii="Times New Roman" w:hAnsi="Times New Roman" w:cs="Times New Roman"/>
        </w:rPr>
        <w:t>;</w:t>
      </w:r>
    </w:p>
    <w:p w14:paraId="3B5D3CFF" w14:textId="3F7087C4" w:rsidR="00476132" w:rsidRPr="006D2720" w:rsidRDefault="00476132">
      <w:pPr>
        <w:numPr>
          <w:ilvl w:val="0"/>
          <w:numId w:val="16"/>
        </w:numPr>
        <w:rPr>
          <w:rFonts w:ascii="Times New Roman" w:hAnsi="Times New Roman" w:cs="Times New Roman"/>
        </w:rPr>
      </w:pPr>
      <w:r w:rsidRPr="006D2720">
        <w:rPr>
          <w:rFonts w:ascii="Times New Roman" w:hAnsi="Times New Roman" w:cs="Times New Roman"/>
        </w:rPr>
        <w:t xml:space="preserve">for </w:t>
      </w:r>
      <w:r w:rsidR="002F6031" w:rsidRPr="006D2720">
        <w:rPr>
          <w:rFonts w:ascii="Times New Roman" w:hAnsi="Times New Roman" w:cs="Times New Roman"/>
        </w:rPr>
        <w:t>compliance with legal obligations or defence of legal claims</w:t>
      </w:r>
      <w:r w:rsidRPr="006D2720">
        <w:rPr>
          <w:rFonts w:ascii="Times New Roman" w:hAnsi="Times New Roman" w:cs="Times New Roman"/>
        </w:rPr>
        <w:t>;</w:t>
      </w:r>
    </w:p>
    <w:p w14:paraId="070A0AD3" w14:textId="5B154F0E" w:rsidR="00476132" w:rsidRPr="006D2720" w:rsidRDefault="00476132">
      <w:pPr>
        <w:numPr>
          <w:ilvl w:val="0"/>
          <w:numId w:val="16"/>
        </w:numPr>
        <w:rPr>
          <w:rFonts w:ascii="Times New Roman" w:hAnsi="Times New Roman" w:cs="Times New Roman"/>
        </w:rPr>
      </w:pPr>
      <w:r w:rsidRPr="006D2720">
        <w:rPr>
          <w:rFonts w:ascii="Times New Roman" w:hAnsi="Times New Roman" w:cs="Times New Roman"/>
        </w:rPr>
        <w:t xml:space="preserve">for reasons of </w:t>
      </w:r>
      <w:r w:rsidR="002F6031" w:rsidRPr="006D2720">
        <w:rPr>
          <w:rFonts w:ascii="Times New Roman" w:hAnsi="Times New Roman" w:cs="Times New Roman"/>
        </w:rPr>
        <w:t>public interest in the area of public health</w:t>
      </w:r>
      <w:r w:rsidRPr="006D2720">
        <w:rPr>
          <w:rFonts w:ascii="Times New Roman" w:hAnsi="Times New Roman" w:cs="Times New Roman"/>
        </w:rPr>
        <w:t xml:space="preserve">; or </w:t>
      </w:r>
    </w:p>
    <w:p w14:paraId="73F0E982" w14:textId="684CF3EB" w:rsidR="002F6031" w:rsidRPr="006D2720" w:rsidRDefault="00476132">
      <w:pPr>
        <w:numPr>
          <w:ilvl w:val="0"/>
          <w:numId w:val="16"/>
        </w:numPr>
        <w:rPr>
          <w:rFonts w:ascii="Times New Roman" w:hAnsi="Times New Roman" w:cs="Times New Roman"/>
        </w:rPr>
      </w:pPr>
      <w:r w:rsidRPr="006D2720">
        <w:rPr>
          <w:rFonts w:ascii="Times New Roman" w:hAnsi="Times New Roman" w:cs="Times New Roman"/>
        </w:rPr>
        <w:t>to allow</w:t>
      </w:r>
      <w:r w:rsidR="004A2653" w:rsidRPr="006D2720">
        <w:rPr>
          <w:rFonts w:ascii="Times New Roman" w:hAnsi="Times New Roman" w:cs="Times New Roman"/>
        </w:rPr>
        <w:t xml:space="preserve"> </w:t>
      </w:r>
      <w:r w:rsidR="002F6031" w:rsidRPr="006D2720">
        <w:rPr>
          <w:rFonts w:ascii="Times New Roman" w:hAnsi="Times New Roman" w:cs="Times New Roman"/>
        </w:rPr>
        <w:t xml:space="preserve">archiving </w:t>
      </w:r>
      <w:r w:rsidR="004A2653" w:rsidRPr="006D2720">
        <w:rPr>
          <w:rFonts w:ascii="Times New Roman" w:hAnsi="Times New Roman" w:cs="Times New Roman"/>
        </w:rPr>
        <w:t xml:space="preserve">that is otherwise authorised </w:t>
      </w:r>
      <w:r w:rsidR="002F6031" w:rsidRPr="006D2720">
        <w:rPr>
          <w:rFonts w:ascii="Times New Roman" w:hAnsi="Times New Roman" w:cs="Times New Roman"/>
        </w:rPr>
        <w:t xml:space="preserve">in the public interest, </w:t>
      </w:r>
      <w:r w:rsidR="00BE1415" w:rsidRPr="006D2720">
        <w:rPr>
          <w:rFonts w:ascii="Times New Roman" w:hAnsi="Times New Roman" w:cs="Times New Roman"/>
        </w:rPr>
        <w:t xml:space="preserve">for </w:t>
      </w:r>
      <w:r w:rsidR="002F6031" w:rsidRPr="006D2720">
        <w:rPr>
          <w:rFonts w:ascii="Times New Roman" w:hAnsi="Times New Roman" w:cs="Times New Roman"/>
        </w:rPr>
        <w:t>scientific or historical research purposes</w:t>
      </w:r>
      <w:r w:rsidR="00BE1415" w:rsidRPr="006D2720">
        <w:rPr>
          <w:rFonts w:ascii="Times New Roman" w:hAnsi="Times New Roman" w:cs="Times New Roman"/>
        </w:rPr>
        <w:t>,</w:t>
      </w:r>
      <w:r w:rsidR="002F6031" w:rsidRPr="006D2720">
        <w:rPr>
          <w:rFonts w:ascii="Times New Roman" w:hAnsi="Times New Roman" w:cs="Times New Roman"/>
        </w:rPr>
        <w:t xml:space="preserve"> or </w:t>
      </w:r>
      <w:r w:rsidR="00BE1415" w:rsidRPr="006D2720">
        <w:rPr>
          <w:rFonts w:ascii="Times New Roman" w:hAnsi="Times New Roman" w:cs="Times New Roman"/>
        </w:rPr>
        <w:t xml:space="preserve">for </w:t>
      </w:r>
      <w:r w:rsidR="002F6031" w:rsidRPr="006D2720">
        <w:rPr>
          <w:rFonts w:ascii="Times New Roman" w:hAnsi="Times New Roman" w:cs="Times New Roman"/>
        </w:rPr>
        <w:t>statistical purposes.</w:t>
      </w:r>
      <w:r w:rsidRPr="006D2720">
        <w:rPr>
          <w:rStyle w:val="FootnoteReference"/>
          <w:rFonts w:ascii="Times New Roman" w:hAnsi="Times New Roman" w:cs="Times New Roman"/>
        </w:rPr>
        <w:footnoteReference w:id="206"/>
      </w:r>
      <w:r w:rsidR="002F6031" w:rsidRPr="006D2720">
        <w:rPr>
          <w:rFonts w:ascii="Times New Roman" w:hAnsi="Times New Roman" w:cs="Times New Roman"/>
        </w:rPr>
        <w:t xml:space="preserve"> </w:t>
      </w:r>
    </w:p>
    <w:p w14:paraId="7E2531B5" w14:textId="4BC22ED8" w:rsidR="002F6031" w:rsidRPr="006D2720" w:rsidRDefault="002F6031" w:rsidP="0066337D">
      <w:pPr>
        <w:pStyle w:val="Heading3"/>
        <w:rPr>
          <w:rFonts w:ascii="Times New Roman" w:hAnsi="Times New Roman" w:cs="Times New Roman"/>
        </w:rPr>
      </w:pPr>
      <w:r w:rsidRPr="006D2720">
        <w:rPr>
          <w:rFonts w:ascii="Times New Roman" w:hAnsi="Times New Roman" w:cs="Times New Roman"/>
        </w:rPr>
        <w:t xml:space="preserve">The </w:t>
      </w:r>
      <w:r w:rsidR="00D73ABB" w:rsidRPr="006D2720">
        <w:rPr>
          <w:rFonts w:ascii="Times New Roman" w:hAnsi="Times New Roman" w:cs="Times New Roman"/>
        </w:rPr>
        <w:t>ACCC</w:t>
      </w:r>
      <w:r w:rsidR="00273D0A" w:rsidRPr="006D2720">
        <w:rPr>
          <w:rFonts w:ascii="Times New Roman" w:hAnsi="Times New Roman" w:cs="Times New Roman"/>
        </w:rPr>
        <w:t xml:space="preserve">’s </w:t>
      </w:r>
      <w:r w:rsidRPr="006D2720">
        <w:rPr>
          <w:rFonts w:ascii="Times New Roman" w:hAnsi="Times New Roman" w:cs="Times New Roman"/>
        </w:rPr>
        <w:t xml:space="preserve">Digital Platforms </w:t>
      </w:r>
      <w:r w:rsidR="00FF4ADA" w:rsidRPr="006D2720">
        <w:rPr>
          <w:rFonts w:ascii="Times New Roman" w:hAnsi="Times New Roman" w:cs="Times New Roman"/>
        </w:rPr>
        <w:t>I</w:t>
      </w:r>
      <w:r w:rsidRPr="006D2720">
        <w:rPr>
          <w:rFonts w:ascii="Times New Roman" w:hAnsi="Times New Roman" w:cs="Times New Roman"/>
        </w:rPr>
        <w:t xml:space="preserve">nquiry recommended </w:t>
      </w:r>
      <w:r w:rsidR="00205308" w:rsidRPr="006D2720">
        <w:rPr>
          <w:rFonts w:ascii="Times New Roman" w:hAnsi="Times New Roman" w:cs="Times New Roman"/>
        </w:rPr>
        <w:t>that Australia adopt such a right to erasure</w:t>
      </w:r>
      <w:r w:rsidRPr="006D2720">
        <w:rPr>
          <w:rFonts w:ascii="Times New Roman" w:hAnsi="Times New Roman" w:cs="Times New Roman"/>
        </w:rPr>
        <w:t xml:space="preserve">, </w:t>
      </w:r>
      <w:r w:rsidR="00476132" w:rsidRPr="006D2720">
        <w:rPr>
          <w:rFonts w:ascii="Times New Roman" w:hAnsi="Times New Roman" w:cs="Times New Roman"/>
        </w:rPr>
        <w:t xml:space="preserve">subject to possible further </w:t>
      </w:r>
      <w:r w:rsidRPr="006D2720">
        <w:rPr>
          <w:rFonts w:ascii="Times New Roman" w:hAnsi="Times New Roman" w:cs="Times New Roman"/>
        </w:rPr>
        <w:t>qualifi</w:t>
      </w:r>
      <w:r w:rsidR="00476132" w:rsidRPr="006D2720">
        <w:rPr>
          <w:rFonts w:ascii="Times New Roman" w:hAnsi="Times New Roman" w:cs="Times New Roman"/>
        </w:rPr>
        <w:t>cations</w:t>
      </w:r>
      <w:r w:rsidR="001E4F36" w:rsidRPr="006D2720">
        <w:rPr>
          <w:rFonts w:ascii="Times New Roman" w:hAnsi="Times New Roman" w:cs="Times New Roman"/>
        </w:rPr>
        <w:t xml:space="preserve">. For example, exceptions that allow the retention of information where it is </w:t>
      </w:r>
      <w:r w:rsidRPr="006D2720">
        <w:rPr>
          <w:rFonts w:ascii="Times New Roman" w:hAnsi="Times New Roman" w:cs="Times New Roman"/>
        </w:rPr>
        <w:t>necessary for the performance of a contract to which the consumer is a party, is required by law, or is otherwise necessary for an overriding public reason.</w:t>
      </w:r>
      <w:r w:rsidRPr="006D2720">
        <w:rPr>
          <w:rStyle w:val="FootnoteReference"/>
          <w:rFonts w:ascii="Times New Roman" w:hAnsi="Times New Roman" w:cs="Times New Roman"/>
        </w:rPr>
        <w:footnoteReference w:id="207"/>
      </w:r>
      <w:r w:rsidRPr="006D2720">
        <w:rPr>
          <w:rFonts w:ascii="Times New Roman" w:hAnsi="Times New Roman" w:cs="Times New Roman"/>
        </w:rPr>
        <w:t xml:space="preserve"> The OAIC</w:t>
      </w:r>
      <w:r w:rsidR="00C2193D" w:rsidRPr="006D2720">
        <w:rPr>
          <w:rFonts w:ascii="Times New Roman" w:hAnsi="Times New Roman" w:cs="Times New Roman"/>
        </w:rPr>
        <w:t xml:space="preserve"> has </w:t>
      </w:r>
      <w:r w:rsidR="00986C0E" w:rsidRPr="006D2720">
        <w:rPr>
          <w:rFonts w:ascii="Times New Roman" w:hAnsi="Times New Roman" w:cs="Times New Roman"/>
        </w:rPr>
        <w:t xml:space="preserve">similarly </w:t>
      </w:r>
      <w:r w:rsidRPr="006D2720">
        <w:rPr>
          <w:rFonts w:ascii="Times New Roman" w:hAnsi="Times New Roman" w:cs="Times New Roman"/>
        </w:rPr>
        <w:t xml:space="preserve">recommended </w:t>
      </w:r>
      <w:r w:rsidR="00C2193D" w:rsidRPr="006D2720">
        <w:rPr>
          <w:rFonts w:ascii="Times New Roman" w:hAnsi="Times New Roman" w:cs="Times New Roman"/>
        </w:rPr>
        <w:t>that a right to erasure be adopted</w:t>
      </w:r>
      <w:r w:rsidR="00986C0E" w:rsidRPr="006D2720">
        <w:rPr>
          <w:rFonts w:ascii="Times New Roman" w:hAnsi="Times New Roman" w:cs="Times New Roman"/>
        </w:rPr>
        <w:t xml:space="preserve">. It </w:t>
      </w:r>
      <w:r w:rsidR="00FF4ADA" w:rsidRPr="006D2720">
        <w:rPr>
          <w:rFonts w:ascii="Times New Roman" w:hAnsi="Times New Roman" w:cs="Times New Roman"/>
        </w:rPr>
        <w:t xml:space="preserve">suggested that it </w:t>
      </w:r>
      <w:r w:rsidR="00986C0E" w:rsidRPr="006D2720">
        <w:rPr>
          <w:rFonts w:ascii="Times New Roman" w:hAnsi="Times New Roman" w:cs="Times New Roman"/>
        </w:rPr>
        <w:t>would</w:t>
      </w:r>
      <w:r w:rsidR="00C2193D" w:rsidRPr="006D2720">
        <w:rPr>
          <w:rFonts w:ascii="Times New Roman" w:hAnsi="Times New Roman" w:cs="Times New Roman"/>
        </w:rPr>
        <w:t xml:space="preserve"> complement </w:t>
      </w:r>
      <w:r w:rsidRPr="006D2720">
        <w:rPr>
          <w:rFonts w:ascii="Times New Roman" w:hAnsi="Times New Roman" w:cs="Times New Roman"/>
        </w:rPr>
        <w:t>existing requirements to destroy or de-identify information that is no longer neede</w:t>
      </w:r>
      <w:r w:rsidR="00654E3B" w:rsidRPr="006D2720">
        <w:rPr>
          <w:rFonts w:ascii="Times New Roman" w:hAnsi="Times New Roman" w:cs="Times New Roman"/>
        </w:rPr>
        <w:t>d</w:t>
      </w:r>
      <w:r w:rsidR="005C2ED3" w:rsidRPr="006D2720">
        <w:rPr>
          <w:rFonts w:ascii="Times New Roman" w:hAnsi="Times New Roman" w:cs="Times New Roman"/>
        </w:rPr>
        <w:t xml:space="preserve">, and </w:t>
      </w:r>
      <w:r w:rsidR="00A507D4" w:rsidRPr="006D2720">
        <w:rPr>
          <w:rFonts w:ascii="Times New Roman" w:hAnsi="Times New Roman" w:cs="Times New Roman"/>
        </w:rPr>
        <w:t xml:space="preserve">should </w:t>
      </w:r>
      <w:r w:rsidRPr="006D2720">
        <w:rPr>
          <w:rFonts w:ascii="Times New Roman" w:hAnsi="Times New Roman" w:cs="Times New Roman"/>
        </w:rPr>
        <w:t xml:space="preserve">extend to information </w:t>
      </w:r>
      <w:r w:rsidR="00F75475" w:rsidRPr="006D2720">
        <w:rPr>
          <w:rFonts w:ascii="Times New Roman" w:hAnsi="Times New Roman" w:cs="Times New Roman"/>
        </w:rPr>
        <w:t xml:space="preserve">that is </w:t>
      </w:r>
      <w:r w:rsidRPr="006D2720">
        <w:rPr>
          <w:rFonts w:ascii="Times New Roman" w:hAnsi="Times New Roman" w:cs="Times New Roman"/>
        </w:rPr>
        <w:t xml:space="preserve">no longer held </w:t>
      </w:r>
      <w:r w:rsidR="00F75475" w:rsidRPr="006D2720">
        <w:rPr>
          <w:rFonts w:ascii="Times New Roman" w:hAnsi="Times New Roman" w:cs="Times New Roman"/>
        </w:rPr>
        <w:t xml:space="preserve">by the custodian </w:t>
      </w:r>
      <w:r w:rsidRPr="006D2720">
        <w:rPr>
          <w:rFonts w:ascii="Times New Roman" w:hAnsi="Times New Roman" w:cs="Times New Roman"/>
        </w:rPr>
        <w:t xml:space="preserve">but </w:t>
      </w:r>
      <w:r w:rsidR="00F75475" w:rsidRPr="006D2720">
        <w:rPr>
          <w:rFonts w:ascii="Times New Roman" w:hAnsi="Times New Roman" w:cs="Times New Roman"/>
        </w:rPr>
        <w:t xml:space="preserve">is </w:t>
      </w:r>
      <w:r w:rsidRPr="006D2720">
        <w:rPr>
          <w:rFonts w:ascii="Times New Roman" w:hAnsi="Times New Roman" w:cs="Times New Roman"/>
        </w:rPr>
        <w:t>placed on social media networks</w:t>
      </w:r>
      <w:r w:rsidR="006B7154" w:rsidRPr="006D2720">
        <w:rPr>
          <w:rFonts w:ascii="Times New Roman" w:hAnsi="Times New Roman" w:cs="Times New Roman"/>
        </w:rPr>
        <w:t xml:space="preserve">. </w:t>
      </w:r>
      <w:r w:rsidR="00B958CF" w:rsidRPr="006D2720">
        <w:rPr>
          <w:rFonts w:ascii="Times New Roman" w:hAnsi="Times New Roman" w:cs="Times New Roman"/>
        </w:rPr>
        <w:t>Any such right</w:t>
      </w:r>
      <w:r w:rsidR="006B7154" w:rsidRPr="006D2720">
        <w:rPr>
          <w:rFonts w:ascii="Times New Roman" w:hAnsi="Times New Roman" w:cs="Times New Roman"/>
        </w:rPr>
        <w:t xml:space="preserve"> would also </w:t>
      </w:r>
      <w:r w:rsidRPr="006D2720">
        <w:rPr>
          <w:rFonts w:ascii="Times New Roman" w:hAnsi="Times New Roman" w:cs="Times New Roman"/>
        </w:rPr>
        <w:t>be subject to appropriate timeframes.</w:t>
      </w:r>
      <w:r w:rsidRPr="006D2720">
        <w:rPr>
          <w:rStyle w:val="FootnoteReference"/>
          <w:rFonts w:ascii="Times New Roman" w:hAnsi="Times New Roman" w:cs="Times New Roman"/>
        </w:rPr>
        <w:footnoteReference w:id="208"/>
      </w:r>
      <w:r w:rsidRPr="006D2720">
        <w:rPr>
          <w:rFonts w:ascii="Times New Roman" w:hAnsi="Times New Roman" w:cs="Times New Roman"/>
        </w:rPr>
        <w:t xml:space="preserve"> </w:t>
      </w:r>
    </w:p>
    <w:p w14:paraId="38368401" w14:textId="4A880FDB" w:rsidR="00476132" w:rsidRPr="006D2720" w:rsidRDefault="001B0066" w:rsidP="0066337D">
      <w:pPr>
        <w:pStyle w:val="Heading3"/>
        <w:rPr>
          <w:rFonts w:ascii="Times New Roman" w:hAnsi="Times New Roman" w:cs="Times New Roman"/>
        </w:rPr>
      </w:pPr>
      <w:r w:rsidRPr="006D2720">
        <w:rPr>
          <w:rFonts w:ascii="Times New Roman" w:hAnsi="Times New Roman" w:cs="Times New Roman"/>
        </w:rPr>
        <w:t xml:space="preserve">If adopted in </w:t>
      </w:r>
      <w:r w:rsidR="0083173B" w:rsidRPr="006D2720">
        <w:rPr>
          <w:rFonts w:ascii="Times New Roman" w:hAnsi="Times New Roman" w:cs="Times New Roman"/>
        </w:rPr>
        <w:t xml:space="preserve">the </w:t>
      </w:r>
      <w:r w:rsidR="00476132" w:rsidRPr="006D2720">
        <w:rPr>
          <w:rFonts w:ascii="Times New Roman" w:hAnsi="Times New Roman" w:cs="Times New Roman"/>
        </w:rPr>
        <w:t xml:space="preserve">PIPA, a right to erasure would be subject to </w:t>
      </w:r>
      <w:r w:rsidR="00B96952" w:rsidRPr="006D2720">
        <w:rPr>
          <w:rFonts w:ascii="Times New Roman" w:hAnsi="Times New Roman" w:cs="Times New Roman"/>
        </w:rPr>
        <w:t xml:space="preserve">exceptions where retention is necessary for archiving purposes or </w:t>
      </w:r>
      <w:r w:rsidR="00716557" w:rsidRPr="006D2720">
        <w:rPr>
          <w:rFonts w:ascii="Times New Roman" w:hAnsi="Times New Roman" w:cs="Times New Roman"/>
        </w:rPr>
        <w:t xml:space="preserve">is </w:t>
      </w:r>
      <w:r w:rsidR="00476132" w:rsidRPr="006D2720">
        <w:rPr>
          <w:rFonts w:ascii="Times New Roman" w:hAnsi="Times New Roman" w:cs="Times New Roman"/>
        </w:rPr>
        <w:t xml:space="preserve">otherwise required by law. </w:t>
      </w:r>
      <w:r w:rsidR="00DD455D" w:rsidRPr="006D2720">
        <w:rPr>
          <w:rFonts w:ascii="Times New Roman" w:hAnsi="Times New Roman" w:cs="Times New Roman"/>
        </w:rPr>
        <w:t xml:space="preserve">It </w:t>
      </w:r>
      <w:r w:rsidR="008A327B" w:rsidRPr="006D2720">
        <w:rPr>
          <w:rFonts w:ascii="Times New Roman" w:hAnsi="Times New Roman" w:cs="Times New Roman"/>
        </w:rPr>
        <w:t xml:space="preserve">would also require </w:t>
      </w:r>
      <w:r w:rsidR="00D80EE4" w:rsidRPr="006D2720">
        <w:rPr>
          <w:rFonts w:ascii="Times New Roman" w:hAnsi="Times New Roman" w:cs="Times New Roman"/>
        </w:rPr>
        <w:t xml:space="preserve">personal information </w:t>
      </w:r>
      <w:r w:rsidR="008A327B" w:rsidRPr="006D2720">
        <w:rPr>
          <w:rFonts w:ascii="Times New Roman" w:hAnsi="Times New Roman" w:cs="Times New Roman"/>
        </w:rPr>
        <w:t xml:space="preserve">custodians </w:t>
      </w:r>
      <w:r w:rsidR="00476132" w:rsidRPr="006D2720">
        <w:rPr>
          <w:rFonts w:ascii="Times New Roman" w:hAnsi="Times New Roman" w:cs="Times New Roman"/>
        </w:rPr>
        <w:t xml:space="preserve">to take reasonable steps to inform other custodians of any request </w:t>
      </w:r>
      <w:r w:rsidR="008A327B" w:rsidRPr="006D2720">
        <w:rPr>
          <w:rFonts w:ascii="Times New Roman" w:hAnsi="Times New Roman" w:cs="Times New Roman"/>
        </w:rPr>
        <w:t xml:space="preserve">for erasure. This would prevent proliferation of personal information across multiple custodians and </w:t>
      </w:r>
      <w:r w:rsidR="00FE5877" w:rsidRPr="006D2720">
        <w:rPr>
          <w:rFonts w:ascii="Times New Roman" w:hAnsi="Times New Roman" w:cs="Times New Roman"/>
        </w:rPr>
        <w:t xml:space="preserve">would </w:t>
      </w:r>
      <w:r w:rsidR="008A327B" w:rsidRPr="006D2720">
        <w:rPr>
          <w:rFonts w:ascii="Times New Roman" w:hAnsi="Times New Roman" w:cs="Times New Roman"/>
        </w:rPr>
        <w:t>require</w:t>
      </w:r>
      <w:r w:rsidR="00FE5877" w:rsidRPr="006D2720">
        <w:rPr>
          <w:rFonts w:ascii="Times New Roman" w:hAnsi="Times New Roman" w:cs="Times New Roman"/>
        </w:rPr>
        <w:t xml:space="preserve"> </w:t>
      </w:r>
      <w:r w:rsidR="008A327B" w:rsidRPr="006D2720">
        <w:rPr>
          <w:rFonts w:ascii="Times New Roman" w:hAnsi="Times New Roman" w:cs="Times New Roman"/>
        </w:rPr>
        <w:t xml:space="preserve">custodians to consider </w:t>
      </w:r>
      <w:r w:rsidR="0008267D" w:rsidRPr="006D2720">
        <w:rPr>
          <w:rFonts w:ascii="Times New Roman" w:hAnsi="Times New Roman" w:cs="Times New Roman"/>
        </w:rPr>
        <w:t>whether it remains necessary to retain information</w:t>
      </w:r>
      <w:r w:rsidR="008A327B" w:rsidRPr="006D2720">
        <w:rPr>
          <w:rFonts w:ascii="Times New Roman" w:hAnsi="Times New Roman" w:cs="Times New Roman"/>
        </w:rPr>
        <w:t>.</w:t>
      </w:r>
    </w:p>
    <w:p w14:paraId="731BA9DE" w14:textId="4AA6DDFC" w:rsidR="00AA076D" w:rsidRPr="006D2720" w:rsidRDefault="000D290D" w:rsidP="001C7CC5">
      <w:pPr>
        <w:rPr>
          <w:rFonts w:ascii="Times New Roman" w:hAnsi="Times New Roman" w:cs="Times New Roman"/>
          <w:b/>
          <w:bCs/>
          <w:i/>
          <w:iCs/>
        </w:rPr>
      </w:pPr>
      <w:r w:rsidRPr="006D2720">
        <w:rPr>
          <w:rFonts w:ascii="Times New Roman" w:hAnsi="Times New Roman" w:cs="Times New Roman"/>
          <w:b/>
          <w:bCs/>
          <w:i/>
          <w:iCs/>
        </w:rPr>
        <w:t>Use of A</w:t>
      </w:r>
      <w:r w:rsidR="00113965" w:rsidRPr="006D2720">
        <w:rPr>
          <w:rFonts w:ascii="Times New Roman" w:hAnsi="Times New Roman" w:cs="Times New Roman"/>
          <w:b/>
          <w:bCs/>
          <w:i/>
          <w:iCs/>
        </w:rPr>
        <w:t>rtificial Intelligence</w:t>
      </w:r>
      <w:r w:rsidR="009E273D" w:rsidRPr="006D2720">
        <w:rPr>
          <w:rFonts w:ascii="Times New Roman" w:hAnsi="Times New Roman" w:cs="Times New Roman"/>
          <w:b/>
          <w:bCs/>
          <w:i/>
          <w:iCs/>
        </w:rPr>
        <w:t xml:space="preserve"> (‘AI’)</w:t>
      </w:r>
    </w:p>
    <w:p w14:paraId="45129EFB" w14:textId="7A7D5460" w:rsidR="0077490D" w:rsidRPr="006D2720" w:rsidRDefault="00E343CE" w:rsidP="0066337D">
      <w:pPr>
        <w:pStyle w:val="Heading3"/>
        <w:rPr>
          <w:rFonts w:ascii="Times New Roman" w:hAnsi="Times New Roman" w:cs="Times New Roman"/>
        </w:rPr>
      </w:pPr>
      <w:bookmarkStart w:id="297" w:name="_Ref91659614"/>
      <w:r w:rsidRPr="006D2720">
        <w:rPr>
          <w:rFonts w:ascii="Times New Roman" w:hAnsi="Times New Roman" w:cs="Times New Roman"/>
        </w:rPr>
        <w:t xml:space="preserve">Article 22 of the GDPR provides </w:t>
      </w:r>
      <w:r w:rsidR="00556ADE" w:rsidRPr="006D2720">
        <w:rPr>
          <w:rFonts w:ascii="Times New Roman" w:hAnsi="Times New Roman" w:cs="Times New Roman"/>
        </w:rPr>
        <w:t xml:space="preserve">various restrictions on the use of </w:t>
      </w:r>
      <w:r w:rsidR="00250885" w:rsidRPr="006D2720">
        <w:rPr>
          <w:rFonts w:ascii="Times New Roman" w:hAnsi="Times New Roman" w:cs="Times New Roman"/>
        </w:rPr>
        <w:t>automated decision-making involving the use or generation of personal information</w:t>
      </w:r>
      <w:r w:rsidR="005340F1" w:rsidRPr="006D2720">
        <w:rPr>
          <w:rFonts w:ascii="Times New Roman" w:hAnsi="Times New Roman" w:cs="Times New Roman"/>
        </w:rPr>
        <w:t xml:space="preserve">, including profiling. </w:t>
      </w:r>
      <w:r w:rsidR="0077490D" w:rsidRPr="006D2720">
        <w:rPr>
          <w:rFonts w:ascii="Times New Roman" w:hAnsi="Times New Roman" w:cs="Times New Roman"/>
        </w:rPr>
        <w:t xml:space="preserve">Profiling involves </w:t>
      </w:r>
      <w:r w:rsidR="002240D3" w:rsidRPr="006D2720">
        <w:rPr>
          <w:rFonts w:ascii="Times New Roman" w:hAnsi="Times New Roman" w:cs="Times New Roman"/>
        </w:rPr>
        <w:t xml:space="preserve">using an </w:t>
      </w:r>
      <w:r w:rsidR="0077490D" w:rsidRPr="006D2720">
        <w:rPr>
          <w:rFonts w:ascii="Times New Roman" w:hAnsi="Times New Roman" w:cs="Times New Roman"/>
        </w:rPr>
        <w:t xml:space="preserve">automated process to analyse or predict a person’s attributes or characteristics based on </w:t>
      </w:r>
      <w:r w:rsidR="005F3364" w:rsidRPr="006D2720">
        <w:rPr>
          <w:rFonts w:ascii="Times New Roman" w:hAnsi="Times New Roman" w:cs="Times New Roman"/>
        </w:rPr>
        <w:t>their</w:t>
      </w:r>
      <w:r w:rsidR="00E9112E" w:rsidRPr="006D2720">
        <w:rPr>
          <w:rFonts w:ascii="Times New Roman" w:hAnsi="Times New Roman" w:cs="Times New Roman"/>
        </w:rPr>
        <w:t xml:space="preserve"> personal information</w:t>
      </w:r>
      <w:r w:rsidR="007A58F5" w:rsidRPr="006D2720">
        <w:rPr>
          <w:rFonts w:ascii="Times New Roman" w:hAnsi="Times New Roman" w:cs="Times New Roman"/>
        </w:rPr>
        <w:t xml:space="preserve">, </w:t>
      </w:r>
      <w:r w:rsidR="00E9112E" w:rsidRPr="006D2720">
        <w:rPr>
          <w:rFonts w:ascii="Times New Roman" w:hAnsi="Times New Roman" w:cs="Times New Roman"/>
        </w:rPr>
        <w:t xml:space="preserve">often </w:t>
      </w:r>
      <w:r w:rsidR="000F6415" w:rsidRPr="006D2720">
        <w:rPr>
          <w:rFonts w:ascii="Times New Roman" w:hAnsi="Times New Roman" w:cs="Times New Roman"/>
        </w:rPr>
        <w:t xml:space="preserve">in combination </w:t>
      </w:r>
      <w:r w:rsidR="00E9112E" w:rsidRPr="006D2720">
        <w:rPr>
          <w:rFonts w:ascii="Times New Roman" w:hAnsi="Times New Roman" w:cs="Times New Roman"/>
        </w:rPr>
        <w:t>with information collected from others.</w:t>
      </w:r>
      <w:r w:rsidR="00E9112E" w:rsidRPr="006D2720">
        <w:rPr>
          <w:rStyle w:val="FootnoteReference"/>
          <w:rFonts w:ascii="Times New Roman" w:hAnsi="Times New Roman" w:cs="Times New Roman"/>
        </w:rPr>
        <w:footnoteReference w:id="209"/>
      </w:r>
      <w:r w:rsidR="00E9112E" w:rsidRPr="006D2720">
        <w:rPr>
          <w:rFonts w:ascii="Times New Roman" w:hAnsi="Times New Roman" w:cs="Times New Roman"/>
        </w:rPr>
        <w:t xml:space="preserve"> Profiling can include using previous choices or behaviours</w:t>
      </w:r>
      <w:r w:rsidR="000F3F82" w:rsidRPr="006D2720">
        <w:rPr>
          <w:rFonts w:ascii="Times New Roman" w:hAnsi="Times New Roman" w:cs="Times New Roman"/>
        </w:rPr>
        <w:t xml:space="preserve">, </w:t>
      </w:r>
      <w:r w:rsidR="00E9112E" w:rsidRPr="006D2720">
        <w:rPr>
          <w:rFonts w:ascii="Times New Roman" w:hAnsi="Times New Roman" w:cs="Times New Roman"/>
        </w:rPr>
        <w:t>such as purchasing or browsing habits</w:t>
      </w:r>
      <w:r w:rsidR="000F3F82" w:rsidRPr="006D2720">
        <w:rPr>
          <w:rFonts w:ascii="Times New Roman" w:hAnsi="Times New Roman" w:cs="Times New Roman"/>
        </w:rPr>
        <w:t>,</w:t>
      </w:r>
      <w:r w:rsidR="00E9112E" w:rsidRPr="006D2720">
        <w:rPr>
          <w:rFonts w:ascii="Times New Roman" w:hAnsi="Times New Roman" w:cs="Times New Roman"/>
        </w:rPr>
        <w:t xml:space="preserve"> to predict </w:t>
      </w:r>
      <w:r w:rsidR="009875E3" w:rsidRPr="006D2720">
        <w:rPr>
          <w:rFonts w:ascii="Times New Roman" w:hAnsi="Times New Roman" w:cs="Times New Roman"/>
        </w:rPr>
        <w:t xml:space="preserve">an individual’s </w:t>
      </w:r>
      <w:r w:rsidR="00E9112E" w:rsidRPr="006D2720">
        <w:rPr>
          <w:rFonts w:ascii="Times New Roman" w:hAnsi="Times New Roman" w:cs="Times New Roman"/>
        </w:rPr>
        <w:t>economic situation, health, preferences</w:t>
      </w:r>
      <w:r w:rsidR="00512D0F" w:rsidRPr="006D2720">
        <w:rPr>
          <w:rFonts w:ascii="Times New Roman" w:hAnsi="Times New Roman" w:cs="Times New Roman"/>
        </w:rPr>
        <w:t xml:space="preserve">, </w:t>
      </w:r>
      <w:r w:rsidR="00E9112E" w:rsidRPr="006D2720">
        <w:rPr>
          <w:rFonts w:ascii="Times New Roman" w:hAnsi="Times New Roman" w:cs="Times New Roman"/>
        </w:rPr>
        <w:t>interests, behaviour</w:t>
      </w:r>
      <w:r w:rsidR="00B75203" w:rsidRPr="006D2720">
        <w:rPr>
          <w:rFonts w:ascii="Times New Roman" w:hAnsi="Times New Roman" w:cs="Times New Roman"/>
        </w:rPr>
        <w:t>,</w:t>
      </w:r>
      <w:r w:rsidR="00E9112E" w:rsidRPr="006D2720">
        <w:rPr>
          <w:rFonts w:ascii="Times New Roman" w:hAnsi="Times New Roman" w:cs="Times New Roman"/>
        </w:rPr>
        <w:t xml:space="preserve"> or location.</w:t>
      </w:r>
      <w:bookmarkEnd w:id="297"/>
      <w:r w:rsidR="00E9112E" w:rsidRPr="006D2720">
        <w:rPr>
          <w:rFonts w:ascii="Times New Roman" w:hAnsi="Times New Roman" w:cs="Times New Roman"/>
        </w:rPr>
        <w:t xml:space="preserve"> </w:t>
      </w:r>
    </w:p>
    <w:p w14:paraId="03416812" w14:textId="66212703" w:rsidR="00FA5439" w:rsidRPr="006D2720" w:rsidRDefault="00E9112E" w:rsidP="00F936DD">
      <w:pPr>
        <w:pStyle w:val="Heading3"/>
        <w:rPr>
          <w:rFonts w:ascii="Times New Roman" w:hAnsi="Times New Roman" w:cs="Times New Roman"/>
        </w:rPr>
      </w:pPr>
      <w:r w:rsidRPr="006D2720">
        <w:rPr>
          <w:rFonts w:ascii="Times New Roman" w:hAnsi="Times New Roman" w:cs="Times New Roman"/>
        </w:rPr>
        <w:t>Article 22 prevents a</w:t>
      </w:r>
      <w:r w:rsidR="005340F1" w:rsidRPr="006D2720">
        <w:rPr>
          <w:rFonts w:ascii="Times New Roman" w:hAnsi="Times New Roman" w:cs="Times New Roman"/>
        </w:rPr>
        <w:t xml:space="preserve"> decision </w:t>
      </w:r>
      <w:r w:rsidR="00AC7FBB" w:rsidRPr="006D2720">
        <w:rPr>
          <w:rFonts w:ascii="Times New Roman" w:hAnsi="Times New Roman" w:cs="Times New Roman"/>
        </w:rPr>
        <w:t xml:space="preserve">from being based </w:t>
      </w:r>
      <w:r w:rsidR="00AC7FBB" w:rsidRPr="006D2720">
        <w:rPr>
          <w:rFonts w:ascii="Times New Roman" w:hAnsi="Times New Roman" w:cs="Times New Roman"/>
          <w:i/>
          <w:iCs/>
        </w:rPr>
        <w:t>solely</w:t>
      </w:r>
      <w:r w:rsidR="00AC7FBB" w:rsidRPr="006D2720">
        <w:rPr>
          <w:rFonts w:ascii="Times New Roman" w:hAnsi="Times New Roman" w:cs="Times New Roman"/>
        </w:rPr>
        <w:t xml:space="preserve"> on automated processing if that decision </w:t>
      </w:r>
      <w:r w:rsidR="005340F1" w:rsidRPr="006D2720">
        <w:rPr>
          <w:rFonts w:ascii="Times New Roman" w:hAnsi="Times New Roman" w:cs="Times New Roman"/>
        </w:rPr>
        <w:t>has legal o</w:t>
      </w:r>
      <w:r w:rsidRPr="006D2720">
        <w:rPr>
          <w:rFonts w:ascii="Times New Roman" w:hAnsi="Times New Roman" w:cs="Times New Roman"/>
        </w:rPr>
        <w:t>r</w:t>
      </w:r>
      <w:r w:rsidR="005340F1" w:rsidRPr="006D2720">
        <w:rPr>
          <w:rFonts w:ascii="Times New Roman" w:hAnsi="Times New Roman" w:cs="Times New Roman"/>
        </w:rPr>
        <w:t xml:space="preserve"> similarly significant effects</w:t>
      </w:r>
      <w:r w:rsidR="00B3418E" w:rsidRPr="006D2720">
        <w:rPr>
          <w:rFonts w:ascii="Times New Roman" w:hAnsi="Times New Roman" w:cs="Times New Roman"/>
        </w:rPr>
        <w:t xml:space="preserve"> on </w:t>
      </w:r>
      <w:r w:rsidR="00F44DB3" w:rsidRPr="006D2720">
        <w:rPr>
          <w:rFonts w:ascii="Times New Roman" w:hAnsi="Times New Roman" w:cs="Times New Roman"/>
        </w:rPr>
        <w:t>the person</w:t>
      </w:r>
      <w:r w:rsidR="00313EC5" w:rsidRPr="006D2720">
        <w:rPr>
          <w:rFonts w:ascii="Times New Roman" w:hAnsi="Times New Roman" w:cs="Times New Roman"/>
        </w:rPr>
        <w:t xml:space="preserve">. </w:t>
      </w:r>
      <w:r w:rsidR="00404468" w:rsidRPr="006D2720">
        <w:rPr>
          <w:rFonts w:ascii="Times New Roman" w:hAnsi="Times New Roman" w:cs="Times New Roman"/>
        </w:rPr>
        <w:t>Even where automated processes can be used,</w:t>
      </w:r>
      <w:r w:rsidR="00FA5439" w:rsidRPr="006D2720">
        <w:rPr>
          <w:rFonts w:ascii="Times New Roman" w:hAnsi="Times New Roman" w:cs="Times New Roman"/>
        </w:rPr>
        <w:t xml:space="preserve"> further requirements exist depending on the type of information being used</w:t>
      </w:r>
      <w:r w:rsidR="009867BC" w:rsidRPr="006D2720">
        <w:rPr>
          <w:rFonts w:ascii="Times New Roman" w:hAnsi="Times New Roman" w:cs="Times New Roman"/>
        </w:rPr>
        <w:t>, as follows:</w:t>
      </w:r>
    </w:p>
    <w:p w14:paraId="6EC641A9" w14:textId="71BFA190" w:rsidR="00404468" w:rsidRPr="006D2720" w:rsidRDefault="009867BC" w:rsidP="00FA5439">
      <w:pPr>
        <w:pStyle w:val="Dotpointlist"/>
        <w:rPr>
          <w:rFonts w:ascii="Times New Roman" w:hAnsi="Times New Roman" w:cs="Times New Roman"/>
        </w:rPr>
      </w:pPr>
      <w:r w:rsidRPr="006D2720">
        <w:rPr>
          <w:rFonts w:ascii="Times New Roman" w:hAnsi="Times New Roman" w:cs="Times New Roman"/>
          <w:i/>
          <w:iCs/>
        </w:rPr>
        <w:t>S</w:t>
      </w:r>
      <w:r w:rsidR="00B24AA8" w:rsidRPr="006D2720">
        <w:rPr>
          <w:rFonts w:ascii="Times New Roman" w:hAnsi="Times New Roman" w:cs="Times New Roman"/>
          <w:i/>
          <w:iCs/>
        </w:rPr>
        <w:t xml:space="preserve">ensitive </w:t>
      </w:r>
      <w:r w:rsidR="00B24AA8" w:rsidRPr="006D2720">
        <w:rPr>
          <w:rFonts w:ascii="Times New Roman" w:hAnsi="Times New Roman" w:cs="Times New Roman"/>
        </w:rPr>
        <w:t>data</w:t>
      </w:r>
      <w:r w:rsidRPr="006D2720">
        <w:rPr>
          <w:rFonts w:ascii="Times New Roman" w:hAnsi="Times New Roman" w:cs="Times New Roman"/>
        </w:rPr>
        <w:t>:</w:t>
      </w:r>
      <w:r w:rsidR="00B24AA8" w:rsidRPr="006D2720">
        <w:rPr>
          <w:rFonts w:ascii="Times New Roman" w:hAnsi="Times New Roman" w:cs="Times New Roman"/>
        </w:rPr>
        <w:t xml:space="preserve"> it can only be used in </w:t>
      </w:r>
      <w:r w:rsidR="00FA5439" w:rsidRPr="006D2720">
        <w:rPr>
          <w:rFonts w:ascii="Times New Roman" w:hAnsi="Times New Roman" w:cs="Times New Roman"/>
        </w:rPr>
        <w:t>automated process</w:t>
      </w:r>
      <w:r w:rsidR="00B24AA8" w:rsidRPr="006D2720">
        <w:rPr>
          <w:rFonts w:ascii="Times New Roman" w:hAnsi="Times New Roman" w:cs="Times New Roman"/>
        </w:rPr>
        <w:t xml:space="preserve">es where </w:t>
      </w:r>
      <w:r w:rsidR="00FA5439" w:rsidRPr="006D2720">
        <w:rPr>
          <w:rFonts w:ascii="Times New Roman" w:hAnsi="Times New Roman" w:cs="Times New Roman"/>
        </w:rPr>
        <w:t xml:space="preserve">explicit consent </w:t>
      </w:r>
      <w:r w:rsidR="00B24AA8" w:rsidRPr="006D2720">
        <w:rPr>
          <w:rFonts w:ascii="Times New Roman" w:hAnsi="Times New Roman" w:cs="Times New Roman"/>
        </w:rPr>
        <w:t xml:space="preserve">has been given </w:t>
      </w:r>
      <w:r w:rsidR="00FA5439" w:rsidRPr="006D2720">
        <w:rPr>
          <w:rFonts w:ascii="Times New Roman" w:hAnsi="Times New Roman" w:cs="Times New Roman"/>
        </w:rPr>
        <w:t xml:space="preserve">or </w:t>
      </w:r>
      <w:r w:rsidR="00B24AA8" w:rsidRPr="006D2720">
        <w:rPr>
          <w:rFonts w:ascii="Times New Roman" w:hAnsi="Times New Roman" w:cs="Times New Roman"/>
        </w:rPr>
        <w:t xml:space="preserve">it is authorised </w:t>
      </w:r>
      <w:r w:rsidR="00FA5439" w:rsidRPr="006D2720">
        <w:rPr>
          <w:rFonts w:ascii="Times New Roman" w:hAnsi="Times New Roman" w:cs="Times New Roman"/>
        </w:rPr>
        <w:t>by legislation</w:t>
      </w:r>
      <w:r w:rsidR="00B24AA8" w:rsidRPr="006D2720">
        <w:rPr>
          <w:rFonts w:ascii="Times New Roman" w:hAnsi="Times New Roman" w:cs="Times New Roman"/>
        </w:rPr>
        <w:t>.</w:t>
      </w:r>
    </w:p>
    <w:p w14:paraId="062E0846" w14:textId="624CE638" w:rsidR="00576B2A" w:rsidRPr="006D2720" w:rsidRDefault="009867BC" w:rsidP="00CA1A69">
      <w:pPr>
        <w:pStyle w:val="Dotpointlist"/>
        <w:rPr>
          <w:rFonts w:ascii="Times New Roman" w:hAnsi="Times New Roman" w:cs="Times New Roman"/>
        </w:rPr>
      </w:pPr>
      <w:r w:rsidRPr="006D2720">
        <w:rPr>
          <w:rFonts w:ascii="Times New Roman" w:hAnsi="Times New Roman" w:cs="Times New Roman"/>
          <w:i/>
          <w:iCs/>
        </w:rPr>
        <w:t>N</w:t>
      </w:r>
      <w:r w:rsidR="0094510F" w:rsidRPr="006D2720">
        <w:rPr>
          <w:rFonts w:ascii="Times New Roman" w:hAnsi="Times New Roman" w:cs="Times New Roman"/>
          <w:i/>
          <w:iCs/>
        </w:rPr>
        <w:t xml:space="preserve">on-sensitive </w:t>
      </w:r>
      <w:r w:rsidR="0094510F" w:rsidRPr="006D2720">
        <w:rPr>
          <w:rFonts w:ascii="Times New Roman" w:hAnsi="Times New Roman" w:cs="Times New Roman"/>
        </w:rPr>
        <w:t>data</w:t>
      </w:r>
      <w:r w:rsidRPr="006D2720">
        <w:rPr>
          <w:rFonts w:ascii="Times New Roman" w:hAnsi="Times New Roman" w:cs="Times New Roman"/>
        </w:rPr>
        <w:t xml:space="preserve">: </w:t>
      </w:r>
      <w:r w:rsidR="0094510F" w:rsidRPr="006D2720">
        <w:rPr>
          <w:rFonts w:ascii="Times New Roman" w:hAnsi="Times New Roman" w:cs="Times New Roman"/>
        </w:rPr>
        <w:t>it can only be used where necessary for various purposes, including</w:t>
      </w:r>
      <w:r w:rsidR="00FF4ADA" w:rsidRPr="006D2720">
        <w:rPr>
          <w:rFonts w:ascii="Times New Roman" w:hAnsi="Times New Roman" w:cs="Times New Roman"/>
        </w:rPr>
        <w:t>:</w:t>
      </w:r>
      <w:r w:rsidR="0094510F" w:rsidRPr="006D2720">
        <w:rPr>
          <w:rFonts w:ascii="Times New Roman" w:hAnsi="Times New Roman" w:cs="Times New Roman"/>
        </w:rPr>
        <w:t xml:space="preserve"> the performance of a contract with the individual; where it is authorised by legislation; or where the individual has explicitly consented to that use of their data.</w:t>
      </w:r>
    </w:p>
    <w:p w14:paraId="0617AEAE" w14:textId="5A2B1F68" w:rsidR="00827B15" w:rsidRPr="006D2720" w:rsidRDefault="004701C3" w:rsidP="0066337D">
      <w:pPr>
        <w:pStyle w:val="Heading3"/>
        <w:rPr>
          <w:rFonts w:ascii="Times New Roman" w:hAnsi="Times New Roman" w:cs="Times New Roman"/>
        </w:rPr>
      </w:pPr>
      <w:r w:rsidRPr="006D2720">
        <w:rPr>
          <w:rFonts w:ascii="Times New Roman" w:hAnsi="Times New Roman" w:cs="Times New Roman"/>
        </w:rPr>
        <w:t>In all cases</w:t>
      </w:r>
      <w:r w:rsidR="00A041E1" w:rsidRPr="006D2720">
        <w:rPr>
          <w:rFonts w:ascii="Times New Roman" w:hAnsi="Times New Roman" w:cs="Times New Roman"/>
        </w:rPr>
        <w:t>,</w:t>
      </w:r>
      <w:r w:rsidRPr="006D2720">
        <w:rPr>
          <w:rFonts w:ascii="Times New Roman" w:hAnsi="Times New Roman" w:cs="Times New Roman"/>
        </w:rPr>
        <w:t xml:space="preserve"> </w:t>
      </w:r>
      <w:r w:rsidR="00A521B4" w:rsidRPr="006D2720">
        <w:rPr>
          <w:rFonts w:ascii="Times New Roman" w:hAnsi="Times New Roman" w:cs="Times New Roman"/>
        </w:rPr>
        <w:t xml:space="preserve">suitable measures </w:t>
      </w:r>
      <w:r w:rsidR="00A041E1" w:rsidRPr="006D2720">
        <w:rPr>
          <w:rFonts w:ascii="Times New Roman" w:hAnsi="Times New Roman" w:cs="Times New Roman"/>
        </w:rPr>
        <w:t xml:space="preserve">must </w:t>
      </w:r>
      <w:r w:rsidR="00E9112E" w:rsidRPr="006D2720">
        <w:rPr>
          <w:rFonts w:ascii="Times New Roman" w:hAnsi="Times New Roman" w:cs="Times New Roman"/>
        </w:rPr>
        <w:t xml:space="preserve">be taken </w:t>
      </w:r>
      <w:r w:rsidR="00A521B4" w:rsidRPr="006D2720">
        <w:rPr>
          <w:rFonts w:ascii="Times New Roman" w:hAnsi="Times New Roman" w:cs="Times New Roman"/>
        </w:rPr>
        <w:t xml:space="preserve">to safeguard the </w:t>
      </w:r>
      <w:r w:rsidR="00E9112E" w:rsidRPr="006D2720">
        <w:rPr>
          <w:rFonts w:ascii="Times New Roman" w:hAnsi="Times New Roman" w:cs="Times New Roman"/>
        </w:rPr>
        <w:t xml:space="preserve">interests of the </w:t>
      </w:r>
      <w:r w:rsidR="00A521B4" w:rsidRPr="006D2720">
        <w:rPr>
          <w:rFonts w:ascii="Times New Roman" w:hAnsi="Times New Roman" w:cs="Times New Roman"/>
        </w:rPr>
        <w:t>individual concerned</w:t>
      </w:r>
      <w:r w:rsidR="005B3789" w:rsidRPr="006D2720">
        <w:rPr>
          <w:rFonts w:ascii="Times New Roman" w:hAnsi="Times New Roman" w:cs="Times New Roman"/>
        </w:rPr>
        <w:t xml:space="preserve">. This includes enabling the individual to request that </w:t>
      </w:r>
      <w:r w:rsidR="00E9112E" w:rsidRPr="006D2720">
        <w:rPr>
          <w:rFonts w:ascii="Times New Roman" w:hAnsi="Times New Roman" w:cs="Times New Roman"/>
        </w:rPr>
        <w:t xml:space="preserve">a </w:t>
      </w:r>
      <w:r w:rsidR="00827B15" w:rsidRPr="006D2720">
        <w:rPr>
          <w:rFonts w:ascii="Times New Roman" w:hAnsi="Times New Roman" w:cs="Times New Roman"/>
        </w:rPr>
        <w:t xml:space="preserve">human </w:t>
      </w:r>
      <w:r w:rsidR="00E9112E" w:rsidRPr="006D2720">
        <w:rPr>
          <w:rFonts w:ascii="Times New Roman" w:hAnsi="Times New Roman" w:cs="Times New Roman"/>
        </w:rPr>
        <w:t>be involved before any final decision or action is take</w:t>
      </w:r>
      <w:r w:rsidR="005B3789" w:rsidRPr="006D2720">
        <w:rPr>
          <w:rFonts w:ascii="Times New Roman" w:hAnsi="Times New Roman" w:cs="Times New Roman"/>
        </w:rPr>
        <w:t>n</w:t>
      </w:r>
      <w:r w:rsidR="00FF4ADA" w:rsidRPr="006D2720">
        <w:rPr>
          <w:rFonts w:ascii="Times New Roman" w:hAnsi="Times New Roman" w:cs="Times New Roman"/>
        </w:rPr>
        <w:t>,</w:t>
      </w:r>
      <w:r w:rsidR="00E9112E" w:rsidRPr="006D2720">
        <w:rPr>
          <w:rFonts w:ascii="Times New Roman" w:hAnsi="Times New Roman" w:cs="Times New Roman"/>
        </w:rPr>
        <w:t xml:space="preserve"> to express their point of view</w:t>
      </w:r>
      <w:r w:rsidR="00FF4ADA" w:rsidRPr="006D2720">
        <w:rPr>
          <w:rFonts w:ascii="Times New Roman" w:hAnsi="Times New Roman" w:cs="Times New Roman"/>
        </w:rPr>
        <w:t>,</w:t>
      </w:r>
      <w:r w:rsidR="00E9112E" w:rsidRPr="006D2720">
        <w:rPr>
          <w:rFonts w:ascii="Times New Roman" w:hAnsi="Times New Roman" w:cs="Times New Roman"/>
        </w:rPr>
        <w:t xml:space="preserve"> and to </w:t>
      </w:r>
      <w:r w:rsidR="00827B15" w:rsidRPr="006D2720">
        <w:rPr>
          <w:rFonts w:ascii="Times New Roman" w:hAnsi="Times New Roman" w:cs="Times New Roman"/>
        </w:rPr>
        <w:t xml:space="preserve">contest the decision. </w:t>
      </w:r>
    </w:p>
    <w:p w14:paraId="3736210C" w14:textId="4360ACED" w:rsidR="003E6965" w:rsidRPr="006D2720" w:rsidRDefault="00F27024" w:rsidP="00F936DD">
      <w:pPr>
        <w:pStyle w:val="Heading3"/>
        <w:rPr>
          <w:rFonts w:ascii="Times New Roman" w:hAnsi="Times New Roman" w:cs="Times New Roman"/>
        </w:rPr>
      </w:pPr>
      <w:r w:rsidRPr="006D2720">
        <w:rPr>
          <w:rFonts w:ascii="Times New Roman" w:hAnsi="Times New Roman" w:cs="Times New Roman"/>
        </w:rPr>
        <w:t>The Australian Human Rights Commission</w:t>
      </w:r>
      <w:r w:rsidR="00905527" w:rsidRPr="006D2720">
        <w:rPr>
          <w:rFonts w:ascii="Times New Roman" w:hAnsi="Times New Roman" w:cs="Times New Roman"/>
        </w:rPr>
        <w:t xml:space="preserve"> (</w:t>
      </w:r>
      <w:r w:rsidR="00DD1548" w:rsidRPr="006D2720">
        <w:rPr>
          <w:rFonts w:ascii="Times New Roman" w:hAnsi="Times New Roman" w:cs="Times New Roman"/>
        </w:rPr>
        <w:t>‘</w:t>
      </w:r>
      <w:r w:rsidR="00905527" w:rsidRPr="006D2720">
        <w:rPr>
          <w:rFonts w:ascii="Times New Roman" w:hAnsi="Times New Roman" w:cs="Times New Roman"/>
        </w:rPr>
        <w:t>AHRC</w:t>
      </w:r>
      <w:r w:rsidR="00DD1548" w:rsidRPr="006D2720">
        <w:rPr>
          <w:rFonts w:ascii="Times New Roman" w:hAnsi="Times New Roman" w:cs="Times New Roman"/>
        </w:rPr>
        <w:t>’</w:t>
      </w:r>
      <w:r w:rsidR="00905527" w:rsidRPr="006D2720">
        <w:rPr>
          <w:rFonts w:ascii="Times New Roman" w:hAnsi="Times New Roman" w:cs="Times New Roman"/>
        </w:rPr>
        <w:t>)</w:t>
      </w:r>
      <w:r w:rsidR="00562F3F" w:rsidRPr="006D2720">
        <w:rPr>
          <w:rFonts w:ascii="Times New Roman" w:hAnsi="Times New Roman" w:cs="Times New Roman"/>
        </w:rPr>
        <w:t xml:space="preserve"> </w:t>
      </w:r>
      <w:r w:rsidR="00B75203" w:rsidRPr="006D2720">
        <w:rPr>
          <w:rFonts w:ascii="Times New Roman" w:hAnsi="Times New Roman" w:cs="Times New Roman"/>
        </w:rPr>
        <w:t xml:space="preserve">has </w:t>
      </w:r>
      <w:r w:rsidR="0074557D" w:rsidRPr="006D2720">
        <w:rPr>
          <w:rFonts w:ascii="Times New Roman" w:hAnsi="Times New Roman" w:cs="Times New Roman"/>
        </w:rPr>
        <w:t xml:space="preserve">recognised the various difficulties associated with regulating the use of AI, including the technical complexity of developing and understanding the operation of AI systems. In light of this, </w:t>
      </w:r>
      <w:r w:rsidR="0063083B" w:rsidRPr="006D2720">
        <w:rPr>
          <w:rFonts w:ascii="Times New Roman" w:hAnsi="Times New Roman" w:cs="Times New Roman"/>
        </w:rPr>
        <w:t>the A</w:t>
      </w:r>
      <w:r w:rsidR="00FF4ADA" w:rsidRPr="006D2720">
        <w:rPr>
          <w:rFonts w:ascii="Times New Roman" w:hAnsi="Times New Roman" w:cs="Times New Roman"/>
        </w:rPr>
        <w:t>H</w:t>
      </w:r>
      <w:r w:rsidR="0063083B" w:rsidRPr="006D2720">
        <w:rPr>
          <w:rFonts w:ascii="Times New Roman" w:hAnsi="Times New Roman" w:cs="Times New Roman"/>
        </w:rPr>
        <w:t>RC</w:t>
      </w:r>
      <w:r w:rsidR="0074557D" w:rsidRPr="006D2720">
        <w:rPr>
          <w:rFonts w:ascii="Times New Roman" w:hAnsi="Times New Roman" w:cs="Times New Roman"/>
        </w:rPr>
        <w:t xml:space="preserve"> </w:t>
      </w:r>
      <w:r w:rsidR="00562F3F" w:rsidRPr="006D2720">
        <w:rPr>
          <w:rFonts w:ascii="Times New Roman" w:hAnsi="Times New Roman" w:cs="Times New Roman"/>
        </w:rPr>
        <w:t xml:space="preserve">made recommendations relating to </w:t>
      </w:r>
      <w:r w:rsidR="00276915" w:rsidRPr="006D2720">
        <w:rPr>
          <w:rFonts w:ascii="Times New Roman" w:hAnsi="Times New Roman" w:cs="Times New Roman"/>
        </w:rPr>
        <w:t xml:space="preserve">governments using </w:t>
      </w:r>
      <w:r w:rsidR="002F622D" w:rsidRPr="006D2720">
        <w:rPr>
          <w:rFonts w:ascii="Times New Roman" w:hAnsi="Times New Roman" w:cs="Times New Roman"/>
        </w:rPr>
        <w:t xml:space="preserve">decision-making systems informed by </w:t>
      </w:r>
      <w:r w:rsidR="00466672" w:rsidRPr="006D2720">
        <w:rPr>
          <w:rFonts w:ascii="Times New Roman" w:hAnsi="Times New Roman" w:cs="Times New Roman"/>
        </w:rPr>
        <w:t>artificial</w:t>
      </w:r>
      <w:r w:rsidR="002F622D" w:rsidRPr="006D2720">
        <w:rPr>
          <w:rFonts w:ascii="Times New Roman" w:hAnsi="Times New Roman" w:cs="Times New Roman"/>
        </w:rPr>
        <w:t xml:space="preserve"> </w:t>
      </w:r>
      <w:r w:rsidR="00466672" w:rsidRPr="006D2720">
        <w:rPr>
          <w:rFonts w:ascii="Times New Roman" w:hAnsi="Times New Roman" w:cs="Times New Roman"/>
        </w:rPr>
        <w:t>intelligence</w:t>
      </w:r>
      <w:r w:rsidR="002F622D" w:rsidRPr="006D2720">
        <w:rPr>
          <w:rFonts w:ascii="Times New Roman" w:hAnsi="Times New Roman" w:cs="Times New Roman"/>
        </w:rPr>
        <w:t xml:space="preserve"> </w:t>
      </w:r>
      <w:r w:rsidR="003A2EDA" w:rsidRPr="006D2720">
        <w:rPr>
          <w:rFonts w:ascii="Times New Roman" w:hAnsi="Times New Roman" w:cs="Times New Roman"/>
        </w:rPr>
        <w:t>to make administrative decisions</w:t>
      </w:r>
      <w:r w:rsidR="00065354" w:rsidRPr="006D2720">
        <w:rPr>
          <w:rFonts w:ascii="Times New Roman" w:hAnsi="Times New Roman" w:cs="Times New Roman"/>
        </w:rPr>
        <w:t>.</w:t>
      </w:r>
      <w:r w:rsidR="00586926" w:rsidRPr="006D2720">
        <w:rPr>
          <w:rStyle w:val="FootnoteReference"/>
          <w:rFonts w:ascii="Times New Roman" w:hAnsi="Times New Roman" w:cs="Times New Roman"/>
        </w:rPr>
        <w:footnoteReference w:id="210"/>
      </w:r>
      <w:r w:rsidR="000303C7" w:rsidRPr="006D2720">
        <w:rPr>
          <w:rFonts w:ascii="Times New Roman" w:hAnsi="Times New Roman" w:cs="Times New Roman"/>
        </w:rPr>
        <w:t xml:space="preserve"> </w:t>
      </w:r>
      <w:r w:rsidR="007C4FE2" w:rsidRPr="006D2720">
        <w:rPr>
          <w:rFonts w:ascii="Times New Roman" w:hAnsi="Times New Roman" w:cs="Times New Roman"/>
        </w:rPr>
        <w:t>The recommendations</w:t>
      </w:r>
      <w:r w:rsidR="0074557D" w:rsidRPr="006D2720">
        <w:rPr>
          <w:rFonts w:ascii="Times New Roman" w:hAnsi="Times New Roman" w:cs="Times New Roman"/>
        </w:rPr>
        <w:t xml:space="preserve"> </w:t>
      </w:r>
      <w:r w:rsidR="00796ABE" w:rsidRPr="006D2720">
        <w:rPr>
          <w:rFonts w:ascii="Times New Roman" w:hAnsi="Times New Roman" w:cs="Times New Roman"/>
        </w:rPr>
        <w:t>include</w:t>
      </w:r>
      <w:r w:rsidR="0074557D" w:rsidRPr="006D2720">
        <w:rPr>
          <w:rFonts w:ascii="Times New Roman" w:hAnsi="Times New Roman" w:cs="Times New Roman"/>
        </w:rPr>
        <w:t>d</w:t>
      </w:r>
      <w:r w:rsidR="00796ABE" w:rsidRPr="006D2720">
        <w:rPr>
          <w:rFonts w:ascii="Times New Roman" w:hAnsi="Times New Roman" w:cs="Times New Roman"/>
        </w:rPr>
        <w:t>:</w:t>
      </w:r>
    </w:p>
    <w:p w14:paraId="3B12CCAB" w14:textId="1FA0D72C" w:rsidR="00AC7D06" w:rsidRPr="006D2720" w:rsidRDefault="00AC7D06" w:rsidP="00796ABE">
      <w:pPr>
        <w:pStyle w:val="Dotpointlist"/>
        <w:rPr>
          <w:rFonts w:ascii="Times New Roman" w:hAnsi="Times New Roman" w:cs="Times New Roman"/>
        </w:rPr>
      </w:pPr>
      <w:r w:rsidRPr="006D2720">
        <w:rPr>
          <w:rFonts w:ascii="Times New Roman" w:hAnsi="Times New Roman" w:cs="Times New Roman"/>
        </w:rPr>
        <w:t>c</w:t>
      </w:r>
      <w:r w:rsidR="00796ABE" w:rsidRPr="006D2720">
        <w:rPr>
          <w:rFonts w:ascii="Times New Roman" w:hAnsi="Times New Roman" w:cs="Times New Roman"/>
        </w:rPr>
        <w:t>arrying out</w:t>
      </w:r>
      <w:r w:rsidR="001A4FFE" w:rsidRPr="006D2720">
        <w:rPr>
          <w:rFonts w:ascii="Times New Roman" w:hAnsi="Times New Roman" w:cs="Times New Roman"/>
        </w:rPr>
        <w:t xml:space="preserve"> </w:t>
      </w:r>
      <w:r w:rsidR="00692708" w:rsidRPr="006D2720">
        <w:rPr>
          <w:rFonts w:ascii="Times New Roman" w:hAnsi="Times New Roman" w:cs="Times New Roman"/>
        </w:rPr>
        <w:t>a</w:t>
      </w:r>
      <w:r w:rsidR="00E12ECC" w:rsidRPr="006D2720">
        <w:rPr>
          <w:rFonts w:ascii="Times New Roman" w:hAnsi="Times New Roman" w:cs="Times New Roman"/>
        </w:rPr>
        <w:t xml:space="preserve"> ‘</w:t>
      </w:r>
      <w:r w:rsidR="000303C7" w:rsidRPr="006D2720">
        <w:rPr>
          <w:rFonts w:ascii="Times New Roman" w:hAnsi="Times New Roman" w:cs="Times New Roman"/>
        </w:rPr>
        <w:t>Human R</w:t>
      </w:r>
      <w:r w:rsidR="004F143E" w:rsidRPr="006D2720">
        <w:rPr>
          <w:rFonts w:ascii="Times New Roman" w:hAnsi="Times New Roman" w:cs="Times New Roman"/>
        </w:rPr>
        <w:t>i</w:t>
      </w:r>
      <w:r w:rsidR="000303C7" w:rsidRPr="006D2720">
        <w:rPr>
          <w:rFonts w:ascii="Times New Roman" w:hAnsi="Times New Roman" w:cs="Times New Roman"/>
        </w:rPr>
        <w:t>ghts</w:t>
      </w:r>
      <w:r w:rsidR="004F143E" w:rsidRPr="006D2720">
        <w:rPr>
          <w:rFonts w:ascii="Times New Roman" w:hAnsi="Times New Roman" w:cs="Times New Roman"/>
        </w:rPr>
        <w:t xml:space="preserve"> Impact Assessment</w:t>
      </w:r>
      <w:r w:rsidR="00E12ECC" w:rsidRPr="006D2720">
        <w:rPr>
          <w:rFonts w:ascii="Times New Roman" w:hAnsi="Times New Roman" w:cs="Times New Roman"/>
        </w:rPr>
        <w:t>’</w:t>
      </w:r>
      <w:r w:rsidR="00692708" w:rsidRPr="006D2720">
        <w:rPr>
          <w:rFonts w:ascii="Times New Roman" w:hAnsi="Times New Roman" w:cs="Times New Roman"/>
        </w:rPr>
        <w:t xml:space="preserve"> </w:t>
      </w:r>
      <w:r w:rsidR="005361FC" w:rsidRPr="006D2720">
        <w:rPr>
          <w:rFonts w:ascii="Times New Roman" w:hAnsi="Times New Roman" w:cs="Times New Roman"/>
        </w:rPr>
        <w:t xml:space="preserve">before the system is used in order to </w:t>
      </w:r>
      <w:r w:rsidR="00E12ECC" w:rsidRPr="006D2720">
        <w:rPr>
          <w:rFonts w:ascii="Times New Roman" w:hAnsi="Times New Roman" w:cs="Times New Roman"/>
        </w:rPr>
        <w:t>evaluat</w:t>
      </w:r>
      <w:r w:rsidR="00692708" w:rsidRPr="006D2720">
        <w:rPr>
          <w:rFonts w:ascii="Times New Roman" w:hAnsi="Times New Roman" w:cs="Times New Roman"/>
        </w:rPr>
        <w:t xml:space="preserve">e </w:t>
      </w:r>
      <w:r w:rsidR="00B75203" w:rsidRPr="006D2720">
        <w:rPr>
          <w:rFonts w:ascii="Times New Roman" w:hAnsi="Times New Roman" w:cs="Times New Roman"/>
        </w:rPr>
        <w:t>its</w:t>
      </w:r>
      <w:r w:rsidR="00E12ECC" w:rsidRPr="006D2720">
        <w:rPr>
          <w:rFonts w:ascii="Times New Roman" w:hAnsi="Times New Roman" w:cs="Times New Roman"/>
        </w:rPr>
        <w:t xml:space="preserve"> possible impacts on human rights</w:t>
      </w:r>
      <w:r w:rsidR="00FA0360" w:rsidRPr="006D2720">
        <w:rPr>
          <w:rFonts w:ascii="Times New Roman" w:hAnsi="Times New Roman" w:cs="Times New Roman"/>
        </w:rPr>
        <w:t>,</w:t>
      </w:r>
      <w:r w:rsidR="00E12ECC" w:rsidRPr="006D2720">
        <w:rPr>
          <w:rFonts w:ascii="Times New Roman" w:hAnsi="Times New Roman" w:cs="Times New Roman"/>
        </w:rPr>
        <w:t xml:space="preserve"> </w:t>
      </w:r>
      <w:r w:rsidR="004F143E" w:rsidRPr="006D2720">
        <w:rPr>
          <w:rFonts w:ascii="Times New Roman" w:hAnsi="Times New Roman" w:cs="Times New Roman"/>
        </w:rPr>
        <w:t xml:space="preserve">including </w:t>
      </w:r>
      <w:r w:rsidR="008931D5" w:rsidRPr="006D2720">
        <w:rPr>
          <w:rFonts w:ascii="Times New Roman" w:hAnsi="Times New Roman" w:cs="Times New Roman"/>
        </w:rPr>
        <w:t xml:space="preserve">how </w:t>
      </w:r>
      <w:r w:rsidR="00175B58" w:rsidRPr="006D2720">
        <w:rPr>
          <w:rFonts w:ascii="Times New Roman" w:hAnsi="Times New Roman" w:cs="Times New Roman"/>
        </w:rPr>
        <w:t xml:space="preserve">the system </w:t>
      </w:r>
      <w:r w:rsidR="008931D5" w:rsidRPr="006D2720">
        <w:rPr>
          <w:rFonts w:ascii="Times New Roman" w:hAnsi="Times New Roman" w:cs="Times New Roman"/>
        </w:rPr>
        <w:t xml:space="preserve">impacts </w:t>
      </w:r>
      <w:r w:rsidR="004F143E" w:rsidRPr="006D2720">
        <w:rPr>
          <w:rFonts w:ascii="Times New Roman" w:hAnsi="Times New Roman" w:cs="Times New Roman"/>
        </w:rPr>
        <w:t>privacy</w:t>
      </w:r>
      <w:r w:rsidR="00175B58" w:rsidRPr="006D2720">
        <w:rPr>
          <w:rFonts w:ascii="Times New Roman" w:hAnsi="Times New Roman" w:cs="Times New Roman"/>
        </w:rPr>
        <w:t xml:space="preserve"> and whether it provides for appropriate review of decisions by human decision makers</w:t>
      </w:r>
      <w:r w:rsidR="00451595" w:rsidRPr="006D2720">
        <w:rPr>
          <w:rFonts w:ascii="Times New Roman" w:hAnsi="Times New Roman" w:cs="Times New Roman"/>
        </w:rPr>
        <w:t>;</w:t>
      </w:r>
      <w:r w:rsidR="00905527" w:rsidRPr="006D2720">
        <w:rPr>
          <w:rStyle w:val="FootnoteReference"/>
          <w:rFonts w:ascii="Times New Roman" w:hAnsi="Times New Roman" w:cs="Times New Roman"/>
        </w:rPr>
        <w:footnoteReference w:id="211"/>
      </w:r>
      <w:r w:rsidR="00905527" w:rsidRPr="006D2720">
        <w:rPr>
          <w:rFonts w:ascii="Times New Roman" w:hAnsi="Times New Roman" w:cs="Times New Roman"/>
        </w:rPr>
        <w:t xml:space="preserve"> </w:t>
      </w:r>
    </w:p>
    <w:p w14:paraId="4770CA09" w14:textId="5A36B1FA" w:rsidR="00451595" w:rsidRPr="006D2720" w:rsidRDefault="00451595" w:rsidP="00C518F3">
      <w:pPr>
        <w:pStyle w:val="Dotpointlist"/>
        <w:rPr>
          <w:rFonts w:ascii="Times New Roman" w:hAnsi="Times New Roman" w:cs="Times New Roman"/>
        </w:rPr>
      </w:pPr>
      <w:r w:rsidRPr="006D2720">
        <w:rPr>
          <w:rFonts w:ascii="Times New Roman" w:hAnsi="Times New Roman" w:cs="Times New Roman"/>
        </w:rPr>
        <w:t>p</w:t>
      </w:r>
      <w:r w:rsidR="00AC7D06" w:rsidRPr="006D2720">
        <w:rPr>
          <w:rFonts w:ascii="Times New Roman" w:hAnsi="Times New Roman" w:cs="Times New Roman"/>
        </w:rPr>
        <w:t xml:space="preserve">roviding for </w:t>
      </w:r>
      <w:r w:rsidRPr="006D2720">
        <w:rPr>
          <w:rFonts w:ascii="Times New Roman" w:hAnsi="Times New Roman" w:cs="Times New Roman"/>
        </w:rPr>
        <w:t xml:space="preserve">mechanisms to independently review the </w:t>
      </w:r>
      <w:r w:rsidR="00A20091" w:rsidRPr="006D2720">
        <w:rPr>
          <w:rFonts w:ascii="Times New Roman" w:hAnsi="Times New Roman" w:cs="Times New Roman"/>
        </w:rPr>
        <w:t>merits</w:t>
      </w:r>
      <w:r w:rsidR="00142E28" w:rsidRPr="006D2720">
        <w:rPr>
          <w:rFonts w:ascii="Times New Roman" w:hAnsi="Times New Roman" w:cs="Times New Roman"/>
        </w:rPr>
        <w:t xml:space="preserve"> </w:t>
      </w:r>
      <w:r w:rsidRPr="006D2720">
        <w:rPr>
          <w:rFonts w:ascii="Times New Roman" w:hAnsi="Times New Roman" w:cs="Times New Roman"/>
        </w:rPr>
        <w:t>of any decision made;</w:t>
      </w:r>
      <w:r w:rsidR="00905527" w:rsidRPr="006D2720">
        <w:rPr>
          <w:rStyle w:val="FootnoteReference"/>
          <w:rFonts w:ascii="Times New Roman" w:hAnsi="Times New Roman" w:cs="Times New Roman"/>
        </w:rPr>
        <w:footnoteReference w:id="212"/>
      </w:r>
      <w:r w:rsidR="00142E28" w:rsidRPr="006D2720">
        <w:rPr>
          <w:rFonts w:ascii="Times New Roman" w:hAnsi="Times New Roman" w:cs="Times New Roman"/>
        </w:rPr>
        <w:t xml:space="preserve"> </w:t>
      </w:r>
    </w:p>
    <w:p w14:paraId="117FDC6A" w14:textId="11376C02" w:rsidR="00524EC0" w:rsidRPr="006D2720" w:rsidRDefault="00F2261A" w:rsidP="00796ABE">
      <w:pPr>
        <w:pStyle w:val="Dotpointlist"/>
        <w:rPr>
          <w:rFonts w:ascii="Times New Roman" w:hAnsi="Times New Roman" w:cs="Times New Roman"/>
        </w:rPr>
      </w:pPr>
      <w:r w:rsidRPr="006D2720">
        <w:rPr>
          <w:rFonts w:ascii="Times New Roman" w:hAnsi="Times New Roman" w:cs="Times New Roman"/>
        </w:rPr>
        <w:t>requiring</w:t>
      </w:r>
      <w:r w:rsidR="00142E28" w:rsidRPr="006D2720">
        <w:rPr>
          <w:rFonts w:ascii="Times New Roman" w:hAnsi="Times New Roman" w:cs="Times New Roman"/>
        </w:rPr>
        <w:t xml:space="preserve"> </w:t>
      </w:r>
      <w:r w:rsidR="00561C19" w:rsidRPr="006D2720">
        <w:rPr>
          <w:rFonts w:ascii="Times New Roman" w:hAnsi="Times New Roman" w:cs="Times New Roman"/>
        </w:rPr>
        <w:t xml:space="preserve">the </w:t>
      </w:r>
      <w:r w:rsidRPr="006D2720">
        <w:rPr>
          <w:rFonts w:ascii="Times New Roman" w:hAnsi="Times New Roman" w:cs="Times New Roman"/>
        </w:rPr>
        <w:t xml:space="preserve">use of </w:t>
      </w:r>
      <w:r w:rsidR="00142E28" w:rsidRPr="006D2720">
        <w:rPr>
          <w:rFonts w:ascii="Times New Roman" w:hAnsi="Times New Roman" w:cs="Times New Roman"/>
        </w:rPr>
        <w:t xml:space="preserve">AI </w:t>
      </w:r>
      <w:r w:rsidRPr="006D2720">
        <w:rPr>
          <w:rFonts w:ascii="Times New Roman" w:hAnsi="Times New Roman" w:cs="Times New Roman"/>
        </w:rPr>
        <w:t xml:space="preserve">to be </w:t>
      </w:r>
      <w:r w:rsidR="00905527" w:rsidRPr="006D2720">
        <w:rPr>
          <w:rFonts w:ascii="Times New Roman" w:hAnsi="Times New Roman" w:cs="Times New Roman"/>
        </w:rPr>
        <w:t xml:space="preserve">specifically </w:t>
      </w:r>
      <w:r w:rsidR="00142E28" w:rsidRPr="006D2720">
        <w:rPr>
          <w:rFonts w:ascii="Times New Roman" w:hAnsi="Times New Roman" w:cs="Times New Roman"/>
        </w:rPr>
        <w:t>authorised and governed by legislation</w:t>
      </w:r>
      <w:r w:rsidR="00524EC0" w:rsidRPr="006D2720">
        <w:rPr>
          <w:rFonts w:ascii="Times New Roman" w:hAnsi="Times New Roman" w:cs="Times New Roman"/>
        </w:rPr>
        <w:t>;</w:t>
      </w:r>
    </w:p>
    <w:p w14:paraId="246602E5" w14:textId="7CD5A42A" w:rsidR="00524EC0" w:rsidRPr="006D2720" w:rsidRDefault="00524EC0" w:rsidP="00796ABE">
      <w:pPr>
        <w:pStyle w:val="Dotpointlist"/>
        <w:rPr>
          <w:rFonts w:ascii="Times New Roman" w:hAnsi="Times New Roman" w:cs="Times New Roman"/>
        </w:rPr>
      </w:pPr>
      <w:r w:rsidRPr="006D2720">
        <w:rPr>
          <w:rFonts w:ascii="Times New Roman" w:hAnsi="Times New Roman" w:cs="Times New Roman"/>
        </w:rPr>
        <w:t>requiring</w:t>
      </w:r>
      <w:r w:rsidR="00384A6C" w:rsidRPr="006D2720">
        <w:rPr>
          <w:rFonts w:ascii="Times New Roman" w:hAnsi="Times New Roman" w:cs="Times New Roman"/>
        </w:rPr>
        <w:t xml:space="preserve"> </w:t>
      </w:r>
      <w:r w:rsidRPr="006D2720">
        <w:rPr>
          <w:rFonts w:ascii="Times New Roman" w:hAnsi="Times New Roman" w:cs="Times New Roman"/>
        </w:rPr>
        <w:t xml:space="preserve">individuals to be </w:t>
      </w:r>
      <w:r w:rsidR="00384A6C" w:rsidRPr="006D2720">
        <w:rPr>
          <w:rFonts w:ascii="Times New Roman" w:hAnsi="Times New Roman" w:cs="Times New Roman"/>
        </w:rPr>
        <w:t>notified before AI</w:t>
      </w:r>
      <w:r w:rsidR="00CE49AD" w:rsidRPr="006D2720">
        <w:rPr>
          <w:rFonts w:ascii="Times New Roman" w:hAnsi="Times New Roman" w:cs="Times New Roman"/>
        </w:rPr>
        <w:t xml:space="preserve"> </w:t>
      </w:r>
      <w:r w:rsidR="00905527" w:rsidRPr="006D2720">
        <w:rPr>
          <w:rFonts w:ascii="Times New Roman" w:hAnsi="Times New Roman" w:cs="Times New Roman"/>
        </w:rPr>
        <w:t>is used in a material way in decisions which may affect an individual’s interests</w:t>
      </w:r>
      <w:r w:rsidRPr="006D2720">
        <w:rPr>
          <w:rFonts w:ascii="Times New Roman" w:hAnsi="Times New Roman" w:cs="Times New Roman"/>
        </w:rPr>
        <w:t>;</w:t>
      </w:r>
    </w:p>
    <w:p w14:paraId="558CF600" w14:textId="7282738E" w:rsidR="00F739FA" w:rsidRPr="006D2720" w:rsidRDefault="00524EC0" w:rsidP="00796ABE">
      <w:pPr>
        <w:pStyle w:val="Dotpointlist"/>
        <w:rPr>
          <w:rFonts w:ascii="Times New Roman" w:hAnsi="Times New Roman" w:cs="Times New Roman"/>
        </w:rPr>
      </w:pPr>
      <w:r w:rsidRPr="006D2720">
        <w:rPr>
          <w:rFonts w:ascii="Times New Roman" w:hAnsi="Times New Roman" w:cs="Times New Roman"/>
        </w:rPr>
        <w:t xml:space="preserve">informing individuals on </w:t>
      </w:r>
      <w:r w:rsidR="00CE49AD" w:rsidRPr="006D2720">
        <w:rPr>
          <w:rFonts w:ascii="Times New Roman" w:hAnsi="Times New Roman" w:cs="Times New Roman"/>
        </w:rPr>
        <w:t xml:space="preserve">how </w:t>
      </w:r>
      <w:r w:rsidRPr="006D2720">
        <w:rPr>
          <w:rFonts w:ascii="Times New Roman" w:hAnsi="Times New Roman" w:cs="Times New Roman"/>
        </w:rPr>
        <w:t xml:space="preserve">they can </w:t>
      </w:r>
      <w:r w:rsidR="00CE49AD" w:rsidRPr="006D2720">
        <w:rPr>
          <w:rFonts w:ascii="Times New Roman" w:hAnsi="Times New Roman" w:cs="Times New Roman"/>
        </w:rPr>
        <w:t xml:space="preserve">challenge </w:t>
      </w:r>
      <w:r w:rsidRPr="006D2720">
        <w:rPr>
          <w:rFonts w:ascii="Times New Roman" w:hAnsi="Times New Roman" w:cs="Times New Roman"/>
        </w:rPr>
        <w:t xml:space="preserve">a </w:t>
      </w:r>
      <w:r w:rsidR="00CE49AD" w:rsidRPr="006D2720">
        <w:rPr>
          <w:rFonts w:ascii="Times New Roman" w:hAnsi="Times New Roman" w:cs="Times New Roman"/>
        </w:rPr>
        <w:t>decision</w:t>
      </w:r>
      <w:r w:rsidR="00F739FA" w:rsidRPr="006D2720">
        <w:rPr>
          <w:rFonts w:ascii="Times New Roman" w:hAnsi="Times New Roman" w:cs="Times New Roman"/>
        </w:rPr>
        <w:t xml:space="preserve"> where AI has been used in a material way;</w:t>
      </w:r>
      <w:r w:rsidR="00905527" w:rsidRPr="006D2720">
        <w:rPr>
          <w:rStyle w:val="FootnoteReference"/>
          <w:rFonts w:ascii="Times New Roman" w:hAnsi="Times New Roman" w:cs="Times New Roman"/>
        </w:rPr>
        <w:footnoteReference w:id="213"/>
      </w:r>
      <w:r w:rsidR="00BB2E8E" w:rsidRPr="006D2720">
        <w:rPr>
          <w:rFonts w:ascii="Times New Roman" w:hAnsi="Times New Roman" w:cs="Times New Roman"/>
        </w:rPr>
        <w:t xml:space="preserve"> </w:t>
      </w:r>
      <w:r w:rsidR="001B055C" w:rsidRPr="006D2720">
        <w:rPr>
          <w:rFonts w:ascii="Times New Roman" w:hAnsi="Times New Roman" w:cs="Times New Roman"/>
        </w:rPr>
        <w:t>and</w:t>
      </w:r>
    </w:p>
    <w:p w14:paraId="0D91D167" w14:textId="134AA5AD" w:rsidR="00142E28" w:rsidRPr="006D2720" w:rsidRDefault="001B055C" w:rsidP="0066337D">
      <w:pPr>
        <w:pStyle w:val="Dotpointlist"/>
        <w:rPr>
          <w:rFonts w:ascii="Times New Roman" w:hAnsi="Times New Roman" w:cs="Times New Roman"/>
        </w:rPr>
      </w:pPr>
      <w:r w:rsidRPr="006D2720">
        <w:rPr>
          <w:rFonts w:ascii="Times New Roman" w:hAnsi="Times New Roman" w:cs="Times New Roman"/>
        </w:rPr>
        <w:t xml:space="preserve">requiring reasons </w:t>
      </w:r>
      <w:r w:rsidR="00BB2E8E" w:rsidRPr="006D2720">
        <w:rPr>
          <w:rFonts w:ascii="Times New Roman" w:hAnsi="Times New Roman" w:cs="Times New Roman"/>
        </w:rPr>
        <w:t xml:space="preserve">or a technical explanation of the decision </w:t>
      </w:r>
      <w:r w:rsidRPr="006D2720">
        <w:rPr>
          <w:rFonts w:ascii="Times New Roman" w:hAnsi="Times New Roman" w:cs="Times New Roman"/>
        </w:rPr>
        <w:t xml:space="preserve">to be given </w:t>
      </w:r>
      <w:r w:rsidR="00285B6B" w:rsidRPr="006D2720">
        <w:rPr>
          <w:rFonts w:ascii="Times New Roman" w:hAnsi="Times New Roman" w:cs="Times New Roman"/>
        </w:rPr>
        <w:t>before a decision can be considered lawful</w:t>
      </w:r>
      <w:r w:rsidR="00905527" w:rsidRPr="006D2720">
        <w:rPr>
          <w:rFonts w:ascii="Times New Roman" w:hAnsi="Times New Roman" w:cs="Times New Roman"/>
        </w:rPr>
        <w:t>.</w:t>
      </w:r>
      <w:r w:rsidR="00905527" w:rsidRPr="006D2720">
        <w:rPr>
          <w:rStyle w:val="FootnoteReference"/>
          <w:rFonts w:ascii="Times New Roman" w:hAnsi="Times New Roman" w:cs="Times New Roman"/>
        </w:rPr>
        <w:footnoteReference w:id="214"/>
      </w:r>
      <w:r w:rsidR="00905527" w:rsidRPr="006D2720" w:rsidDel="00905527">
        <w:rPr>
          <w:rFonts w:ascii="Times New Roman" w:hAnsi="Times New Roman" w:cs="Times New Roman"/>
        </w:rPr>
        <w:t xml:space="preserve"> </w:t>
      </w:r>
      <w:r w:rsidR="007E0F8F" w:rsidRPr="006D2720">
        <w:rPr>
          <w:rFonts w:ascii="Times New Roman" w:hAnsi="Times New Roman" w:cs="Times New Roman"/>
        </w:rPr>
        <w:t xml:space="preserve"> </w:t>
      </w:r>
    </w:p>
    <w:p w14:paraId="19C5634E" w14:textId="270DF950" w:rsidR="00905527" w:rsidRPr="006D2720" w:rsidRDefault="006379A6" w:rsidP="0066337D">
      <w:pPr>
        <w:pStyle w:val="Heading3"/>
        <w:rPr>
          <w:rFonts w:ascii="Times New Roman" w:hAnsi="Times New Roman" w:cs="Times New Roman"/>
        </w:rPr>
      </w:pPr>
      <w:bookmarkStart w:id="298" w:name="_Ref91660118"/>
      <w:r w:rsidRPr="006D2720">
        <w:rPr>
          <w:rFonts w:ascii="Times New Roman" w:hAnsi="Times New Roman" w:cs="Times New Roman"/>
        </w:rPr>
        <w:t>In general, requiring transparency, monitoring</w:t>
      </w:r>
      <w:r w:rsidR="007C5A13" w:rsidRPr="006D2720">
        <w:rPr>
          <w:rFonts w:ascii="Times New Roman" w:hAnsi="Times New Roman" w:cs="Times New Roman"/>
        </w:rPr>
        <w:t>,</w:t>
      </w:r>
      <w:r w:rsidRPr="006D2720">
        <w:rPr>
          <w:rFonts w:ascii="Times New Roman" w:hAnsi="Times New Roman" w:cs="Times New Roman"/>
        </w:rPr>
        <w:t xml:space="preserve"> and accountability of AI may protect against inappropriate or unduly invasive use of personal information. Such regulations regarding </w:t>
      </w:r>
      <w:r w:rsidR="001B4F74" w:rsidRPr="006D2720">
        <w:rPr>
          <w:rFonts w:ascii="Times New Roman" w:hAnsi="Times New Roman" w:cs="Times New Roman"/>
        </w:rPr>
        <w:t xml:space="preserve">government use </w:t>
      </w:r>
      <w:r w:rsidR="00905527" w:rsidRPr="006D2720">
        <w:rPr>
          <w:rFonts w:ascii="Times New Roman" w:hAnsi="Times New Roman" w:cs="Times New Roman"/>
        </w:rPr>
        <w:t xml:space="preserve">of AI could be included in </w:t>
      </w:r>
      <w:r w:rsidR="003A22E2" w:rsidRPr="006D2720">
        <w:rPr>
          <w:rFonts w:ascii="Times New Roman" w:hAnsi="Times New Roman" w:cs="Times New Roman"/>
        </w:rPr>
        <w:t xml:space="preserve">the </w:t>
      </w:r>
      <w:r w:rsidR="00905527" w:rsidRPr="006D2720">
        <w:rPr>
          <w:rFonts w:ascii="Times New Roman" w:hAnsi="Times New Roman" w:cs="Times New Roman"/>
        </w:rPr>
        <w:t xml:space="preserve">PIPA or </w:t>
      </w:r>
      <w:r w:rsidR="003A22E2" w:rsidRPr="006D2720">
        <w:rPr>
          <w:rFonts w:ascii="Times New Roman" w:hAnsi="Times New Roman" w:cs="Times New Roman"/>
        </w:rPr>
        <w:t xml:space="preserve">in </w:t>
      </w:r>
      <w:r w:rsidR="00905527" w:rsidRPr="006D2720">
        <w:rPr>
          <w:rFonts w:ascii="Times New Roman" w:hAnsi="Times New Roman" w:cs="Times New Roman"/>
        </w:rPr>
        <w:t>separate but complementary legislation.</w:t>
      </w:r>
      <w:bookmarkEnd w:id="298"/>
      <w:r w:rsidR="00905527" w:rsidRPr="006D272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91"/>
        <w:gridCol w:w="8525"/>
      </w:tblGrid>
      <w:tr w:rsidR="00344310" w:rsidRPr="000B0DF0" w14:paraId="0623B301" w14:textId="77777777" w:rsidTr="00951B41">
        <w:tc>
          <w:tcPr>
            <w:tcW w:w="0" w:type="auto"/>
            <w:gridSpan w:val="2"/>
            <w:shd w:val="clear" w:color="auto" w:fill="A6A6A6" w:themeFill="background1" w:themeFillShade="A6"/>
          </w:tcPr>
          <w:p w14:paraId="048C6D08" w14:textId="77777777" w:rsidR="00344310" w:rsidRPr="000B0DF0" w:rsidRDefault="00344310" w:rsidP="00951B41">
            <w:pPr>
              <w:rPr>
                <w:rFonts w:ascii="Times New Roman" w:hAnsi="Times New Roman" w:cs="Times New Roman"/>
                <w:b/>
                <w:bCs/>
                <w:sz w:val="22"/>
                <w:szCs w:val="22"/>
              </w:rPr>
            </w:pPr>
          </w:p>
          <w:p w14:paraId="1A3F744C" w14:textId="77777777" w:rsidR="00344310" w:rsidRPr="000B0DF0" w:rsidRDefault="00344310" w:rsidP="00951B41">
            <w:pPr>
              <w:rPr>
                <w:rFonts w:ascii="Times New Roman" w:hAnsi="Times New Roman" w:cs="Times New Roman"/>
                <w:b/>
                <w:bCs/>
                <w:sz w:val="22"/>
                <w:szCs w:val="22"/>
              </w:rPr>
            </w:pPr>
            <w:r w:rsidRPr="000B0DF0">
              <w:rPr>
                <w:rFonts w:ascii="Times New Roman" w:hAnsi="Times New Roman" w:cs="Times New Roman"/>
                <w:b/>
                <w:bCs/>
                <w:sz w:val="22"/>
                <w:szCs w:val="22"/>
              </w:rPr>
              <w:t>Questions:</w:t>
            </w:r>
          </w:p>
          <w:p w14:paraId="0F5D376B" w14:textId="77777777" w:rsidR="00344310" w:rsidRPr="000B0DF0" w:rsidRDefault="00344310" w:rsidP="00951B41">
            <w:pPr>
              <w:rPr>
                <w:rFonts w:ascii="Times New Roman" w:hAnsi="Times New Roman" w:cs="Times New Roman"/>
                <w:b/>
                <w:bCs/>
                <w:sz w:val="22"/>
                <w:szCs w:val="22"/>
              </w:rPr>
            </w:pPr>
          </w:p>
        </w:tc>
      </w:tr>
      <w:tr w:rsidR="00344310" w:rsidRPr="000B0DF0" w14:paraId="672E2C93" w14:textId="77777777" w:rsidTr="00951B41">
        <w:tc>
          <w:tcPr>
            <w:tcW w:w="0" w:type="auto"/>
          </w:tcPr>
          <w:p w14:paraId="2296EA82" w14:textId="7AA83EC7" w:rsidR="00344310" w:rsidRPr="000B0DF0" w:rsidRDefault="00344310" w:rsidP="007F263B">
            <w:pPr>
              <w:spacing w:before="120" w:after="120"/>
              <w:rPr>
                <w:rFonts w:ascii="Times New Roman" w:hAnsi="Times New Roman" w:cs="Times New Roman"/>
                <w:sz w:val="22"/>
                <w:szCs w:val="22"/>
              </w:rPr>
            </w:pPr>
            <w:r w:rsidRPr="000B0DF0">
              <w:rPr>
                <w:rFonts w:ascii="Times New Roman" w:hAnsi="Times New Roman" w:cs="Times New Roman"/>
                <w:sz w:val="22"/>
                <w:szCs w:val="22"/>
              </w:rPr>
              <w:t>2.7</w:t>
            </w:r>
          </w:p>
        </w:tc>
        <w:tc>
          <w:tcPr>
            <w:tcW w:w="0" w:type="auto"/>
          </w:tcPr>
          <w:p w14:paraId="12AF3919" w14:textId="3B8FB214" w:rsidR="00344310" w:rsidRPr="000B0DF0" w:rsidRDefault="00344310" w:rsidP="007F263B">
            <w:pPr>
              <w:spacing w:before="120" w:after="120"/>
              <w:rPr>
                <w:rFonts w:ascii="Times New Roman" w:hAnsi="Times New Roman" w:cs="Times New Roman"/>
                <w:sz w:val="22"/>
                <w:szCs w:val="22"/>
              </w:rPr>
            </w:pPr>
            <w:r w:rsidRPr="000B0DF0">
              <w:rPr>
                <w:rFonts w:ascii="Times New Roman" w:hAnsi="Times New Roman" w:cs="Times New Roman"/>
                <w:sz w:val="22"/>
                <w:szCs w:val="22"/>
              </w:rPr>
              <w:t>Should the PIPPs under the Tasmanian PIPA be amended to make them, as far as possible, consistent with the APPs in the Commonwealth Privacy Act as they currently exist or as amended in the future?</w:t>
            </w:r>
          </w:p>
        </w:tc>
      </w:tr>
      <w:tr w:rsidR="00344310" w:rsidRPr="000B0DF0" w14:paraId="14D1B6FB" w14:textId="77777777" w:rsidTr="00951B41">
        <w:tc>
          <w:tcPr>
            <w:tcW w:w="0" w:type="auto"/>
          </w:tcPr>
          <w:p w14:paraId="717101F4" w14:textId="22EE4D82" w:rsidR="00344310" w:rsidRPr="000B0DF0" w:rsidRDefault="00344310" w:rsidP="007F263B">
            <w:pPr>
              <w:spacing w:before="120" w:after="120"/>
              <w:rPr>
                <w:rFonts w:ascii="Times New Roman" w:hAnsi="Times New Roman" w:cs="Times New Roman"/>
                <w:sz w:val="22"/>
                <w:szCs w:val="22"/>
              </w:rPr>
            </w:pPr>
            <w:r w:rsidRPr="000B0DF0">
              <w:rPr>
                <w:rFonts w:ascii="Times New Roman" w:hAnsi="Times New Roman" w:cs="Times New Roman"/>
                <w:sz w:val="22"/>
                <w:szCs w:val="22"/>
              </w:rPr>
              <w:t>2.8</w:t>
            </w:r>
          </w:p>
        </w:tc>
        <w:tc>
          <w:tcPr>
            <w:tcW w:w="0" w:type="auto"/>
          </w:tcPr>
          <w:p w14:paraId="1764E5D4" w14:textId="3FDA52E6" w:rsidR="00344310" w:rsidRPr="000B0DF0" w:rsidRDefault="00344310" w:rsidP="007F263B">
            <w:pPr>
              <w:spacing w:before="120" w:after="120"/>
              <w:rPr>
                <w:rFonts w:ascii="Times New Roman" w:hAnsi="Times New Roman" w:cs="Times New Roman"/>
                <w:sz w:val="22"/>
                <w:szCs w:val="22"/>
              </w:rPr>
            </w:pPr>
            <w:r w:rsidRPr="000B0DF0">
              <w:rPr>
                <w:rFonts w:ascii="Times New Roman" w:hAnsi="Times New Roman" w:cs="Times New Roman"/>
                <w:sz w:val="22"/>
                <w:szCs w:val="22"/>
              </w:rPr>
              <w:t xml:space="preserve">Are there any other amendments to the PIPPs that you think should be made?  </w:t>
            </w:r>
          </w:p>
        </w:tc>
      </w:tr>
      <w:tr w:rsidR="00344310" w:rsidRPr="000B0DF0" w14:paraId="77325F8E" w14:textId="77777777" w:rsidTr="00951B41">
        <w:tc>
          <w:tcPr>
            <w:tcW w:w="0" w:type="auto"/>
          </w:tcPr>
          <w:p w14:paraId="4C65812B" w14:textId="1F587931" w:rsidR="00344310" w:rsidRPr="000B0DF0" w:rsidRDefault="00344310" w:rsidP="00951B41">
            <w:pPr>
              <w:spacing w:before="60" w:after="60"/>
              <w:rPr>
                <w:rFonts w:ascii="Times New Roman" w:hAnsi="Times New Roman" w:cs="Times New Roman"/>
                <w:sz w:val="22"/>
                <w:szCs w:val="22"/>
              </w:rPr>
            </w:pPr>
            <w:r w:rsidRPr="000B0DF0">
              <w:rPr>
                <w:rFonts w:ascii="Times New Roman" w:hAnsi="Times New Roman" w:cs="Times New Roman"/>
                <w:sz w:val="22"/>
                <w:szCs w:val="22"/>
              </w:rPr>
              <w:t>2.9</w:t>
            </w:r>
          </w:p>
        </w:tc>
        <w:tc>
          <w:tcPr>
            <w:tcW w:w="0" w:type="auto"/>
          </w:tcPr>
          <w:p w14:paraId="6024CA24" w14:textId="06825F22" w:rsidR="00344310" w:rsidRPr="000B0DF0" w:rsidRDefault="00344310" w:rsidP="00344310">
            <w:pPr>
              <w:spacing w:before="60" w:after="60"/>
              <w:rPr>
                <w:rFonts w:ascii="Times New Roman" w:hAnsi="Times New Roman" w:cs="Times New Roman"/>
                <w:sz w:val="22"/>
                <w:szCs w:val="22"/>
              </w:rPr>
            </w:pPr>
            <w:r w:rsidRPr="000B0DF0">
              <w:rPr>
                <w:rFonts w:ascii="Times New Roman" w:hAnsi="Times New Roman" w:cs="Times New Roman"/>
                <w:sz w:val="22"/>
                <w:szCs w:val="22"/>
              </w:rPr>
              <w:t xml:space="preserve">Should any of the other potential reforms be introduced, including: </w:t>
            </w:r>
          </w:p>
          <w:p w14:paraId="7E6BB2D2" w14:textId="0BBA09E7" w:rsidR="00344310" w:rsidRPr="000B0DF0" w:rsidRDefault="00344310">
            <w:pPr>
              <w:pStyle w:val="ListParagraph"/>
              <w:numPr>
                <w:ilvl w:val="0"/>
                <w:numId w:val="39"/>
              </w:numPr>
              <w:spacing w:line="360" w:lineRule="auto"/>
              <w:ind w:left="714" w:hanging="357"/>
              <w:rPr>
                <w:rFonts w:ascii="Times New Roman" w:hAnsi="Times New Roman" w:cs="Times New Roman"/>
                <w:sz w:val="22"/>
                <w:szCs w:val="22"/>
              </w:rPr>
            </w:pPr>
            <w:r w:rsidRPr="000B0DF0">
              <w:rPr>
                <w:rFonts w:ascii="Times New Roman" w:hAnsi="Times New Roman" w:cs="Times New Roman"/>
                <w:sz w:val="22"/>
                <w:szCs w:val="22"/>
              </w:rPr>
              <w:t xml:space="preserve">fairness and reasonableness requirements; </w:t>
            </w:r>
          </w:p>
          <w:p w14:paraId="04B82A23" w14:textId="3EC63640" w:rsidR="00344310" w:rsidRPr="000B0DF0" w:rsidRDefault="00344310">
            <w:pPr>
              <w:pStyle w:val="ListParagraph"/>
              <w:numPr>
                <w:ilvl w:val="0"/>
                <w:numId w:val="39"/>
              </w:numPr>
              <w:spacing w:line="360" w:lineRule="auto"/>
              <w:ind w:left="714" w:hanging="357"/>
              <w:rPr>
                <w:rFonts w:ascii="Times New Roman" w:hAnsi="Times New Roman" w:cs="Times New Roman"/>
                <w:sz w:val="22"/>
                <w:szCs w:val="22"/>
              </w:rPr>
            </w:pPr>
            <w:r w:rsidRPr="000B0DF0">
              <w:rPr>
                <w:rFonts w:ascii="Times New Roman" w:hAnsi="Times New Roman" w:cs="Times New Roman"/>
                <w:sz w:val="22"/>
                <w:szCs w:val="22"/>
              </w:rPr>
              <w:t xml:space="preserve">a right to object; </w:t>
            </w:r>
          </w:p>
          <w:p w14:paraId="28354055" w14:textId="79732AC8" w:rsidR="00344310" w:rsidRPr="000B0DF0" w:rsidRDefault="00344310">
            <w:pPr>
              <w:pStyle w:val="ListParagraph"/>
              <w:numPr>
                <w:ilvl w:val="0"/>
                <w:numId w:val="39"/>
              </w:numPr>
              <w:spacing w:line="360" w:lineRule="auto"/>
              <w:ind w:left="714" w:hanging="357"/>
              <w:rPr>
                <w:rFonts w:ascii="Times New Roman" w:hAnsi="Times New Roman" w:cs="Times New Roman"/>
                <w:sz w:val="22"/>
                <w:szCs w:val="22"/>
              </w:rPr>
            </w:pPr>
            <w:r w:rsidRPr="000B0DF0">
              <w:rPr>
                <w:rFonts w:ascii="Times New Roman" w:hAnsi="Times New Roman" w:cs="Times New Roman"/>
                <w:sz w:val="22"/>
                <w:szCs w:val="22"/>
              </w:rPr>
              <w:t xml:space="preserve">a right to be forgotten; </w:t>
            </w:r>
          </w:p>
          <w:p w14:paraId="1DF1B886" w14:textId="513B7768" w:rsidR="00344310" w:rsidRPr="000B0DF0" w:rsidRDefault="00344310">
            <w:pPr>
              <w:pStyle w:val="ListParagraph"/>
              <w:numPr>
                <w:ilvl w:val="0"/>
                <w:numId w:val="39"/>
              </w:numPr>
              <w:spacing w:line="360" w:lineRule="auto"/>
              <w:ind w:left="714" w:hanging="357"/>
              <w:rPr>
                <w:rFonts w:ascii="Times New Roman" w:hAnsi="Times New Roman" w:cs="Times New Roman"/>
                <w:sz w:val="22"/>
                <w:szCs w:val="22"/>
              </w:rPr>
            </w:pPr>
            <w:r w:rsidRPr="000B0DF0">
              <w:rPr>
                <w:rFonts w:ascii="Times New Roman" w:hAnsi="Times New Roman" w:cs="Times New Roman"/>
                <w:sz w:val="22"/>
                <w:szCs w:val="22"/>
              </w:rPr>
              <w:t xml:space="preserve">specific restrictions on the use of artificial intelligence in automated administrative decision-making; or </w:t>
            </w:r>
          </w:p>
          <w:p w14:paraId="6D191B1F" w14:textId="1879B2B2" w:rsidR="00344310" w:rsidRPr="000B0DF0" w:rsidRDefault="00344310">
            <w:pPr>
              <w:pStyle w:val="ListParagraph"/>
              <w:numPr>
                <w:ilvl w:val="0"/>
                <w:numId w:val="39"/>
              </w:numPr>
              <w:spacing w:line="360" w:lineRule="auto"/>
              <w:ind w:left="714" w:hanging="357"/>
              <w:rPr>
                <w:rFonts w:ascii="Times New Roman" w:hAnsi="Times New Roman" w:cs="Times New Roman"/>
                <w:sz w:val="22"/>
                <w:szCs w:val="22"/>
              </w:rPr>
            </w:pPr>
            <w:bookmarkStart w:id="299" w:name="_Ref129273485"/>
            <w:r w:rsidRPr="000B0DF0">
              <w:rPr>
                <w:rFonts w:ascii="Times New Roman" w:hAnsi="Times New Roman" w:cs="Times New Roman"/>
                <w:sz w:val="22"/>
                <w:szCs w:val="22"/>
              </w:rPr>
              <w:t>strengthened notice and consent requirements?</w:t>
            </w:r>
            <w:bookmarkEnd w:id="299"/>
          </w:p>
        </w:tc>
      </w:tr>
    </w:tbl>
    <w:p w14:paraId="5E22466E" w14:textId="77777777" w:rsidR="00344310" w:rsidRPr="006D2720" w:rsidRDefault="00344310" w:rsidP="00344310">
      <w:pPr>
        <w:rPr>
          <w:rFonts w:ascii="Times New Roman" w:hAnsi="Times New Roman" w:cs="Times New Roman"/>
        </w:rPr>
      </w:pPr>
    </w:p>
    <w:p w14:paraId="0BC19B53" w14:textId="2ED090E4" w:rsidR="0064050C" w:rsidRPr="006D2720" w:rsidRDefault="00C23673" w:rsidP="0064050C">
      <w:pPr>
        <w:pStyle w:val="Heading2"/>
        <w:rPr>
          <w:rFonts w:ascii="Times New Roman" w:hAnsi="Times New Roman" w:cs="Times New Roman"/>
        </w:rPr>
      </w:pPr>
      <w:bookmarkStart w:id="300" w:name="_Complaints,_monitoring_and"/>
      <w:bookmarkStart w:id="301" w:name="_Complaints,_monitoring,_and"/>
      <w:bookmarkStart w:id="302" w:name="_Toc91832004"/>
      <w:bookmarkStart w:id="303" w:name="_Ref129273534"/>
      <w:bookmarkStart w:id="304" w:name="_Ref129285561"/>
      <w:bookmarkStart w:id="305" w:name="_Ref129285664"/>
      <w:bookmarkStart w:id="306" w:name="_Toc130540438"/>
      <w:bookmarkEnd w:id="300"/>
      <w:bookmarkEnd w:id="301"/>
      <w:r w:rsidRPr="006D2720">
        <w:rPr>
          <w:rFonts w:ascii="Times New Roman" w:hAnsi="Times New Roman" w:cs="Times New Roman"/>
        </w:rPr>
        <w:t>Complaints, monitoring</w:t>
      </w:r>
      <w:r w:rsidR="003A089A" w:rsidRPr="006D2720">
        <w:rPr>
          <w:rFonts w:ascii="Times New Roman" w:hAnsi="Times New Roman" w:cs="Times New Roman"/>
        </w:rPr>
        <w:t>,</w:t>
      </w:r>
      <w:r w:rsidRPr="006D2720">
        <w:rPr>
          <w:rFonts w:ascii="Times New Roman" w:hAnsi="Times New Roman" w:cs="Times New Roman"/>
        </w:rPr>
        <w:t xml:space="preserve"> and e</w:t>
      </w:r>
      <w:r w:rsidR="0064050C" w:rsidRPr="006D2720">
        <w:rPr>
          <w:rFonts w:ascii="Times New Roman" w:hAnsi="Times New Roman" w:cs="Times New Roman"/>
        </w:rPr>
        <w:t>nforcement</w:t>
      </w:r>
      <w:bookmarkEnd w:id="302"/>
      <w:bookmarkEnd w:id="303"/>
      <w:bookmarkEnd w:id="304"/>
      <w:bookmarkEnd w:id="305"/>
      <w:bookmarkEnd w:id="306"/>
    </w:p>
    <w:p w14:paraId="742CF428" w14:textId="3E0EA66C" w:rsidR="009C2736" w:rsidRPr="006D2720" w:rsidRDefault="00161962" w:rsidP="00CA1A69">
      <w:pPr>
        <w:pStyle w:val="Heading2"/>
        <w:numPr>
          <w:ilvl w:val="0"/>
          <w:numId w:val="0"/>
        </w:numPr>
        <w:rPr>
          <w:rFonts w:ascii="Times New Roman" w:hAnsi="Times New Roman" w:cs="Times New Roman"/>
          <w:i/>
          <w:iCs/>
        </w:rPr>
      </w:pPr>
      <w:bookmarkStart w:id="307" w:name="_Toc91832005"/>
      <w:bookmarkStart w:id="308" w:name="_Toc130540439"/>
      <w:r w:rsidRPr="006D2720">
        <w:rPr>
          <w:rFonts w:ascii="Times New Roman" w:hAnsi="Times New Roman" w:cs="Times New Roman"/>
          <w:i/>
          <w:iCs/>
        </w:rPr>
        <w:t>Complaints process</w:t>
      </w:r>
      <w:bookmarkEnd w:id="307"/>
      <w:bookmarkEnd w:id="308"/>
    </w:p>
    <w:p w14:paraId="5956DAB0" w14:textId="64F14171" w:rsidR="00767D7E" w:rsidRPr="006D2720" w:rsidRDefault="003D2942" w:rsidP="0066337D">
      <w:pPr>
        <w:pStyle w:val="Heading3"/>
        <w:rPr>
          <w:rFonts w:ascii="Times New Roman" w:hAnsi="Times New Roman" w:cs="Times New Roman"/>
        </w:rPr>
      </w:pPr>
      <w:r w:rsidRPr="006D2720">
        <w:rPr>
          <w:rFonts w:ascii="Times New Roman" w:hAnsi="Times New Roman" w:cs="Times New Roman"/>
        </w:rPr>
        <w:t>Under the Tasmanian PIPA, a</w:t>
      </w:r>
      <w:r w:rsidR="004E7AC5" w:rsidRPr="006D2720">
        <w:rPr>
          <w:rFonts w:ascii="Times New Roman" w:hAnsi="Times New Roman" w:cs="Times New Roman"/>
        </w:rPr>
        <w:t xml:space="preserve"> person affected by a breach of the </w:t>
      </w:r>
      <w:r w:rsidR="00F67024" w:rsidRPr="006D2720">
        <w:rPr>
          <w:rFonts w:ascii="Times New Roman" w:hAnsi="Times New Roman" w:cs="Times New Roman"/>
        </w:rPr>
        <w:t xml:space="preserve">PIPPs </w:t>
      </w:r>
      <w:r w:rsidR="004E7AC5" w:rsidRPr="006D2720">
        <w:rPr>
          <w:rFonts w:ascii="Times New Roman" w:hAnsi="Times New Roman" w:cs="Times New Roman"/>
        </w:rPr>
        <w:t xml:space="preserve">can make a </w:t>
      </w:r>
      <w:r w:rsidR="00F67024" w:rsidRPr="006D2720">
        <w:rPr>
          <w:rFonts w:ascii="Times New Roman" w:hAnsi="Times New Roman" w:cs="Times New Roman"/>
        </w:rPr>
        <w:t>complaint to the Tasmanian Ombudsman</w:t>
      </w:r>
      <w:r w:rsidR="004E7AC5" w:rsidRPr="006D2720">
        <w:rPr>
          <w:rStyle w:val="FootnoteReference"/>
          <w:rFonts w:ascii="Times New Roman" w:hAnsi="Times New Roman" w:cs="Times New Roman"/>
        </w:rPr>
        <w:footnoteReference w:id="215"/>
      </w:r>
      <w:r w:rsidR="00456489" w:rsidRPr="006D2720">
        <w:rPr>
          <w:rFonts w:ascii="Times New Roman" w:hAnsi="Times New Roman" w:cs="Times New Roman"/>
        </w:rPr>
        <w:t xml:space="preserve"> </w:t>
      </w:r>
      <w:r w:rsidR="00073ED4" w:rsidRPr="006D2720">
        <w:rPr>
          <w:rFonts w:ascii="Times New Roman" w:hAnsi="Times New Roman" w:cs="Times New Roman"/>
        </w:rPr>
        <w:t xml:space="preserve">within </w:t>
      </w:r>
      <w:r w:rsidR="004B772E" w:rsidRPr="006D2720">
        <w:rPr>
          <w:rFonts w:ascii="Times New Roman" w:hAnsi="Times New Roman" w:cs="Times New Roman"/>
        </w:rPr>
        <w:t>six</w:t>
      </w:r>
      <w:r w:rsidR="00073ED4" w:rsidRPr="006D2720">
        <w:rPr>
          <w:rFonts w:ascii="Times New Roman" w:hAnsi="Times New Roman" w:cs="Times New Roman"/>
        </w:rPr>
        <w:t xml:space="preserve"> months from the date they first became aware of the alleged breach, unless the Ombudsman permits additional time.</w:t>
      </w:r>
      <w:r w:rsidR="00073ED4" w:rsidRPr="006D2720">
        <w:rPr>
          <w:rStyle w:val="FootnoteReference"/>
          <w:rFonts w:ascii="Times New Roman" w:hAnsi="Times New Roman" w:cs="Times New Roman"/>
        </w:rPr>
        <w:footnoteReference w:id="216"/>
      </w:r>
      <w:r w:rsidR="00073ED4" w:rsidRPr="006D2720">
        <w:rPr>
          <w:rFonts w:ascii="Times New Roman" w:hAnsi="Times New Roman" w:cs="Times New Roman"/>
        </w:rPr>
        <w:t xml:space="preserve"> Before </w:t>
      </w:r>
      <w:r w:rsidR="004B772E" w:rsidRPr="006D2720">
        <w:rPr>
          <w:rFonts w:ascii="Times New Roman" w:hAnsi="Times New Roman" w:cs="Times New Roman"/>
        </w:rPr>
        <w:t xml:space="preserve">the complainant </w:t>
      </w:r>
      <w:r w:rsidR="00073ED4" w:rsidRPr="006D2720">
        <w:rPr>
          <w:rFonts w:ascii="Times New Roman" w:hAnsi="Times New Roman" w:cs="Times New Roman"/>
        </w:rPr>
        <w:t>approach</w:t>
      </w:r>
      <w:r w:rsidR="004B772E" w:rsidRPr="006D2720">
        <w:rPr>
          <w:rFonts w:ascii="Times New Roman" w:hAnsi="Times New Roman" w:cs="Times New Roman"/>
        </w:rPr>
        <w:t>es</w:t>
      </w:r>
      <w:r w:rsidR="00073ED4" w:rsidRPr="006D2720">
        <w:rPr>
          <w:rFonts w:ascii="Times New Roman" w:hAnsi="Times New Roman" w:cs="Times New Roman"/>
        </w:rPr>
        <w:t xml:space="preserve"> the Ombudsman, however, the</w:t>
      </w:r>
      <w:r w:rsidR="004B772E" w:rsidRPr="006D2720">
        <w:rPr>
          <w:rFonts w:ascii="Times New Roman" w:hAnsi="Times New Roman" w:cs="Times New Roman"/>
        </w:rPr>
        <w:t>y must ensure that the</w:t>
      </w:r>
      <w:r w:rsidR="00073ED4" w:rsidRPr="006D2720">
        <w:rPr>
          <w:rFonts w:ascii="Times New Roman" w:hAnsi="Times New Roman" w:cs="Times New Roman"/>
        </w:rPr>
        <w:t xml:space="preserve"> PIPP appl</w:t>
      </w:r>
      <w:r w:rsidR="004B772E" w:rsidRPr="006D2720">
        <w:rPr>
          <w:rFonts w:ascii="Times New Roman" w:hAnsi="Times New Roman" w:cs="Times New Roman"/>
        </w:rPr>
        <w:t>ies</w:t>
      </w:r>
      <w:r w:rsidR="00073ED4" w:rsidRPr="006D2720">
        <w:rPr>
          <w:rFonts w:ascii="Times New Roman" w:hAnsi="Times New Roman" w:cs="Times New Roman"/>
        </w:rPr>
        <w:t xml:space="preserve"> to the</w:t>
      </w:r>
      <w:r w:rsidR="004B772E" w:rsidRPr="006D2720">
        <w:rPr>
          <w:rFonts w:ascii="Times New Roman" w:hAnsi="Times New Roman" w:cs="Times New Roman"/>
        </w:rPr>
        <w:t>m</w:t>
      </w:r>
      <w:r w:rsidR="00073ED4" w:rsidRPr="006D2720">
        <w:rPr>
          <w:rFonts w:ascii="Times New Roman" w:hAnsi="Times New Roman" w:cs="Times New Roman"/>
        </w:rPr>
        <w:t>, and the</w:t>
      </w:r>
      <w:r w:rsidR="004B772E" w:rsidRPr="006D2720">
        <w:rPr>
          <w:rFonts w:ascii="Times New Roman" w:hAnsi="Times New Roman" w:cs="Times New Roman"/>
        </w:rPr>
        <w:t xml:space="preserve"> complainant</w:t>
      </w:r>
      <w:r w:rsidR="00073ED4" w:rsidRPr="006D2720">
        <w:rPr>
          <w:rFonts w:ascii="Times New Roman" w:hAnsi="Times New Roman" w:cs="Times New Roman"/>
        </w:rPr>
        <w:t xml:space="preserve"> must also try to resolve the matter with the relevant personal information custodian.</w:t>
      </w:r>
      <w:r w:rsidR="00073ED4" w:rsidRPr="006D2720">
        <w:rPr>
          <w:rStyle w:val="FootnoteReference"/>
          <w:rFonts w:ascii="Times New Roman" w:hAnsi="Times New Roman" w:cs="Times New Roman"/>
        </w:rPr>
        <w:footnoteReference w:id="217"/>
      </w:r>
      <w:r w:rsidR="00073ED4" w:rsidRPr="006D2720">
        <w:rPr>
          <w:rFonts w:ascii="Times New Roman" w:hAnsi="Times New Roman" w:cs="Times New Roman"/>
        </w:rPr>
        <w:t xml:space="preserve"> The requirement that the PIPP apply to the complainant generally </w:t>
      </w:r>
      <w:r w:rsidR="00677D7E" w:rsidRPr="006D2720">
        <w:rPr>
          <w:rFonts w:ascii="Times New Roman" w:hAnsi="Times New Roman" w:cs="Times New Roman"/>
        </w:rPr>
        <w:t xml:space="preserve">requires </w:t>
      </w:r>
      <w:r w:rsidR="00BA4315" w:rsidRPr="006D2720">
        <w:rPr>
          <w:rFonts w:ascii="Times New Roman" w:hAnsi="Times New Roman" w:cs="Times New Roman"/>
        </w:rPr>
        <w:t xml:space="preserve">that </w:t>
      </w:r>
      <w:r w:rsidR="00073ED4" w:rsidRPr="006D2720">
        <w:rPr>
          <w:rFonts w:ascii="Times New Roman" w:hAnsi="Times New Roman" w:cs="Times New Roman"/>
        </w:rPr>
        <w:t xml:space="preserve">they are </w:t>
      </w:r>
      <w:r w:rsidR="00BA4315" w:rsidRPr="006D2720">
        <w:rPr>
          <w:rFonts w:ascii="Times New Roman" w:hAnsi="Times New Roman" w:cs="Times New Roman"/>
        </w:rPr>
        <w:t xml:space="preserve">the </w:t>
      </w:r>
      <w:r w:rsidR="00677D7E" w:rsidRPr="006D2720">
        <w:rPr>
          <w:rFonts w:ascii="Times New Roman" w:hAnsi="Times New Roman" w:cs="Times New Roman"/>
        </w:rPr>
        <w:t>person identified or identifiable in the information in question</w:t>
      </w:r>
      <w:r w:rsidR="00640414" w:rsidRPr="006D2720">
        <w:rPr>
          <w:rFonts w:ascii="Times New Roman" w:hAnsi="Times New Roman" w:cs="Times New Roman"/>
        </w:rPr>
        <w:t>.</w:t>
      </w:r>
    </w:p>
    <w:p w14:paraId="073288AD" w14:textId="4965A12F" w:rsidR="00073ED4" w:rsidRPr="006D2720" w:rsidRDefault="004B772E">
      <w:pPr>
        <w:pStyle w:val="Heading3"/>
        <w:rPr>
          <w:rFonts w:ascii="Times New Roman" w:hAnsi="Times New Roman" w:cs="Times New Roman"/>
        </w:rPr>
      </w:pPr>
      <w:r w:rsidRPr="006D2720">
        <w:rPr>
          <w:rFonts w:ascii="Times New Roman" w:hAnsi="Times New Roman" w:cs="Times New Roman"/>
        </w:rPr>
        <w:t>If these requirements have been met, the</w:t>
      </w:r>
      <w:r w:rsidR="00FA6565" w:rsidRPr="006D2720">
        <w:rPr>
          <w:rFonts w:ascii="Times New Roman" w:hAnsi="Times New Roman" w:cs="Times New Roman"/>
        </w:rPr>
        <w:t xml:space="preserve"> Ombudsman is then able to </w:t>
      </w:r>
      <w:r w:rsidR="00CD5CE3" w:rsidRPr="006D2720">
        <w:rPr>
          <w:rFonts w:ascii="Times New Roman" w:hAnsi="Times New Roman" w:cs="Times New Roman"/>
        </w:rPr>
        <w:t>conduct a preliminary assessment of the complaint</w:t>
      </w:r>
      <w:r w:rsidR="00626393" w:rsidRPr="006D2720">
        <w:rPr>
          <w:rFonts w:ascii="Times New Roman" w:hAnsi="Times New Roman" w:cs="Times New Roman"/>
        </w:rPr>
        <w:t xml:space="preserve">, including requesting further information from the complainant and the </w:t>
      </w:r>
      <w:r w:rsidRPr="006D2720">
        <w:rPr>
          <w:rFonts w:ascii="Times New Roman" w:hAnsi="Times New Roman" w:cs="Times New Roman"/>
        </w:rPr>
        <w:t xml:space="preserve">personal information </w:t>
      </w:r>
      <w:r w:rsidR="00626393" w:rsidRPr="006D2720">
        <w:rPr>
          <w:rFonts w:ascii="Times New Roman" w:hAnsi="Times New Roman" w:cs="Times New Roman"/>
        </w:rPr>
        <w:t>custodian</w:t>
      </w:r>
      <w:r w:rsidR="004E7AC5" w:rsidRPr="006D2720">
        <w:rPr>
          <w:rFonts w:ascii="Times New Roman" w:hAnsi="Times New Roman" w:cs="Times New Roman"/>
        </w:rPr>
        <w:t>.</w:t>
      </w:r>
      <w:r w:rsidR="004E7AC5" w:rsidRPr="006D2720">
        <w:rPr>
          <w:rStyle w:val="FootnoteReference"/>
          <w:rFonts w:ascii="Times New Roman" w:hAnsi="Times New Roman" w:cs="Times New Roman"/>
        </w:rPr>
        <w:footnoteReference w:id="218"/>
      </w:r>
      <w:r w:rsidR="004E7AC5" w:rsidRPr="006D2720">
        <w:rPr>
          <w:rFonts w:ascii="Times New Roman" w:hAnsi="Times New Roman" w:cs="Times New Roman"/>
        </w:rPr>
        <w:t xml:space="preserve"> </w:t>
      </w:r>
      <w:r w:rsidR="00923A19" w:rsidRPr="006D2720">
        <w:rPr>
          <w:rFonts w:ascii="Times New Roman" w:hAnsi="Times New Roman" w:cs="Times New Roman"/>
        </w:rPr>
        <w:t>Following</w:t>
      </w:r>
      <w:r w:rsidR="004E7AC5" w:rsidRPr="006D2720">
        <w:rPr>
          <w:rFonts w:ascii="Times New Roman" w:hAnsi="Times New Roman" w:cs="Times New Roman"/>
        </w:rPr>
        <w:t xml:space="preserve"> the preliminary investigation, the Ombudsman</w:t>
      </w:r>
      <w:r w:rsidR="00073ED4" w:rsidRPr="006D2720">
        <w:rPr>
          <w:rFonts w:ascii="Times New Roman" w:hAnsi="Times New Roman" w:cs="Times New Roman"/>
        </w:rPr>
        <w:t xml:space="preserve"> may decide</w:t>
      </w:r>
      <w:r w:rsidR="00923A19" w:rsidRPr="006D2720">
        <w:rPr>
          <w:rFonts w:ascii="Times New Roman" w:hAnsi="Times New Roman" w:cs="Times New Roman"/>
        </w:rPr>
        <w:t xml:space="preserve"> to</w:t>
      </w:r>
      <w:r w:rsidR="00073ED4" w:rsidRPr="006D2720">
        <w:rPr>
          <w:rFonts w:ascii="Times New Roman" w:hAnsi="Times New Roman" w:cs="Times New Roman"/>
        </w:rPr>
        <w:t>:</w:t>
      </w:r>
    </w:p>
    <w:p w14:paraId="2C3CAAB8" w14:textId="0AA249AA" w:rsidR="00073ED4" w:rsidRPr="006D2720" w:rsidRDefault="004D162F" w:rsidP="00073ED4">
      <w:pPr>
        <w:pStyle w:val="Dotpointlist"/>
        <w:rPr>
          <w:rFonts w:ascii="Times New Roman" w:hAnsi="Times New Roman" w:cs="Times New Roman"/>
        </w:rPr>
      </w:pPr>
      <w:r w:rsidRPr="006D2720">
        <w:rPr>
          <w:rFonts w:ascii="Times New Roman" w:hAnsi="Times New Roman" w:cs="Times New Roman"/>
        </w:rPr>
        <w:t xml:space="preserve">resolve the complaint expeditiously </w:t>
      </w:r>
      <w:r w:rsidR="00073ED4" w:rsidRPr="006D2720">
        <w:rPr>
          <w:rFonts w:ascii="Times New Roman" w:hAnsi="Times New Roman" w:cs="Times New Roman"/>
        </w:rPr>
        <w:t>(without conducting further investigations beyond the preliminary assessment);</w:t>
      </w:r>
      <w:r w:rsidR="00073ED4" w:rsidRPr="006D2720">
        <w:rPr>
          <w:rStyle w:val="FootnoteReference"/>
          <w:rFonts w:ascii="Times New Roman" w:hAnsi="Times New Roman" w:cs="Times New Roman"/>
        </w:rPr>
        <w:footnoteReference w:id="219"/>
      </w:r>
      <w:r w:rsidR="00073ED4" w:rsidRPr="006D2720">
        <w:rPr>
          <w:rFonts w:ascii="Times New Roman" w:hAnsi="Times New Roman" w:cs="Times New Roman"/>
        </w:rPr>
        <w:t xml:space="preserve"> </w:t>
      </w:r>
    </w:p>
    <w:p w14:paraId="2BFC8DA4" w14:textId="3F986335" w:rsidR="00073ED4" w:rsidRPr="006D2720" w:rsidRDefault="00073ED4" w:rsidP="00073ED4">
      <w:pPr>
        <w:pStyle w:val="Dotpointlist"/>
        <w:rPr>
          <w:rFonts w:ascii="Times New Roman" w:hAnsi="Times New Roman" w:cs="Times New Roman"/>
        </w:rPr>
      </w:pPr>
      <w:r w:rsidRPr="006D2720">
        <w:rPr>
          <w:rFonts w:ascii="Times New Roman" w:hAnsi="Times New Roman" w:cs="Times New Roman"/>
          <w:i/>
          <w:iCs/>
        </w:rPr>
        <w:t xml:space="preserve">not </w:t>
      </w:r>
      <w:r w:rsidR="00105AF3" w:rsidRPr="006D2720">
        <w:rPr>
          <w:rFonts w:ascii="Times New Roman" w:hAnsi="Times New Roman" w:cs="Times New Roman"/>
        </w:rPr>
        <w:t xml:space="preserve">deal with </w:t>
      </w:r>
      <w:r w:rsidR="004E7AC5" w:rsidRPr="006D2720">
        <w:rPr>
          <w:rFonts w:ascii="Times New Roman" w:hAnsi="Times New Roman" w:cs="Times New Roman"/>
        </w:rPr>
        <w:t xml:space="preserve">the </w:t>
      </w:r>
      <w:r w:rsidR="00105AF3" w:rsidRPr="006D2720">
        <w:rPr>
          <w:rFonts w:ascii="Times New Roman" w:hAnsi="Times New Roman" w:cs="Times New Roman"/>
        </w:rPr>
        <w:t xml:space="preserve">complaint </w:t>
      </w:r>
      <w:r w:rsidRPr="006D2720">
        <w:rPr>
          <w:rFonts w:ascii="Times New Roman" w:hAnsi="Times New Roman" w:cs="Times New Roman"/>
        </w:rPr>
        <w:t xml:space="preserve">if </w:t>
      </w:r>
      <w:r w:rsidR="00105AF3" w:rsidRPr="006D2720">
        <w:rPr>
          <w:rFonts w:ascii="Times New Roman" w:hAnsi="Times New Roman" w:cs="Times New Roman"/>
        </w:rPr>
        <w:t xml:space="preserve">satisfied </w:t>
      </w:r>
      <w:r w:rsidRPr="006D2720">
        <w:rPr>
          <w:rFonts w:ascii="Times New Roman" w:hAnsi="Times New Roman" w:cs="Times New Roman"/>
        </w:rPr>
        <w:t>that the complaint is either</w:t>
      </w:r>
      <w:r w:rsidR="00923A19" w:rsidRPr="006D2720">
        <w:rPr>
          <w:rFonts w:ascii="Times New Roman" w:hAnsi="Times New Roman" w:cs="Times New Roman"/>
        </w:rPr>
        <w:t>:</w:t>
      </w:r>
      <w:r w:rsidRPr="006D2720">
        <w:rPr>
          <w:rFonts w:ascii="Times New Roman" w:hAnsi="Times New Roman" w:cs="Times New Roman"/>
        </w:rPr>
        <w:t xml:space="preserve"> 1) </w:t>
      </w:r>
      <w:r w:rsidR="00F20C69" w:rsidRPr="006D2720">
        <w:rPr>
          <w:rFonts w:ascii="Times New Roman" w:hAnsi="Times New Roman" w:cs="Times New Roman"/>
        </w:rPr>
        <w:t>frivolous, vexatious, lacking in substance or is not in good faith</w:t>
      </w:r>
      <w:r w:rsidRPr="006D2720">
        <w:rPr>
          <w:rFonts w:ascii="Times New Roman" w:hAnsi="Times New Roman" w:cs="Times New Roman"/>
        </w:rPr>
        <w:t xml:space="preserve">; 2) </w:t>
      </w:r>
      <w:r w:rsidR="00F20C69" w:rsidRPr="006D2720">
        <w:rPr>
          <w:rFonts w:ascii="Times New Roman" w:hAnsi="Times New Roman" w:cs="Times New Roman"/>
        </w:rPr>
        <w:t>trivial</w:t>
      </w:r>
      <w:r w:rsidRPr="006D2720">
        <w:rPr>
          <w:rFonts w:ascii="Times New Roman" w:hAnsi="Times New Roman" w:cs="Times New Roman"/>
        </w:rPr>
        <w:t xml:space="preserve">; </w:t>
      </w:r>
      <w:r w:rsidR="00F20C69" w:rsidRPr="006D2720">
        <w:rPr>
          <w:rFonts w:ascii="Times New Roman" w:hAnsi="Times New Roman" w:cs="Times New Roman"/>
        </w:rPr>
        <w:t xml:space="preserve">or </w:t>
      </w:r>
      <w:r w:rsidRPr="006D2720">
        <w:rPr>
          <w:rFonts w:ascii="Times New Roman" w:hAnsi="Times New Roman" w:cs="Times New Roman"/>
        </w:rPr>
        <w:t xml:space="preserve">3) </w:t>
      </w:r>
      <w:r w:rsidR="00F20C69" w:rsidRPr="006D2720">
        <w:rPr>
          <w:rFonts w:ascii="Times New Roman" w:hAnsi="Times New Roman" w:cs="Times New Roman"/>
        </w:rPr>
        <w:t>relates to a matter permitted or required under any law</w:t>
      </w:r>
      <w:r w:rsidRPr="006D2720">
        <w:rPr>
          <w:rFonts w:ascii="Times New Roman" w:hAnsi="Times New Roman" w:cs="Times New Roman"/>
        </w:rPr>
        <w:t>;</w:t>
      </w:r>
      <w:r w:rsidRPr="006D2720">
        <w:rPr>
          <w:rStyle w:val="FootnoteReference"/>
          <w:rFonts w:ascii="Times New Roman" w:hAnsi="Times New Roman" w:cs="Times New Roman"/>
        </w:rPr>
        <w:footnoteReference w:id="220"/>
      </w:r>
      <w:r w:rsidRPr="006D2720">
        <w:rPr>
          <w:rFonts w:ascii="Times New Roman" w:hAnsi="Times New Roman" w:cs="Times New Roman"/>
        </w:rPr>
        <w:t xml:space="preserve"> </w:t>
      </w:r>
      <w:r w:rsidR="003A089A" w:rsidRPr="006D2720">
        <w:rPr>
          <w:rFonts w:ascii="Times New Roman" w:hAnsi="Times New Roman" w:cs="Times New Roman"/>
        </w:rPr>
        <w:t>or</w:t>
      </w:r>
    </w:p>
    <w:p w14:paraId="64B3AA80" w14:textId="52E279AB" w:rsidR="00073ED4" w:rsidRPr="006D2720" w:rsidRDefault="00073ED4" w:rsidP="0066337D">
      <w:pPr>
        <w:pStyle w:val="Dotpointlist"/>
        <w:rPr>
          <w:rFonts w:ascii="Times New Roman" w:hAnsi="Times New Roman" w:cs="Times New Roman"/>
        </w:rPr>
      </w:pPr>
      <w:r w:rsidRPr="006D2720">
        <w:rPr>
          <w:rFonts w:ascii="Times New Roman" w:hAnsi="Times New Roman" w:cs="Times New Roman"/>
        </w:rPr>
        <w:t xml:space="preserve">refer </w:t>
      </w:r>
      <w:r w:rsidR="00DB2A3C" w:rsidRPr="006D2720">
        <w:rPr>
          <w:rFonts w:ascii="Times New Roman" w:hAnsi="Times New Roman" w:cs="Times New Roman"/>
        </w:rPr>
        <w:t>the complaint to an</w:t>
      </w:r>
      <w:r w:rsidR="00923A19" w:rsidRPr="006D2720">
        <w:rPr>
          <w:rFonts w:ascii="Times New Roman" w:hAnsi="Times New Roman" w:cs="Times New Roman"/>
        </w:rPr>
        <w:t xml:space="preserve">other person or body </w:t>
      </w:r>
      <w:r w:rsidR="0063083B" w:rsidRPr="006D2720">
        <w:rPr>
          <w:rFonts w:ascii="Times New Roman" w:hAnsi="Times New Roman" w:cs="Times New Roman"/>
        </w:rPr>
        <w:t xml:space="preserve">the Ombudsman </w:t>
      </w:r>
      <w:r w:rsidR="00DB2A3C" w:rsidRPr="006D2720">
        <w:rPr>
          <w:rFonts w:ascii="Times New Roman" w:hAnsi="Times New Roman" w:cs="Times New Roman"/>
        </w:rPr>
        <w:t>consider</w:t>
      </w:r>
      <w:r w:rsidR="0063083B" w:rsidRPr="006D2720">
        <w:rPr>
          <w:rFonts w:ascii="Times New Roman" w:hAnsi="Times New Roman" w:cs="Times New Roman"/>
        </w:rPr>
        <w:t>s a</w:t>
      </w:r>
      <w:r w:rsidR="00DB2A3C" w:rsidRPr="006D2720">
        <w:rPr>
          <w:rFonts w:ascii="Times New Roman" w:hAnsi="Times New Roman" w:cs="Times New Roman"/>
        </w:rPr>
        <w:t>ppropriate</w:t>
      </w:r>
      <w:r w:rsidRPr="006D2720">
        <w:rPr>
          <w:rFonts w:ascii="Times New Roman" w:hAnsi="Times New Roman" w:cs="Times New Roman"/>
        </w:rPr>
        <w:t xml:space="preserve"> to </w:t>
      </w:r>
      <w:r w:rsidR="00923A19" w:rsidRPr="006D2720">
        <w:rPr>
          <w:rFonts w:ascii="Times New Roman" w:hAnsi="Times New Roman" w:cs="Times New Roman"/>
        </w:rPr>
        <w:t>investigate</w:t>
      </w:r>
      <w:r w:rsidR="004E7AC5" w:rsidRPr="006D2720">
        <w:rPr>
          <w:rFonts w:ascii="Times New Roman" w:hAnsi="Times New Roman" w:cs="Times New Roman"/>
        </w:rPr>
        <w:t xml:space="preserve"> or take other action</w:t>
      </w:r>
      <w:r w:rsidR="00923A19" w:rsidRPr="006D2720">
        <w:rPr>
          <w:rFonts w:ascii="Times New Roman" w:hAnsi="Times New Roman" w:cs="Times New Roman"/>
        </w:rPr>
        <w:t xml:space="preserve">, which </w:t>
      </w:r>
      <w:r w:rsidRPr="006D2720">
        <w:rPr>
          <w:rFonts w:ascii="Times New Roman" w:hAnsi="Times New Roman" w:cs="Times New Roman"/>
        </w:rPr>
        <w:t xml:space="preserve">must only be done </w:t>
      </w:r>
      <w:r w:rsidR="003974F2" w:rsidRPr="006D2720">
        <w:rPr>
          <w:rFonts w:ascii="Times New Roman" w:hAnsi="Times New Roman" w:cs="Times New Roman"/>
        </w:rPr>
        <w:t>after consultation with both the complainant and relevant person</w:t>
      </w:r>
      <w:r w:rsidR="003A089A" w:rsidRPr="006D2720">
        <w:rPr>
          <w:rFonts w:ascii="Times New Roman" w:hAnsi="Times New Roman" w:cs="Times New Roman"/>
        </w:rPr>
        <w:t xml:space="preserve"> or body</w:t>
      </w:r>
      <w:r w:rsidR="009E2C12" w:rsidRPr="006D2720">
        <w:rPr>
          <w:rFonts w:ascii="Times New Roman" w:hAnsi="Times New Roman" w:cs="Times New Roman"/>
        </w:rPr>
        <w:t xml:space="preserve"> to whom the complaint is referred</w:t>
      </w:r>
      <w:r w:rsidR="003974F2" w:rsidRPr="006D2720">
        <w:rPr>
          <w:rFonts w:ascii="Times New Roman" w:hAnsi="Times New Roman" w:cs="Times New Roman"/>
        </w:rPr>
        <w:t>.</w:t>
      </w:r>
      <w:r w:rsidR="004E7AC5" w:rsidRPr="006D2720">
        <w:rPr>
          <w:rStyle w:val="FootnoteReference"/>
          <w:rFonts w:ascii="Times New Roman" w:hAnsi="Times New Roman" w:cs="Times New Roman"/>
        </w:rPr>
        <w:footnoteReference w:id="221"/>
      </w:r>
      <w:r w:rsidR="00E70356" w:rsidRPr="006D2720">
        <w:rPr>
          <w:rFonts w:ascii="Times New Roman" w:hAnsi="Times New Roman" w:cs="Times New Roman"/>
        </w:rPr>
        <w:t xml:space="preserve"> </w:t>
      </w:r>
    </w:p>
    <w:p w14:paraId="5387F090" w14:textId="617A2C57" w:rsidR="00834800" w:rsidRPr="006D2720" w:rsidRDefault="009E2C12" w:rsidP="0066337D">
      <w:pPr>
        <w:pStyle w:val="Heading3"/>
        <w:rPr>
          <w:rFonts w:ascii="Times New Roman" w:hAnsi="Times New Roman" w:cs="Times New Roman"/>
        </w:rPr>
      </w:pPr>
      <w:r w:rsidRPr="006D2720">
        <w:rPr>
          <w:rFonts w:ascii="Times New Roman" w:hAnsi="Times New Roman" w:cs="Times New Roman"/>
        </w:rPr>
        <w:t xml:space="preserve">If none of the above apply and the Ombudsman decides to deal with the complaint, </w:t>
      </w:r>
      <w:r w:rsidR="00383EEF" w:rsidRPr="006D2720">
        <w:rPr>
          <w:rFonts w:ascii="Times New Roman" w:hAnsi="Times New Roman" w:cs="Times New Roman"/>
        </w:rPr>
        <w:t xml:space="preserve">the Ombudsman </w:t>
      </w:r>
      <w:r w:rsidRPr="006D2720">
        <w:rPr>
          <w:rFonts w:ascii="Times New Roman" w:hAnsi="Times New Roman" w:cs="Times New Roman"/>
        </w:rPr>
        <w:t>conduct</w:t>
      </w:r>
      <w:r w:rsidR="00383EEF" w:rsidRPr="006D2720">
        <w:rPr>
          <w:rFonts w:ascii="Times New Roman" w:hAnsi="Times New Roman" w:cs="Times New Roman"/>
        </w:rPr>
        <w:t>s</w:t>
      </w:r>
      <w:r w:rsidRPr="006D2720">
        <w:rPr>
          <w:rFonts w:ascii="Times New Roman" w:hAnsi="Times New Roman" w:cs="Times New Roman"/>
        </w:rPr>
        <w:t xml:space="preserve"> a formal investigation </w:t>
      </w:r>
      <w:r w:rsidR="004E7AC5" w:rsidRPr="006D2720">
        <w:rPr>
          <w:rFonts w:ascii="Times New Roman" w:hAnsi="Times New Roman" w:cs="Times New Roman"/>
        </w:rPr>
        <w:t xml:space="preserve">using </w:t>
      </w:r>
      <w:r w:rsidR="001D7471" w:rsidRPr="006D2720">
        <w:rPr>
          <w:rFonts w:ascii="Times New Roman" w:hAnsi="Times New Roman" w:cs="Times New Roman"/>
        </w:rPr>
        <w:t xml:space="preserve">the process and powers set out in Division 3 of the </w:t>
      </w:r>
      <w:r w:rsidR="001D7471" w:rsidRPr="006D2720">
        <w:rPr>
          <w:rFonts w:ascii="Times New Roman" w:hAnsi="Times New Roman" w:cs="Times New Roman"/>
          <w:i/>
          <w:iCs/>
        </w:rPr>
        <w:t>Ombudsman Act 1978</w:t>
      </w:r>
      <w:r w:rsidR="001D7471" w:rsidRPr="006D2720">
        <w:rPr>
          <w:rFonts w:ascii="Times New Roman" w:hAnsi="Times New Roman" w:cs="Times New Roman"/>
        </w:rPr>
        <w:t xml:space="preserve"> (Tas)</w:t>
      </w:r>
      <w:r w:rsidR="004E7AC5" w:rsidRPr="006D2720">
        <w:rPr>
          <w:rFonts w:ascii="Times New Roman" w:hAnsi="Times New Roman" w:cs="Times New Roman"/>
        </w:rPr>
        <w:t>.</w:t>
      </w:r>
      <w:r w:rsidR="004E7AC5" w:rsidRPr="006D2720">
        <w:rPr>
          <w:rStyle w:val="FootnoteReference"/>
          <w:rFonts w:ascii="Times New Roman" w:hAnsi="Times New Roman" w:cs="Times New Roman"/>
        </w:rPr>
        <w:footnoteReference w:id="222"/>
      </w:r>
      <w:r w:rsidR="004E7AC5" w:rsidRPr="006D2720">
        <w:rPr>
          <w:rFonts w:ascii="Times New Roman" w:hAnsi="Times New Roman" w:cs="Times New Roman"/>
        </w:rPr>
        <w:t xml:space="preserve"> </w:t>
      </w:r>
      <w:r w:rsidRPr="006D2720">
        <w:rPr>
          <w:rFonts w:ascii="Times New Roman" w:hAnsi="Times New Roman" w:cs="Times New Roman"/>
        </w:rPr>
        <w:t>For example, the</w:t>
      </w:r>
      <w:r w:rsidR="00923A19" w:rsidRPr="006D2720">
        <w:rPr>
          <w:rFonts w:ascii="Times New Roman" w:hAnsi="Times New Roman" w:cs="Times New Roman"/>
        </w:rPr>
        <w:t xml:space="preserve"> Ombudsman</w:t>
      </w:r>
      <w:r w:rsidR="00923A19" w:rsidRPr="006D2720" w:rsidDel="00923A19">
        <w:rPr>
          <w:rFonts w:ascii="Times New Roman" w:hAnsi="Times New Roman" w:cs="Times New Roman"/>
        </w:rPr>
        <w:t xml:space="preserve"> </w:t>
      </w:r>
      <w:r w:rsidRPr="006D2720">
        <w:rPr>
          <w:rFonts w:ascii="Times New Roman" w:hAnsi="Times New Roman" w:cs="Times New Roman"/>
        </w:rPr>
        <w:t xml:space="preserve">must give written </w:t>
      </w:r>
      <w:r w:rsidR="001D7471" w:rsidRPr="006D2720">
        <w:rPr>
          <w:rFonts w:ascii="Times New Roman" w:hAnsi="Times New Roman" w:cs="Times New Roman"/>
        </w:rPr>
        <w:t xml:space="preserve">notice of the investigation </w:t>
      </w:r>
      <w:r w:rsidR="004E7AC5" w:rsidRPr="006D2720">
        <w:rPr>
          <w:rFonts w:ascii="Times New Roman" w:hAnsi="Times New Roman" w:cs="Times New Roman"/>
        </w:rPr>
        <w:t xml:space="preserve">to </w:t>
      </w:r>
      <w:r w:rsidRPr="006D2720">
        <w:rPr>
          <w:rFonts w:ascii="Times New Roman" w:hAnsi="Times New Roman" w:cs="Times New Roman"/>
        </w:rPr>
        <w:t xml:space="preserve">the complainant and the </w:t>
      </w:r>
      <w:r w:rsidR="00A572DC" w:rsidRPr="006D2720">
        <w:rPr>
          <w:rFonts w:ascii="Times New Roman" w:hAnsi="Times New Roman" w:cs="Times New Roman"/>
        </w:rPr>
        <w:t xml:space="preserve">public authority </w:t>
      </w:r>
      <w:r w:rsidRPr="006D2720">
        <w:rPr>
          <w:rFonts w:ascii="Times New Roman" w:hAnsi="Times New Roman" w:cs="Times New Roman"/>
        </w:rPr>
        <w:t xml:space="preserve">being investigated, and must allow </w:t>
      </w:r>
      <w:r w:rsidR="00A572DC" w:rsidRPr="006D2720">
        <w:rPr>
          <w:rFonts w:ascii="Times New Roman" w:hAnsi="Times New Roman" w:cs="Times New Roman"/>
        </w:rPr>
        <w:t xml:space="preserve">anyone </w:t>
      </w:r>
      <w:r w:rsidRPr="006D2720">
        <w:rPr>
          <w:rFonts w:ascii="Times New Roman" w:hAnsi="Times New Roman" w:cs="Times New Roman"/>
        </w:rPr>
        <w:t xml:space="preserve">who might be </w:t>
      </w:r>
      <w:r w:rsidR="00A572DC" w:rsidRPr="006D2720">
        <w:rPr>
          <w:rFonts w:ascii="Times New Roman" w:hAnsi="Times New Roman" w:cs="Times New Roman"/>
        </w:rPr>
        <w:t xml:space="preserve">subject to adverse comments </w:t>
      </w:r>
      <w:r w:rsidRPr="006D2720">
        <w:rPr>
          <w:rFonts w:ascii="Times New Roman" w:hAnsi="Times New Roman" w:cs="Times New Roman"/>
        </w:rPr>
        <w:t xml:space="preserve">in the report a chance </w:t>
      </w:r>
      <w:r w:rsidR="00A572DC" w:rsidRPr="006D2720">
        <w:rPr>
          <w:rFonts w:ascii="Times New Roman" w:hAnsi="Times New Roman" w:cs="Times New Roman"/>
        </w:rPr>
        <w:t>to appear</w:t>
      </w:r>
      <w:r w:rsidR="001F234B" w:rsidRPr="006D2720">
        <w:rPr>
          <w:rFonts w:ascii="Times New Roman" w:hAnsi="Times New Roman" w:cs="Times New Roman"/>
        </w:rPr>
        <w:t xml:space="preserve"> before the Ombudsman</w:t>
      </w:r>
      <w:r w:rsidR="00A572DC" w:rsidRPr="006D2720">
        <w:rPr>
          <w:rFonts w:ascii="Times New Roman" w:hAnsi="Times New Roman" w:cs="Times New Roman"/>
        </w:rPr>
        <w:t xml:space="preserve"> or otherwise make representations</w:t>
      </w:r>
      <w:r w:rsidRPr="006D2720">
        <w:rPr>
          <w:rFonts w:ascii="Times New Roman" w:hAnsi="Times New Roman" w:cs="Times New Roman"/>
        </w:rPr>
        <w:t>.</w:t>
      </w:r>
      <w:r w:rsidR="00A572DC" w:rsidRPr="006D2720">
        <w:rPr>
          <w:rStyle w:val="FootnoteReference"/>
          <w:rFonts w:ascii="Times New Roman" w:hAnsi="Times New Roman" w:cs="Times New Roman"/>
        </w:rPr>
        <w:footnoteReference w:id="223"/>
      </w:r>
      <w:r w:rsidR="00A572DC" w:rsidRPr="006D2720">
        <w:rPr>
          <w:rFonts w:ascii="Times New Roman" w:hAnsi="Times New Roman" w:cs="Times New Roman"/>
        </w:rPr>
        <w:t xml:space="preserve"> </w:t>
      </w:r>
      <w:r w:rsidR="00923A19" w:rsidRPr="006D2720">
        <w:rPr>
          <w:rFonts w:ascii="Times New Roman" w:hAnsi="Times New Roman" w:cs="Times New Roman"/>
        </w:rPr>
        <w:t>The Ombudsman has</w:t>
      </w:r>
      <w:r w:rsidR="00FA3760" w:rsidRPr="006D2720">
        <w:rPr>
          <w:rFonts w:ascii="Times New Roman" w:hAnsi="Times New Roman" w:cs="Times New Roman"/>
        </w:rPr>
        <w:t xml:space="preserve"> extensive </w:t>
      </w:r>
      <w:r w:rsidRPr="006D2720">
        <w:rPr>
          <w:rFonts w:ascii="Times New Roman" w:hAnsi="Times New Roman" w:cs="Times New Roman"/>
        </w:rPr>
        <w:t xml:space="preserve">powers, </w:t>
      </w:r>
      <w:r w:rsidR="00923A19" w:rsidRPr="006D2720">
        <w:rPr>
          <w:rFonts w:ascii="Times New Roman" w:hAnsi="Times New Roman" w:cs="Times New Roman"/>
        </w:rPr>
        <w:t xml:space="preserve">including </w:t>
      </w:r>
      <w:r w:rsidR="00A572DC" w:rsidRPr="006D2720">
        <w:rPr>
          <w:rFonts w:ascii="Times New Roman" w:hAnsi="Times New Roman" w:cs="Times New Roman"/>
        </w:rPr>
        <w:t>enter</w:t>
      </w:r>
      <w:r w:rsidR="00923A19" w:rsidRPr="006D2720">
        <w:rPr>
          <w:rFonts w:ascii="Times New Roman" w:hAnsi="Times New Roman" w:cs="Times New Roman"/>
        </w:rPr>
        <w:t>ing</w:t>
      </w:r>
      <w:r w:rsidR="00A572DC" w:rsidRPr="006D2720">
        <w:rPr>
          <w:rFonts w:ascii="Times New Roman" w:hAnsi="Times New Roman" w:cs="Times New Roman"/>
        </w:rPr>
        <w:t xml:space="preserve"> the premises of public authorities</w:t>
      </w:r>
      <w:r w:rsidRPr="006D2720">
        <w:rPr>
          <w:rFonts w:ascii="Times New Roman" w:hAnsi="Times New Roman" w:cs="Times New Roman"/>
        </w:rPr>
        <w:t>,</w:t>
      </w:r>
      <w:r w:rsidR="00A572DC" w:rsidRPr="006D2720">
        <w:rPr>
          <w:rStyle w:val="FootnoteReference"/>
          <w:rFonts w:ascii="Times New Roman" w:hAnsi="Times New Roman" w:cs="Times New Roman"/>
        </w:rPr>
        <w:footnoteReference w:id="224"/>
      </w:r>
      <w:r w:rsidR="00A572DC" w:rsidRPr="006D2720">
        <w:rPr>
          <w:rFonts w:ascii="Times New Roman" w:hAnsi="Times New Roman" w:cs="Times New Roman"/>
        </w:rPr>
        <w:t xml:space="preserve"> </w:t>
      </w:r>
      <w:r w:rsidRPr="006D2720">
        <w:rPr>
          <w:rFonts w:ascii="Times New Roman" w:hAnsi="Times New Roman" w:cs="Times New Roman"/>
        </w:rPr>
        <w:t xml:space="preserve">and </w:t>
      </w:r>
      <w:r w:rsidR="00A572DC" w:rsidRPr="006D2720">
        <w:rPr>
          <w:rFonts w:ascii="Times New Roman" w:hAnsi="Times New Roman" w:cs="Times New Roman"/>
        </w:rPr>
        <w:t>compel</w:t>
      </w:r>
      <w:r w:rsidR="00923A19" w:rsidRPr="006D2720">
        <w:rPr>
          <w:rFonts w:ascii="Times New Roman" w:hAnsi="Times New Roman" w:cs="Times New Roman"/>
        </w:rPr>
        <w:t>ling</w:t>
      </w:r>
      <w:r w:rsidR="00A572DC" w:rsidRPr="006D2720">
        <w:rPr>
          <w:rFonts w:ascii="Times New Roman" w:hAnsi="Times New Roman" w:cs="Times New Roman"/>
        </w:rPr>
        <w:t xml:space="preserve"> </w:t>
      </w:r>
      <w:r w:rsidR="003E433F" w:rsidRPr="006D2720">
        <w:rPr>
          <w:rFonts w:ascii="Times New Roman" w:hAnsi="Times New Roman" w:cs="Times New Roman"/>
        </w:rPr>
        <w:t>people</w:t>
      </w:r>
      <w:r w:rsidR="00730F6F" w:rsidRPr="006D2720">
        <w:rPr>
          <w:rFonts w:ascii="Times New Roman" w:hAnsi="Times New Roman" w:cs="Times New Roman"/>
        </w:rPr>
        <w:t xml:space="preserve"> to provide information or give </w:t>
      </w:r>
      <w:r w:rsidR="00197B79" w:rsidRPr="006D2720">
        <w:rPr>
          <w:rFonts w:ascii="Times New Roman" w:hAnsi="Times New Roman" w:cs="Times New Roman"/>
        </w:rPr>
        <w:t>evidence.</w:t>
      </w:r>
      <w:r w:rsidR="00197B79" w:rsidRPr="006D2720">
        <w:rPr>
          <w:rStyle w:val="FootnoteReference"/>
          <w:rFonts w:ascii="Times New Roman" w:hAnsi="Times New Roman" w:cs="Times New Roman"/>
        </w:rPr>
        <w:footnoteReference w:id="225"/>
      </w:r>
      <w:r w:rsidR="00197B79" w:rsidRPr="006D2720">
        <w:rPr>
          <w:rFonts w:ascii="Times New Roman" w:hAnsi="Times New Roman" w:cs="Times New Roman"/>
        </w:rPr>
        <w:t xml:space="preserve"> An investigation by the </w:t>
      </w:r>
      <w:r w:rsidR="00FD216B" w:rsidRPr="006D2720">
        <w:rPr>
          <w:rFonts w:ascii="Times New Roman" w:hAnsi="Times New Roman" w:cs="Times New Roman"/>
        </w:rPr>
        <w:t>O</w:t>
      </w:r>
      <w:r w:rsidR="00197B79" w:rsidRPr="006D2720">
        <w:rPr>
          <w:rFonts w:ascii="Times New Roman" w:hAnsi="Times New Roman" w:cs="Times New Roman"/>
        </w:rPr>
        <w:t xml:space="preserve">mbudsman must, however, </w:t>
      </w:r>
      <w:r w:rsidR="001D7471" w:rsidRPr="006D2720">
        <w:rPr>
          <w:rFonts w:ascii="Times New Roman" w:hAnsi="Times New Roman" w:cs="Times New Roman"/>
        </w:rPr>
        <w:t>be conducted in private.</w:t>
      </w:r>
      <w:r w:rsidR="00197B79" w:rsidRPr="006D2720">
        <w:rPr>
          <w:rStyle w:val="FootnoteReference"/>
          <w:rFonts w:ascii="Times New Roman" w:hAnsi="Times New Roman" w:cs="Times New Roman"/>
        </w:rPr>
        <w:footnoteReference w:id="226"/>
      </w:r>
      <w:r w:rsidR="001D7471" w:rsidRPr="006D2720">
        <w:rPr>
          <w:rFonts w:ascii="Times New Roman" w:hAnsi="Times New Roman" w:cs="Times New Roman"/>
        </w:rPr>
        <w:t xml:space="preserve"> </w:t>
      </w:r>
    </w:p>
    <w:p w14:paraId="7E7A521F" w14:textId="575E2EB0" w:rsidR="00142749" w:rsidRPr="006D2720" w:rsidRDefault="00C071D0" w:rsidP="0066337D">
      <w:pPr>
        <w:pStyle w:val="Heading3"/>
        <w:rPr>
          <w:rFonts w:ascii="Times New Roman" w:hAnsi="Times New Roman" w:cs="Times New Roman"/>
        </w:rPr>
      </w:pPr>
      <w:r w:rsidRPr="006D2720">
        <w:rPr>
          <w:rFonts w:ascii="Times New Roman" w:hAnsi="Times New Roman" w:cs="Times New Roman"/>
        </w:rPr>
        <w:t>On</w:t>
      </w:r>
      <w:r w:rsidR="004B6BA7" w:rsidRPr="006D2720">
        <w:rPr>
          <w:rFonts w:ascii="Times New Roman" w:hAnsi="Times New Roman" w:cs="Times New Roman"/>
        </w:rPr>
        <w:t xml:space="preserve">ce the investigation is completed and </w:t>
      </w:r>
      <w:r w:rsidR="00923A19" w:rsidRPr="006D2720">
        <w:rPr>
          <w:rFonts w:ascii="Times New Roman" w:hAnsi="Times New Roman" w:cs="Times New Roman"/>
        </w:rPr>
        <w:t xml:space="preserve">if </w:t>
      </w:r>
      <w:r w:rsidR="004B6BA7" w:rsidRPr="006D2720">
        <w:rPr>
          <w:rFonts w:ascii="Times New Roman" w:hAnsi="Times New Roman" w:cs="Times New Roman"/>
        </w:rPr>
        <w:t xml:space="preserve">the </w:t>
      </w:r>
      <w:r w:rsidR="00923A19" w:rsidRPr="006D2720">
        <w:rPr>
          <w:rFonts w:ascii="Times New Roman" w:hAnsi="Times New Roman" w:cs="Times New Roman"/>
        </w:rPr>
        <w:t>Ombudsman determines that</w:t>
      </w:r>
      <w:r w:rsidR="004B6BA7" w:rsidRPr="006D2720">
        <w:rPr>
          <w:rFonts w:ascii="Times New Roman" w:hAnsi="Times New Roman" w:cs="Times New Roman"/>
        </w:rPr>
        <w:t xml:space="preserve"> </w:t>
      </w:r>
      <w:r w:rsidR="0092640B" w:rsidRPr="006D2720">
        <w:rPr>
          <w:rFonts w:ascii="Times New Roman" w:hAnsi="Times New Roman" w:cs="Times New Roman"/>
        </w:rPr>
        <w:t xml:space="preserve">the custodian has breached </w:t>
      </w:r>
      <w:r w:rsidR="004B6BA7" w:rsidRPr="006D2720">
        <w:rPr>
          <w:rFonts w:ascii="Times New Roman" w:hAnsi="Times New Roman" w:cs="Times New Roman"/>
        </w:rPr>
        <w:t xml:space="preserve">a PIPP, </w:t>
      </w:r>
      <w:r w:rsidR="00087D9B" w:rsidRPr="006D2720">
        <w:rPr>
          <w:rFonts w:ascii="Times New Roman" w:hAnsi="Times New Roman" w:cs="Times New Roman"/>
        </w:rPr>
        <w:t xml:space="preserve">the Ombudsman must advise </w:t>
      </w:r>
      <w:r w:rsidR="00803FA4" w:rsidRPr="006D2720">
        <w:rPr>
          <w:rFonts w:ascii="Times New Roman" w:hAnsi="Times New Roman" w:cs="Times New Roman"/>
        </w:rPr>
        <w:t>the complainant and custodian of the reasons for that opinion, and may make any recommendations the Ombudsman considers appropriate.</w:t>
      </w:r>
      <w:r w:rsidR="00197B79" w:rsidRPr="006D2720">
        <w:rPr>
          <w:rStyle w:val="FootnoteReference"/>
          <w:rFonts w:ascii="Times New Roman" w:hAnsi="Times New Roman" w:cs="Times New Roman"/>
        </w:rPr>
        <w:footnoteReference w:id="227"/>
      </w:r>
      <w:r w:rsidR="00D805BA" w:rsidRPr="006D2720">
        <w:rPr>
          <w:rFonts w:ascii="Times New Roman" w:hAnsi="Times New Roman" w:cs="Times New Roman"/>
        </w:rPr>
        <w:t xml:space="preserve"> The </w:t>
      </w:r>
      <w:r w:rsidR="00923A19" w:rsidRPr="006D2720">
        <w:rPr>
          <w:rFonts w:ascii="Times New Roman" w:hAnsi="Times New Roman" w:cs="Times New Roman"/>
        </w:rPr>
        <w:t>opinion</w:t>
      </w:r>
      <w:r w:rsidR="00D805BA" w:rsidRPr="006D2720">
        <w:rPr>
          <w:rFonts w:ascii="Times New Roman" w:hAnsi="Times New Roman" w:cs="Times New Roman"/>
        </w:rPr>
        <w:t xml:space="preserve"> and any recommendations </w:t>
      </w:r>
      <w:r w:rsidR="00033D6E" w:rsidRPr="006D2720">
        <w:rPr>
          <w:rFonts w:ascii="Times New Roman" w:hAnsi="Times New Roman" w:cs="Times New Roman"/>
        </w:rPr>
        <w:t>are</w:t>
      </w:r>
      <w:r w:rsidR="00D805BA" w:rsidRPr="006D2720">
        <w:rPr>
          <w:rFonts w:ascii="Times New Roman" w:hAnsi="Times New Roman" w:cs="Times New Roman"/>
        </w:rPr>
        <w:t xml:space="preserve"> provided to the Minister and tabled </w:t>
      </w:r>
      <w:r w:rsidR="00B46164" w:rsidRPr="006D2720">
        <w:rPr>
          <w:rFonts w:ascii="Times New Roman" w:hAnsi="Times New Roman" w:cs="Times New Roman"/>
        </w:rPr>
        <w:t xml:space="preserve">in both Houses of Parliament within </w:t>
      </w:r>
      <w:r w:rsidR="00923A19" w:rsidRPr="006D2720">
        <w:rPr>
          <w:rFonts w:ascii="Times New Roman" w:hAnsi="Times New Roman" w:cs="Times New Roman"/>
        </w:rPr>
        <w:t>five</w:t>
      </w:r>
      <w:r w:rsidR="00B46164" w:rsidRPr="006D2720">
        <w:rPr>
          <w:rFonts w:ascii="Times New Roman" w:hAnsi="Times New Roman" w:cs="Times New Roman"/>
        </w:rPr>
        <w:t xml:space="preserve"> sitting days of receipt.</w:t>
      </w:r>
    </w:p>
    <w:p w14:paraId="112428C7" w14:textId="13A4A669" w:rsidR="00623C43" w:rsidRPr="006D2720" w:rsidRDefault="00340D97" w:rsidP="005C0CF4">
      <w:pPr>
        <w:pStyle w:val="Heading3"/>
        <w:rPr>
          <w:rFonts w:ascii="Times New Roman" w:hAnsi="Times New Roman" w:cs="Times New Roman"/>
        </w:rPr>
      </w:pPr>
      <w:r w:rsidRPr="006D2720">
        <w:rPr>
          <w:rFonts w:ascii="Times New Roman" w:hAnsi="Times New Roman" w:cs="Times New Roman"/>
        </w:rPr>
        <w:t xml:space="preserve">Table 2.1 (below) </w:t>
      </w:r>
      <w:r w:rsidR="008200EA" w:rsidRPr="006D2720">
        <w:rPr>
          <w:rFonts w:ascii="Times New Roman" w:hAnsi="Times New Roman" w:cs="Times New Roman"/>
        </w:rPr>
        <w:t>shows</w:t>
      </w:r>
      <w:r w:rsidR="009837A0" w:rsidRPr="006D2720">
        <w:rPr>
          <w:rFonts w:ascii="Times New Roman" w:hAnsi="Times New Roman" w:cs="Times New Roman"/>
        </w:rPr>
        <w:t xml:space="preserve"> data from</w:t>
      </w:r>
      <w:r w:rsidR="00721D16" w:rsidRPr="006D2720">
        <w:rPr>
          <w:rFonts w:ascii="Times New Roman" w:hAnsi="Times New Roman" w:cs="Times New Roman"/>
        </w:rPr>
        <w:t xml:space="preserve"> the</w:t>
      </w:r>
      <w:r w:rsidR="002F0802" w:rsidRPr="006D2720">
        <w:rPr>
          <w:rFonts w:ascii="Times New Roman" w:hAnsi="Times New Roman" w:cs="Times New Roman"/>
        </w:rPr>
        <w:t xml:space="preserve"> </w:t>
      </w:r>
      <w:r w:rsidR="00920FAF" w:rsidRPr="006D2720">
        <w:rPr>
          <w:rFonts w:ascii="Times New Roman" w:hAnsi="Times New Roman" w:cs="Times New Roman"/>
        </w:rPr>
        <w:t>Ombudsman’s annual report</w:t>
      </w:r>
      <w:r w:rsidR="00935238" w:rsidRPr="006D2720">
        <w:rPr>
          <w:rFonts w:ascii="Times New Roman" w:hAnsi="Times New Roman" w:cs="Times New Roman"/>
        </w:rPr>
        <w:t xml:space="preserve">s, </w:t>
      </w:r>
      <w:r w:rsidRPr="006D2720">
        <w:rPr>
          <w:rFonts w:ascii="Times New Roman" w:hAnsi="Times New Roman" w:cs="Times New Roman"/>
        </w:rPr>
        <w:t xml:space="preserve">listing the numbers of </w:t>
      </w:r>
      <w:r w:rsidR="0053142D" w:rsidRPr="006D2720">
        <w:rPr>
          <w:rFonts w:ascii="Times New Roman" w:hAnsi="Times New Roman" w:cs="Times New Roman"/>
        </w:rPr>
        <w:t xml:space="preserve">complaints </w:t>
      </w:r>
      <w:r w:rsidR="00197B79" w:rsidRPr="006D2720">
        <w:rPr>
          <w:rFonts w:ascii="Times New Roman" w:hAnsi="Times New Roman" w:cs="Times New Roman"/>
        </w:rPr>
        <w:t>received</w:t>
      </w:r>
      <w:r w:rsidR="00935238" w:rsidRPr="006D2720">
        <w:rPr>
          <w:rFonts w:ascii="Times New Roman" w:hAnsi="Times New Roman" w:cs="Times New Roman"/>
        </w:rPr>
        <w:t xml:space="preserve"> by agency</w:t>
      </w:r>
      <w:r w:rsidR="002F0802" w:rsidRPr="006D2720">
        <w:rPr>
          <w:rFonts w:ascii="Times New Roman" w:hAnsi="Times New Roman" w:cs="Times New Roman"/>
        </w:rPr>
        <w:t>.</w:t>
      </w:r>
      <w:r w:rsidR="001D328E" w:rsidRPr="006D2720">
        <w:rPr>
          <w:rStyle w:val="FootnoteReference"/>
          <w:rFonts w:ascii="Times New Roman" w:hAnsi="Times New Roman" w:cs="Times New Roman"/>
        </w:rPr>
        <w:footnoteReference w:id="228"/>
      </w:r>
      <w:r w:rsidR="002F0802" w:rsidRPr="006D2720">
        <w:rPr>
          <w:rFonts w:ascii="Times New Roman" w:hAnsi="Times New Roman" w:cs="Times New Roman"/>
        </w:rPr>
        <w:t xml:space="preserve">  </w:t>
      </w:r>
    </w:p>
    <w:p w14:paraId="1FDD2F74" w14:textId="6ED6D943" w:rsidR="00623C43" w:rsidRPr="006D2720" w:rsidRDefault="00623C43" w:rsidP="005C0CF4">
      <w:pPr>
        <w:rPr>
          <w:rFonts w:ascii="Times New Roman" w:hAnsi="Times New Roman" w:cs="Times New Roman"/>
        </w:rPr>
      </w:pPr>
      <w:r w:rsidRPr="006D2720">
        <w:rPr>
          <w:rFonts w:ascii="Times New Roman" w:hAnsi="Times New Roman" w:cs="Times New Roman"/>
          <w:b/>
          <w:bCs/>
        </w:rPr>
        <w:t xml:space="preserve">Table 2.1 </w:t>
      </w:r>
      <w:r w:rsidR="00453FAE" w:rsidRPr="006D2720">
        <w:rPr>
          <w:rFonts w:ascii="Times New Roman" w:hAnsi="Times New Roman" w:cs="Times New Roman"/>
        </w:rPr>
        <w:t>Number of privacy complaints to Tasmanian Ombudsman</w:t>
      </w:r>
      <w:r w:rsidR="00340D97" w:rsidRPr="006D2720">
        <w:rPr>
          <w:rFonts w:ascii="Times New Roman" w:hAnsi="Times New Roman" w:cs="Times New Roman"/>
        </w:rPr>
        <w:t xml:space="preserve"> 2018</w:t>
      </w:r>
      <w:r w:rsidR="005F57C5" w:rsidRPr="006D2720">
        <w:rPr>
          <w:rFonts w:ascii="Times New Roman" w:hAnsi="Times New Roman" w:cs="Times New Roman"/>
        </w:rPr>
        <w:t>–</w:t>
      </w:r>
      <w:r w:rsidR="00340D97" w:rsidRPr="006D2720">
        <w:rPr>
          <w:rFonts w:ascii="Times New Roman" w:hAnsi="Times New Roman" w:cs="Times New Roman"/>
        </w:rPr>
        <w:t>22</w:t>
      </w:r>
      <w:r w:rsidR="00453FAE" w:rsidRPr="006D2720">
        <w:rPr>
          <w:rFonts w:ascii="Times New Roman" w:hAnsi="Times New Roman" w:cs="Times New Roman"/>
        </w:rPr>
        <w:t>, by agency type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354"/>
        <w:gridCol w:w="1354"/>
        <w:gridCol w:w="1291"/>
        <w:gridCol w:w="1289"/>
      </w:tblGrid>
      <w:tr w:rsidR="007A1EAC" w:rsidRPr="006D2720" w14:paraId="0BB05230" w14:textId="77777777" w:rsidTr="00C62E08">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8C07"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Agency</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09DF7"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2018–19</w:t>
            </w:r>
          </w:p>
          <w:p w14:paraId="3868FA20"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N (%)</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07EF5"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2019–20</w:t>
            </w:r>
          </w:p>
          <w:p w14:paraId="612354F8"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N (%)</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F9160"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2020–21</w:t>
            </w:r>
          </w:p>
          <w:p w14:paraId="6FF8DD33"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N (%)</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AD8C0"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2021–22</w:t>
            </w:r>
          </w:p>
          <w:p w14:paraId="076A14E5"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N (%)</w:t>
            </w:r>
          </w:p>
        </w:tc>
      </w:tr>
      <w:tr w:rsidR="007A1EAC" w:rsidRPr="006D2720" w14:paraId="0D7DCE74" w14:textId="77777777" w:rsidTr="00C62E08">
        <w:tc>
          <w:tcPr>
            <w:tcW w:w="2067" w:type="pct"/>
            <w:tcBorders>
              <w:top w:val="single" w:sz="4" w:space="0" w:color="auto"/>
              <w:left w:val="single" w:sz="4" w:space="0" w:color="auto"/>
              <w:right w:val="single" w:sz="4" w:space="0" w:color="auto"/>
            </w:tcBorders>
            <w:shd w:val="clear" w:color="auto" w:fill="D9D9D9" w:themeFill="background1" w:themeFillShade="D9"/>
          </w:tcPr>
          <w:p w14:paraId="064DA95F"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State government departments</w:t>
            </w:r>
          </w:p>
        </w:tc>
        <w:tc>
          <w:tcPr>
            <w:tcW w:w="751" w:type="pct"/>
            <w:tcBorders>
              <w:top w:val="single" w:sz="4" w:space="0" w:color="auto"/>
              <w:left w:val="single" w:sz="4" w:space="0" w:color="auto"/>
              <w:right w:val="single" w:sz="4" w:space="0" w:color="auto"/>
            </w:tcBorders>
          </w:tcPr>
          <w:p w14:paraId="6C67623F"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382 (52.5)</w:t>
            </w:r>
          </w:p>
        </w:tc>
        <w:tc>
          <w:tcPr>
            <w:tcW w:w="751" w:type="pct"/>
            <w:tcBorders>
              <w:top w:val="single" w:sz="4" w:space="0" w:color="auto"/>
              <w:left w:val="single" w:sz="4" w:space="0" w:color="auto"/>
              <w:right w:val="single" w:sz="4" w:space="0" w:color="auto"/>
            </w:tcBorders>
          </w:tcPr>
          <w:p w14:paraId="553108B1"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344 (53.5)</w:t>
            </w:r>
          </w:p>
        </w:tc>
        <w:tc>
          <w:tcPr>
            <w:tcW w:w="716" w:type="pct"/>
            <w:tcBorders>
              <w:top w:val="single" w:sz="4" w:space="0" w:color="auto"/>
              <w:left w:val="single" w:sz="4" w:space="0" w:color="auto"/>
              <w:right w:val="single" w:sz="4" w:space="0" w:color="auto"/>
            </w:tcBorders>
          </w:tcPr>
          <w:p w14:paraId="5527473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378 (53)</w:t>
            </w:r>
          </w:p>
        </w:tc>
        <w:tc>
          <w:tcPr>
            <w:tcW w:w="716" w:type="pct"/>
            <w:tcBorders>
              <w:top w:val="single" w:sz="4" w:space="0" w:color="auto"/>
              <w:left w:val="single" w:sz="4" w:space="0" w:color="auto"/>
              <w:right w:val="single" w:sz="4" w:space="0" w:color="auto"/>
            </w:tcBorders>
          </w:tcPr>
          <w:p w14:paraId="5EE4E04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508 (56)</w:t>
            </w:r>
          </w:p>
        </w:tc>
      </w:tr>
      <w:tr w:rsidR="007A1EAC" w:rsidRPr="006D2720" w14:paraId="6CC6BD7D" w14:textId="77777777" w:rsidTr="00C62E08">
        <w:tc>
          <w:tcPr>
            <w:tcW w:w="2067" w:type="pct"/>
            <w:tcBorders>
              <w:left w:val="single" w:sz="4" w:space="0" w:color="auto"/>
              <w:right w:val="single" w:sz="4" w:space="0" w:color="auto"/>
            </w:tcBorders>
            <w:shd w:val="clear" w:color="auto" w:fill="D9D9D9" w:themeFill="background1" w:themeFillShade="D9"/>
          </w:tcPr>
          <w:p w14:paraId="2E6601DF"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Local government</w:t>
            </w:r>
          </w:p>
        </w:tc>
        <w:tc>
          <w:tcPr>
            <w:tcW w:w="751" w:type="pct"/>
            <w:tcBorders>
              <w:left w:val="single" w:sz="4" w:space="0" w:color="auto"/>
              <w:right w:val="single" w:sz="4" w:space="0" w:color="auto"/>
            </w:tcBorders>
          </w:tcPr>
          <w:p w14:paraId="1A6297AA"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76 (10.5)</w:t>
            </w:r>
          </w:p>
        </w:tc>
        <w:tc>
          <w:tcPr>
            <w:tcW w:w="751" w:type="pct"/>
            <w:tcBorders>
              <w:left w:val="single" w:sz="4" w:space="0" w:color="auto"/>
              <w:right w:val="single" w:sz="4" w:space="0" w:color="auto"/>
            </w:tcBorders>
          </w:tcPr>
          <w:p w14:paraId="53610B74"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81 (12.7)</w:t>
            </w:r>
          </w:p>
        </w:tc>
        <w:tc>
          <w:tcPr>
            <w:tcW w:w="716" w:type="pct"/>
            <w:tcBorders>
              <w:left w:val="single" w:sz="4" w:space="0" w:color="auto"/>
              <w:right w:val="single" w:sz="4" w:space="0" w:color="auto"/>
            </w:tcBorders>
          </w:tcPr>
          <w:p w14:paraId="4D0151E8"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77 (13)</w:t>
            </w:r>
          </w:p>
        </w:tc>
        <w:tc>
          <w:tcPr>
            <w:tcW w:w="716" w:type="pct"/>
            <w:tcBorders>
              <w:left w:val="single" w:sz="4" w:space="0" w:color="auto"/>
              <w:right w:val="single" w:sz="4" w:space="0" w:color="auto"/>
            </w:tcBorders>
          </w:tcPr>
          <w:p w14:paraId="46B01948"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88 (10)</w:t>
            </w:r>
          </w:p>
        </w:tc>
      </w:tr>
      <w:tr w:rsidR="007A1EAC" w:rsidRPr="006D2720" w14:paraId="78240126" w14:textId="77777777" w:rsidTr="00C62E08">
        <w:tc>
          <w:tcPr>
            <w:tcW w:w="2067" w:type="pct"/>
            <w:tcBorders>
              <w:left w:val="single" w:sz="4" w:space="0" w:color="auto"/>
              <w:right w:val="single" w:sz="4" w:space="0" w:color="auto"/>
            </w:tcBorders>
            <w:shd w:val="clear" w:color="auto" w:fill="D9D9D9" w:themeFill="background1" w:themeFillShade="D9"/>
          </w:tcPr>
          <w:p w14:paraId="1F60588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Public authorities and GBEs</w:t>
            </w:r>
          </w:p>
        </w:tc>
        <w:tc>
          <w:tcPr>
            <w:tcW w:w="751" w:type="pct"/>
            <w:tcBorders>
              <w:left w:val="single" w:sz="4" w:space="0" w:color="auto"/>
              <w:right w:val="single" w:sz="4" w:space="0" w:color="auto"/>
            </w:tcBorders>
          </w:tcPr>
          <w:p w14:paraId="4E31E1AE"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119 (16.2)</w:t>
            </w:r>
          </w:p>
        </w:tc>
        <w:tc>
          <w:tcPr>
            <w:tcW w:w="751" w:type="pct"/>
            <w:tcBorders>
              <w:left w:val="single" w:sz="4" w:space="0" w:color="auto"/>
              <w:right w:val="single" w:sz="4" w:space="0" w:color="auto"/>
            </w:tcBorders>
          </w:tcPr>
          <w:p w14:paraId="6AAB9C7C"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66 (10.3)</w:t>
            </w:r>
          </w:p>
        </w:tc>
        <w:tc>
          <w:tcPr>
            <w:tcW w:w="716" w:type="pct"/>
            <w:tcBorders>
              <w:left w:val="single" w:sz="4" w:space="0" w:color="auto"/>
              <w:right w:val="single" w:sz="4" w:space="0" w:color="auto"/>
            </w:tcBorders>
          </w:tcPr>
          <w:p w14:paraId="549F3DC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69 (10)</w:t>
            </w:r>
          </w:p>
        </w:tc>
        <w:tc>
          <w:tcPr>
            <w:tcW w:w="716" w:type="pct"/>
            <w:tcBorders>
              <w:left w:val="single" w:sz="4" w:space="0" w:color="auto"/>
              <w:right w:val="single" w:sz="4" w:space="0" w:color="auto"/>
            </w:tcBorders>
          </w:tcPr>
          <w:p w14:paraId="7C12CBDE"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93 (10)</w:t>
            </w:r>
          </w:p>
        </w:tc>
      </w:tr>
      <w:tr w:rsidR="007A1EAC" w:rsidRPr="006D2720" w14:paraId="62D69D3F" w14:textId="77777777" w:rsidTr="00C62E08">
        <w:tc>
          <w:tcPr>
            <w:tcW w:w="2067" w:type="pct"/>
            <w:tcBorders>
              <w:left w:val="single" w:sz="4" w:space="0" w:color="auto"/>
              <w:right w:val="single" w:sz="4" w:space="0" w:color="auto"/>
            </w:tcBorders>
            <w:shd w:val="clear" w:color="auto" w:fill="D9D9D9" w:themeFill="background1" w:themeFillShade="D9"/>
          </w:tcPr>
          <w:p w14:paraId="184D189A"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Out of jurisdiction</w:t>
            </w:r>
          </w:p>
        </w:tc>
        <w:tc>
          <w:tcPr>
            <w:tcW w:w="751" w:type="pct"/>
            <w:tcBorders>
              <w:left w:val="single" w:sz="4" w:space="0" w:color="auto"/>
              <w:right w:val="single" w:sz="4" w:space="0" w:color="auto"/>
            </w:tcBorders>
          </w:tcPr>
          <w:p w14:paraId="60B580EB"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150 (20.6)</w:t>
            </w:r>
          </w:p>
        </w:tc>
        <w:tc>
          <w:tcPr>
            <w:tcW w:w="751" w:type="pct"/>
            <w:tcBorders>
              <w:left w:val="single" w:sz="4" w:space="0" w:color="auto"/>
              <w:right w:val="single" w:sz="4" w:space="0" w:color="auto"/>
            </w:tcBorders>
          </w:tcPr>
          <w:p w14:paraId="2E1FA152"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131 (20.4)</w:t>
            </w:r>
          </w:p>
        </w:tc>
        <w:tc>
          <w:tcPr>
            <w:tcW w:w="716" w:type="pct"/>
            <w:tcBorders>
              <w:left w:val="single" w:sz="4" w:space="0" w:color="auto"/>
              <w:right w:val="single" w:sz="4" w:space="0" w:color="auto"/>
            </w:tcBorders>
          </w:tcPr>
          <w:p w14:paraId="0E7C9A7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170 (20)</w:t>
            </w:r>
          </w:p>
        </w:tc>
        <w:tc>
          <w:tcPr>
            <w:tcW w:w="716" w:type="pct"/>
            <w:tcBorders>
              <w:left w:val="single" w:sz="4" w:space="0" w:color="auto"/>
              <w:right w:val="single" w:sz="4" w:space="0" w:color="auto"/>
            </w:tcBorders>
          </w:tcPr>
          <w:p w14:paraId="5D3F5CC3"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188 (21)</w:t>
            </w:r>
          </w:p>
        </w:tc>
      </w:tr>
      <w:tr w:rsidR="007A1EAC" w:rsidRPr="006D2720" w14:paraId="3B2B0642" w14:textId="77777777" w:rsidTr="00C62E08">
        <w:tc>
          <w:tcPr>
            <w:tcW w:w="2067" w:type="pct"/>
            <w:tcBorders>
              <w:left w:val="single" w:sz="4" w:space="0" w:color="auto"/>
              <w:right w:val="single" w:sz="4" w:space="0" w:color="auto"/>
            </w:tcBorders>
            <w:shd w:val="clear" w:color="auto" w:fill="D9D9D9" w:themeFill="background1" w:themeFillShade="D9"/>
          </w:tcPr>
          <w:p w14:paraId="5E5B761E"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Personal Information Protection</w:t>
            </w:r>
          </w:p>
        </w:tc>
        <w:tc>
          <w:tcPr>
            <w:tcW w:w="751" w:type="pct"/>
            <w:tcBorders>
              <w:left w:val="single" w:sz="4" w:space="0" w:color="auto"/>
              <w:right w:val="single" w:sz="4" w:space="0" w:color="auto"/>
            </w:tcBorders>
          </w:tcPr>
          <w:p w14:paraId="75CF3CE1"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4 (&lt;1)</w:t>
            </w:r>
          </w:p>
        </w:tc>
        <w:tc>
          <w:tcPr>
            <w:tcW w:w="751" w:type="pct"/>
            <w:tcBorders>
              <w:left w:val="single" w:sz="4" w:space="0" w:color="auto"/>
              <w:right w:val="single" w:sz="4" w:space="0" w:color="auto"/>
            </w:tcBorders>
          </w:tcPr>
          <w:p w14:paraId="2A5F77BB"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14 (2.1)</w:t>
            </w:r>
          </w:p>
        </w:tc>
        <w:tc>
          <w:tcPr>
            <w:tcW w:w="716" w:type="pct"/>
            <w:tcBorders>
              <w:left w:val="single" w:sz="4" w:space="0" w:color="auto"/>
              <w:right w:val="single" w:sz="4" w:space="0" w:color="auto"/>
            </w:tcBorders>
          </w:tcPr>
          <w:p w14:paraId="2B80FB4E"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17 (3)</w:t>
            </w:r>
          </w:p>
        </w:tc>
        <w:tc>
          <w:tcPr>
            <w:tcW w:w="716" w:type="pct"/>
            <w:tcBorders>
              <w:left w:val="single" w:sz="4" w:space="0" w:color="auto"/>
              <w:right w:val="single" w:sz="4" w:space="0" w:color="auto"/>
            </w:tcBorders>
          </w:tcPr>
          <w:p w14:paraId="0E35A5EC"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11 (1)</w:t>
            </w:r>
          </w:p>
        </w:tc>
      </w:tr>
      <w:tr w:rsidR="007A1EAC" w:rsidRPr="006D2720" w14:paraId="0FFF705D" w14:textId="77777777" w:rsidTr="00C62E08">
        <w:tc>
          <w:tcPr>
            <w:tcW w:w="2067" w:type="pct"/>
            <w:tcBorders>
              <w:left w:val="single" w:sz="4" w:space="0" w:color="auto"/>
              <w:bottom w:val="single" w:sz="4" w:space="0" w:color="auto"/>
              <w:right w:val="single" w:sz="4" w:space="0" w:color="auto"/>
            </w:tcBorders>
            <w:shd w:val="clear" w:color="auto" w:fill="D9D9D9" w:themeFill="background1" w:themeFillShade="D9"/>
          </w:tcPr>
          <w:p w14:paraId="7C9BDC4D"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Public Interest Disclosure</w:t>
            </w:r>
          </w:p>
        </w:tc>
        <w:tc>
          <w:tcPr>
            <w:tcW w:w="751" w:type="pct"/>
            <w:tcBorders>
              <w:left w:val="single" w:sz="4" w:space="0" w:color="auto"/>
              <w:bottom w:val="single" w:sz="4" w:space="0" w:color="auto"/>
              <w:right w:val="single" w:sz="4" w:space="0" w:color="auto"/>
            </w:tcBorders>
          </w:tcPr>
          <w:p w14:paraId="025F7D5F"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4 (&lt;1)</w:t>
            </w:r>
          </w:p>
        </w:tc>
        <w:tc>
          <w:tcPr>
            <w:tcW w:w="751" w:type="pct"/>
            <w:tcBorders>
              <w:left w:val="single" w:sz="4" w:space="0" w:color="auto"/>
              <w:bottom w:val="single" w:sz="4" w:space="0" w:color="auto"/>
              <w:right w:val="single" w:sz="4" w:space="0" w:color="auto"/>
            </w:tcBorders>
          </w:tcPr>
          <w:p w14:paraId="245961AE"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6 (1)</w:t>
            </w:r>
          </w:p>
        </w:tc>
        <w:tc>
          <w:tcPr>
            <w:tcW w:w="716" w:type="pct"/>
            <w:tcBorders>
              <w:left w:val="single" w:sz="4" w:space="0" w:color="auto"/>
              <w:bottom w:val="single" w:sz="4" w:space="0" w:color="auto"/>
              <w:right w:val="single" w:sz="4" w:space="0" w:color="auto"/>
            </w:tcBorders>
          </w:tcPr>
          <w:p w14:paraId="14052496"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4 (1)</w:t>
            </w:r>
          </w:p>
        </w:tc>
        <w:tc>
          <w:tcPr>
            <w:tcW w:w="716" w:type="pct"/>
            <w:tcBorders>
              <w:left w:val="single" w:sz="4" w:space="0" w:color="auto"/>
              <w:bottom w:val="single" w:sz="4" w:space="0" w:color="auto"/>
              <w:right w:val="single" w:sz="4" w:space="0" w:color="auto"/>
            </w:tcBorders>
          </w:tcPr>
          <w:p w14:paraId="245946D7" w14:textId="77777777" w:rsidR="007A1EAC" w:rsidRPr="006D2720" w:rsidRDefault="007A1EAC" w:rsidP="007A1EAC">
            <w:pPr>
              <w:spacing w:after="160" w:line="259" w:lineRule="auto"/>
              <w:rPr>
                <w:rFonts w:ascii="Times New Roman" w:eastAsiaTheme="minorEastAsia" w:hAnsi="Times New Roman" w:cs="Times New Roman"/>
                <w:bCs/>
                <w:sz w:val="22"/>
                <w:szCs w:val="22"/>
              </w:rPr>
            </w:pPr>
            <w:r w:rsidRPr="006D2720">
              <w:rPr>
                <w:rFonts w:ascii="Times New Roman" w:eastAsiaTheme="minorEastAsia" w:hAnsi="Times New Roman" w:cs="Times New Roman"/>
                <w:bCs/>
                <w:sz w:val="22"/>
                <w:szCs w:val="22"/>
              </w:rPr>
              <w:t>19 (2)</w:t>
            </w:r>
          </w:p>
        </w:tc>
      </w:tr>
      <w:tr w:rsidR="007A1EAC" w:rsidRPr="006D2720" w14:paraId="239906C1" w14:textId="77777777" w:rsidTr="00C62E08">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6537C"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Total</w:t>
            </w:r>
          </w:p>
        </w:tc>
        <w:tc>
          <w:tcPr>
            <w:tcW w:w="751" w:type="pct"/>
            <w:tcBorders>
              <w:top w:val="single" w:sz="4" w:space="0" w:color="auto"/>
              <w:left w:val="single" w:sz="4" w:space="0" w:color="auto"/>
              <w:bottom w:val="single" w:sz="4" w:space="0" w:color="auto"/>
              <w:right w:val="single" w:sz="4" w:space="0" w:color="auto"/>
            </w:tcBorders>
          </w:tcPr>
          <w:p w14:paraId="1D3DA2A0"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735 (100)</w:t>
            </w:r>
          </w:p>
        </w:tc>
        <w:tc>
          <w:tcPr>
            <w:tcW w:w="751" w:type="pct"/>
            <w:tcBorders>
              <w:top w:val="single" w:sz="4" w:space="0" w:color="auto"/>
              <w:left w:val="single" w:sz="4" w:space="0" w:color="auto"/>
              <w:bottom w:val="single" w:sz="4" w:space="0" w:color="auto"/>
              <w:right w:val="single" w:sz="4" w:space="0" w:color="auto"/>
            </w:tcBorders>
          </w:tcPr>
          <w:p w14:paraId="6094A126"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642 (100)</w:t>
            </w:r>
          </w:p>
        </w:tc>
        <w:tc>
          <w:tcPr>
            <w:tcW w:w="716" w:type="pct"/>
            <w:tcBorders>
              <w:top w:val="single" w:sz="4" w:space="0" w:color="auto"/>
              <w:left w:val="single" w:sz="4" w:space="0" w:color="auto"/>
              <w:bottom w:val="single" w:sz="4" w:space="0" w:color="auto"/>
              <w:right w:val="single" w:sz="4" w:space="0" w:color="auto"/>
            </w:tcBorders>
          </w:tcPr>
          <w:p w14:paraId="40F72484"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715 (100)</w:t>
            </w:r>
          </w:p>
        </w:tc>
        <w:tc>
          <w:tcPr>
            <w:tcW w:w="716" w:type="pct"/>
            <w:tcBorders>
              <w:top w:val="single" w:sz="4" w:space="0" w:color="auto"/>
              <w:left w:val="single" w:sz="4" w:space="0" w:color="auto"/>
              <w:bottom w:val="single" w:sz="4" w:space="0" w:color="auto"/>
              <w:right w:val="single" w:sz="4" w:space="0" w:color="auto"/>
            </w:tcBorders>
          </w:tcPr>
          <w:p w14:paraId="6440C381" w14:textId="77777777" w:rsidR="007A1EAC" w:rsidRPr="006D2720" w:rsidRDefault="007A1EAC" w:rsidP="007A1EAC">
            <w:pPr>
              <w:spacing w:after="160" w:line="259" w:lineRule="auto"/>
              <w:rPr>
                <w:rFonts w:ascii="Times New Roman" w:eastAsiaTheme="minorEastAsia" w:hAnsi="Times New Roman" w:cs="Times New Roman"/>
                <w:b/>
                <w:bCs/>
                <w:sz w:val="22"/>
                <w:szCs w:val="22"/>
              </w:rPr>
            </w:pPr>
            <w:r w:rsidRPr="006D2720">
              <w:rPr>
                <w:rFonts w:ascii="Times New Roman" w:eastAsiaTheme="minorEastAsia" w:hAnsi="Times New Roman" w:cs="Times New Roman"/>
                <w:b/>
                <w:bCs/>
                <w:sz w:val="22"/>
                <w:szCs w:val="22"/>
              </w:rPr>
              <w:t>907 (100)</w:t>
            </w:r>
          </w:p>
        </w:tc>
      </w:tr>
    </w:tbl>
    <w:p w14:paraId="6DC273F2" w14:textId="77777777" w:rsidR="005C0CF4" w:rsidRPr="006D2720" w:rsidRDefault="005C0CF4" w:rsidP="005C0CF4">
      <w:pPr>
        <w:rPr>
          <w:rFonts w:ascii="Times New Roman" w:hAnsi="Times New Roman" w:cs="Times New Roman"/>
          <w:b/>
        </w:rPr>
      </w:pPr>
    </w:p>
    <w:p w14:paraId="0C9BA406" w14:textId="575C38A1" w:rsidR="00C829D8" w:rsidRPr="006D2720" w:rsidRDefault="0091449A" w:rsidP="00973613">
      <w:pPr>
        <w:pStyle w:val="Heading3"/>
        <w:rPr>
          <w:rFonts w:ascii="Times New Roman" w:hAnsi="Times New Roman" w:cs="Times New Roman"/>
        </w:rPr>
      </w:pPr>
      <w:bookmarkStart w:id="309" w:name="_Toc91536660"/>
      <w:bookmarkStart w:id="310" w:name="_Ref91110460"/>
      <w:bookmarkEnd w:id="309"/>
      <w:r w:rsidRPr="006D2720">
        <w:rPr>
          <w:rFonts w:ascii="Times New Roman" w:hAnsi="Times New Roman" w:cs="Times New Roman"/>
        </w:rPr>
        <w:t>I</w:t>
      </w:r>
      <w:r w:rsidR="002F0802" w:rsidRPr="006D2720">
        <w:rPr>
          <w:rFonts w:ascii="Times New Roman" w:hAnsi="Times New Roman" w:cs="Times New Roman"/>
        </w:rPr>
        <w:t xml:space="preserve">t should be noted that </w:t>
      </w:r>
      <w:r w:rsidR="00973613" w:rsidRPr="006D2720">
        <w:rPr>
          <w:rFonts w:ascii="Times New Roman" w:hAnsi="Times New Roman" w:cs="Times New Roman"/>
        </w:rPr>
        <w:t xml:space="preserve">the </w:t>
      </w:r>
      <w:r w:rsidR="002F0802" w:rsidRPr="006D2720">
        <w:rPr>
          <w:rFonts w:ascii="Times New Roman" w:hAnsi="Times New Roman" w:cs="Times New Roman"/>
        </w:rPr>
        <w:t xml:space="preserve">Tasmanian </w:t>
      </w:r>
      <w:r w:rsidR="00C60898" w:rsidRPr="006D2720">
        <w:rPr>
          <w:rFonts w:ascii="Times New Roman" w:hAnsi="Times New Roman" w:cs="Times New Roman"/>
        </w:rPr>
        <w:t xml:space="preserve">Ombudsman </w:t>
      </w:r>
      <w:r w:rsidR="00277F36" w:rsidRPr="006D2720">
        <w:rPr>
          <w:rFonts w:ascii="Times New Roman" w:hAnsi="Times New Roman" w:cs="Times New Roman"/>
        </w:rPr>
        <w:t xml:space="preserve">cannot initiate </w:t>
      </w:r>
      <w:r w:rsidR="00DE7DBD" w:rsidRPr="006D2720">
        <w:rPr>
          <w:rFonts w:ascii="Times New Roman" w:hAnsi="Times New Roman" w:cs="Times New Roman"/>
        </w:rPr>
        <w:t xml:space="preserve">own </w:t>
      </w:r>
      <w:r w:rsidR="00FC1BA6" w:rsidRPr="006D2720">
        <w:rPr>
          <w:rFonts w:ascii="Times New Roman" w:hAnsi="Times New Roman" w:cs="Times New Roman"/>
        </w:rPr>
        <w:t xml:space="preserve">motion </w:t>
      </w:r>
      <w:r w:rsidR="00277F36" w:rsidRPr="006D2720">
        <w:rPr>
          <w:rFonts w:ascii="Times New Roman" w:hAnsi="Times New Roman" w:cs="Times New Roman"/>
        </w:rPr>
        <w:t>investigations—</w:t>
      </w:r>
      <w:r w:rsidR="00F47751" w:rsidRPr="006D2720">
        <w:rPr>
          <w:rFonts w:ascii="Times New Roman" w:hAnsi="Times New Roman" w:cs="Times New Roman"/>
        </w:rPr>
        <w:t xml:space="preserve">with no power to </w:t>
      </w:r>
      <w:r w:rsidR="001508AF" w:rsidRPr="006D2720">
        <w:rPr>
          <w:rFonts w:ascii="Times New Roman" w:hAnsi="Times New Roman" w:cs="Times New Roman"/>
        </w:rPr>
        <w:t>investigate a</w:t>
      </w:r>
      <w:r w:rsidR="00F47751" w:rsidRPr="006D2720">
        <w:rPr>
          <w:rFonts w:ascii="Times New Roman" w:hAnsi="Times New Roman" w:cs="Times New Roman"/>
        </w:rPr>
        <w:t xml:space="preserve"> </w:t>
      </w:r>
      <w:r w:rsidR="001508AF" w:rsidRPr="006D2720">
        <w:rPr>
          <w:rFonts w:ascii="Times New Roman" w:hAnsi="Times New Roman" w:cs="Times New Roman"/>
        </w:rPr>
        <w:t xml:space="preserve">breach of the PIPPs </w:t>
      </w:r>
      <w:r w:rsidR="00197B79" w:rsidRPr="006D2720">
        <w:rPr>
          <w:rFonts w:ascii="Times New Roman" w:hAnsi="Times New Roman" w:cs="Times New Roman"/>
        </w:rPr>
        <w:t>or other general issues under the PIPA</w:t>
      </w:r>
      <w:r w:rsidR="002C3FB9" w:rsidRPr="006D2720">
        <w:rPr>
          <w:rFonts w:ascii="Times New Roman" w:hAnsi="Times New Roman" w:cs="Times New Roman"/>
        </w:rPr>
        <w:t xml:space="preserve"> if there has been no complaint.</w:t>
      </w:r>
      <w:r w:rsidR="00197B79" w:rsidRPr="006D2720">
        <w:rPr>
          <w:rStyle w:val="FootnoteReference"/>
          <w:rFonts w:ascii="Times New Roman" w:hAnsi="Times New Roman" w:cs="Times New Roman"/>
        </w:rPr>
        <w:footnoteReference w:id="229"/>
      </w:r>
      <w:r w:rsidR="0005174D" w:rsidRPr="006D2720">
        <w:rPr>
          <w:rFonts w:ascii="Times New Roman" w:hAnsi="Times New Roman" w:cs="Times New Roman"/>
        </w:rPr>
        <w:t xml:space="preserve"> </w:t>
      </w:r>
      <w:r w:rsidR="00B27864" w:rsidRPr="006D2720">
        <w:rPr>
          <w:rFonts w:ascii="Times New Roman" w:hAnsi="Times New Roman" w:cs="Times New Roman"/>
        </w:rPr>
        <w:t xml:space="preserve">The Ombudsman </w:t>
      </w:r>
      <w:r w:rsidR="00973613" w:rsidRPr="006D2720">
        <w:rPr>
          <w:rFonts w:ascii="Times New Roman" w:hAnsi="Times New Roman" w:cs="Times New Roman"/>
        </w:rPr>
        <w:t>can,</w:t>
      </w:r>
      <w:r w:rsidR="00B27864" w:rsidRPr="006D2720">
        <w:rPr>
          <w:rFonts w:ascii="Times New Roman" w:hAnsi="Times New Roman" w:cs="Times New Roman"/>
        </w:rPr>
        <w:t xml:space="preserve"> however, initiate an own motion investigation into administrative action taken by public authorities and government contractors, including information handling practices.</w:t>
      </w:r>
      <w:r w:rsidR="00B27864" w:rsidRPr="006D2720">
        <w:rPr>
          <w:rStyle w:val="FootnoteReference"/>
          <w:rFonts w:ascii="Times New Roman" w:hAnsi="Times New Roman" w:cs="Times New Roman"/>
        </w:rPr>
        <w:footnoteReference w:id="230"/>
      </w:r>
      <w:r w:rsidR="00B27864" w:rsidRPr="006D2720">
        <w:rPr>
          <w:rStyle w:val="FootnoteReference"/>
          <w:rFonts w:ascii="Times New Roman" w:hAnsi="Times New Roman" w:cs="Times New Roman"/>
        </w:rPr>
        <w:t xml:space="preserve"> </w:t>
      </w:r>
      <w:bookmarkEnd w:id="310"/>
    </w:p>
    <w:p w14:paraId="78C9D15C" w14:textId="72C1A42A" w:rsidR="00C60898" w:rsidRPr="006D2720" w:rsidRDefault="009F7A97" w:rsidP="0066337D">
      <w:pPr>
        <w:pStyle w:val="Heading3"/>
        <w:rPr>
          <w:rFonts w:ascii="Times New Roman" w:hAnsi="Times New Roman" w:cs="Times New Roman"/>
        </w:rPr>
      </w:pPr>
      <w:r w:rsidRPr="006D2720">
        <w:rPr>
          <w:rFonts w:ascii="Times New Roman" w:hAnsi="Times New Roman" w:cs="Times New Roman"/>
        </w:rPr>
        <w:t>Further, t</w:t>
      </w:r>
      <w:r w:rsidR="004667E4" w:rsidRPr="006D2720">
        <w:rPr>
          <w:rFonts w:ascii="Times New Roman" w:hAnsi="Times New Roman" w:cs="Times New Roman"/>
        </w:rPr>
        <w:t xml:space="preserve">he </w:t>
      </w:r>
      <w:r w:rsidRPr="006D2720">
        <w:rPr>
          <w:rFonts w:ascii="Times New Roman" w:hAnsi="Times New Roman" w:cs="Times New Roman"/>
        </w:rPr>
        <w:t xml:space="preserve">PIPA </w:t>
      </w:r>
      <w:r w:rsidR="004667E4" w:rsidRPr="006D2720">
        <w:rPr>
          <w:rFonts w:ascii="Times New Roman" w:hAnsi="Times New Roman" w:cs="Times New Roman"/>
        </w:rPr>
        <w:t xml:space="preserve">does not make provision </w:t>
      </w:r>
      <w:bookmarkStart w:id="311" w:name="_Ref91827370"/>
      <w:r w:rsidR="0005174D" w:rsidRPr="006D2720">
        <w:rPr>
          <w:rFonts w:ascii="Times New Roman" w:hAnsi="Times New Roman" w:cs="Times New Roman"/>
        </w:rPr>
        <w:t>for an individual to appeal or seek review</w:t>
      </w:r>
      <w:r w:rsidR="00C06EE4" w:rsidRPr="006D2720">
        <w:rPr>
          <w:rFonts w:ascii="Times New Roman" w:hAnsi="Times New Roman" w:cs="Times New Roman"/>
        </w:rPr>
        <w:t xml:space="preserve"> if they are dissatisfied with the actions or recommendations of the Ombudsman</w:t>
      </w:r>
      <w:r w:rsidR="00521002" w:rsidRPr="006D2720">
        <w:rPr>
          <w:rFonts w:ascii="Times New Roman" w:hAnsi="Times New Roman" w:cs="Times New Roman"/>
        </w:rPr>
        <w:t>.</w:t>
      </w:r>
      <w:r w:rsidR="00846806" w:rsidRPr="006D2720">
        <w:rPr>
          <w:rStyle w:val="FootnoteReference"/>
          <w:rFonts w:ascii="Times New Roman" w:hAnsi="Times New Roman" w:cs="Times New Roman"/>
        </w:rPr>
        <w:footnoteReference w:id="231"/>
      </w:r>
      <w:r w:rsidR="004B3141" w:rsidRPr="006D2720">
        <w:rPr>
          <w:rFonts w:ascii="Times New Roman" w:hAnsi="Times New Roman" w:cs="Times New Roman"/>
        </w:rPr>
        <w:t xml:space="preserve"> </w:t>
      </w:r>
      <w:r w:rsidR="00F47751" w:rsidRPr="006D2720">
        <w:rPr>
          <w:rFonts w:ascii="Times New Roman" w:hAnsi="Times New Roman" w:cs="Times New Roman"/>
        </w:rPr>
        <w:t xml:space="preserve">This limit on the </w:t>
      </w:r>
      <w:r w:rsidR="003D2942" w:rsidRPr="006D2720">
        <w:rPr>
          <w:rFonts w:ascii="Times New Roman" w:hAnsi="Times New Roman" w:cs="Times New Roman"/>
        </w:rPr>
        <w:t xml:space="preserve">private </w:t>
      </w:r>
      <w:r w:rsidR="00F47751" w:rsidRPr="006D2720">
        <w:rPr>
          <w:rFonts w:ascii="Times New Roman" w:hAnsi="Times New Roman" w:cs="Times New Roman"/>
        </w:rPr>
        <w:t xml:space="preserve">rights of action where there has been a complaint made by an individual against a </w:t>
      </w:r>
      <w:r w:rsidR="003D2942" w:rsidRPr="006D2720">
        <w:rPr>
          <w:rFonts w:ascii="Times New Roman" w:hAnsi="Times New Roman" w:cs="Times New Roman"/>
        </w:rPr>
        <w:t xml:space="preserve">personal information custodian can be </w:t>
      </w:r>
      <w:r w:rsidR="00F47751" w:rsidRPr="006D2720">
        <w:rPr>
          <w:rFonts w:ascii="Times New Roman" w:hAnsi="Times New Roman" w:cs="Times New Roman"/>
        </w:rPr>
        <w:t>contrast</w:t>
      </w:r>
      <w:r w:rsidR="003D2942" w:rsidRPr="006D2720">
        <w:rPr>
          <w:rFonts w:ascii="Times New Roman" w:hAnsi="Times New Roman" w:cs="Times New Roman"/>
        </w:rPr>
        <w:t>ed</w:t>
      </w:r>
      <w:r w:rsidR="00F47751" w:rsidRPr="006D2720">
        <w:rPr>
          <w:rFonts w:ascii="Times New Roman" w:hAnsi="Times New Roman" w:cs="Times New Roman"/>
        </w:rPr>
        <w:t xml:space="preserve"> with </w:t>
      </w:r>
      <w:r w:rsidR="003D2942" w:rsidRPr="006D2720">
        <w:rPr>
          <w:rFonts w:ascii="Times New Roman" w:hAnsi="Times New Roman" w:cs="Times New Roman"/>
        </w:rPr>
        <w:t xml:space="preserve">the wider range of such rights under </w:t>
      </w:r>
      <w:r w:rsidR="00F47751" w:rsidRPr="006D2720">
        <w:rPr>
          <w:rFonts w:ascii="Times New Roman" w:hAnsi="Times New Roman" w:cs="Times New Roman"/>
        </w:rPr>
        <w:t>Commonwealth, NSW, and Victorian privacy legislation.</w:t>
      </w:r>
      <w:r w:rsidR="00F47751" w:rsidRPr="006D2720">
        <w:rPr>
          <w:rStyle w:val="FootnoteReference"/>
          <w:rFonts w:ascii="Times New Roman" w:hAnsi="Times New Roman" w:cs="Times New Roman"/>
        </w:rPr>
        <w:footnoteReference w:id="232"/>
      </w:r>
      <w:r w:rsidR="00F47751" w:rsidRPr="006D2720">
        <w:rPr>
          <w:rFonts w:ascii="Times New Roman" w:hAnsi="Times New Roman" w:cs="Times New Roman"/>
        </w:rPr>
        <w:t xml:space="preserve"> </w:t>
      </w:r>
      <w:r w:rsidR="004B3141" w:rsidRPr="006D2720">
        <w:rPr>
          <w:rFonts w:ascii="Times New Roman" w:hAnsi="Times New Roman" w:cs="Times New Roman"/>
        </w:rPr>
        <w:t>For more detailed discussion of review options in other jurisdictions, see the</w:t>
      </w:r>
      <w:r w:rsidR="00F47751" w:rsidRPr="006D2720">
        <w:rPr>
          <w:rFonts w:ascii="Times New Roman" w:hAnsi="Times New Roman" w:cs="Times New Roman"/>
        </w:rPr>
        <w:t xml:space="preserve"> </w:t>
      </w:r>
      <w:r w:rsidR="004B3141" w:rsidRPr="006D2720">
        <w:rPr>
          <w:rFonts w:ascii="Times New Roman" w:hAnsi="Times New Roman" w:cs="Times New Roman"/>
        </w:rPr>
        <w:t xml:space="preserve">section </w:t>
      </w:r>
      <w:r w:rsidR="00F47751" w:rsidRPr="006D2720">
        <w:rPr>
          <w:rFonts w:ascii="Times New Roman" w:hAnsi="Times New Roman" w:cs="Times New Roman"/>
        </w:rPr>
        <w:t xml:space="preserve">below </w:t>
      </w:r>
      <w:r w:rsidR="004B3141" w:rsidRPr="006D2720">
        <w:rPr>
          <w:rFonts w:ascii="Times New Roman" w:hAnsi="Times New Roman" w:cs="Times New Roman"/>
        </w:rPr>
        <w:t xml:space="preserve">on private rights of action (at </w:t>
      </w:r>
      <w:r w:rsidR="00BF551D" w:rsidRPr="006D2720">
        <w:rPr>
          <w:rFonts w:ascii="Times New Roman" w:hAnsi="Times New Roman" w:cs="Times New Roman"/>
        </w:rPr>
        <w:t>[</w:t>
      </w:r>
      <w:r w:rsidR="004B3141" w:rsidRPr="006D2720">
        <w:rPr>
          <w:rFonts w:ascii="Times New Roman" w:hAnsi="Times New Roman" w:cs="Times New Roman"/>
        </w:rPr>
        <w:fldChar w:fldCharType="begin"/>
      </w:r>
      <w:r w:rsidR="004B3141" w:rsidRPr="006D2720">
        <w:rPr>
          <w:rFonts w:ascii="Times New Roman" w:hAnsi="Times New Roman" w:cs="Times New Roman"/>
        </w:rPr>
        <w:instrText xml:space="preserve"> REF _Ref91664140 \r \h </w:instrText>
      </w:r>
      <w:r w:rsidR="00A660A0" w:rsidRPr="006D2720">
        <w:rPr>
          <w:rFonts w:ascii="Times New Roman" w:hAnsi="Times New Roman" w:cs="Times New Roman"/>
        </w:rPr>
        <w:instrText xml:space="preserve"> \* MERGEFORMAT </w:instrText>
      </w:r>
      <w:r w:rsidR="004B3141" w:rsidRPr="006D2720">
        <w:rPr>
          <w:rFonts w:ascii="Times New Roman" w:hAnsi="Times New Roman" w:cs="Times New Roman"/>
        </w:rPr>
      </w:r>
      <w:r w:rsidR="004B3141" w:rsidRPr="006D2720">
        <w:rPr>
          <w:rFonts w:ascii="Times New Roman" w:hAnsi="Times New Roman" w:cs="Times New Roman"/>
        </w:rPr>
        <w:fldChar w:fldCharType="separate"/>
      </w:r>
      <w:r w:rsidR="00E66B60">
        <w:rPr>
          <w:rFonts w:ascii="Times New Roman" w:hAnsi="Times New Roman" w:cs="Times New Roman"/>
        </w:rPr>
        <w:t>2.4.14</w:t>
      </w:r>
      <w:r w:rsidR="004B3141" w:rsidRPr="006D2720">
        <w:rPr>
          <w:rFonts w:ascii="Times New Roman" w:hAnsi="Times New Roman" w:cs="Times New Roman"/>
        </w:rPr>
        <w:fldChar w:fldCharType="end"/>
      </w:r>
      <w:r w:rsidR="00BF551D" w:rsidRPr="006D2720">
        <w:rPr>
          <w:rFonts w:ascii="Times New Roman" w:hAnsi="Times New Roman" w:cs="Times New Roman"/>
        </w:rPr>
        <w:t>]</w:t>
      </w:r>
      <w:r w:rsidR="004B3141" w:rsidRPr="006D2720">
        <w:rPr>
          <w:rFonts w:ascii="Times New Roman" w:hAnsi="Times New Roman" w:cs="Times New Roman"/>
        </w:rPr>
        <w:t>).</w:t>
      </w:r>
      <w:bookmarkEnd w:id="311"/>
    </w:p>
    <w:p w14:paraId="341DF2DF" w14:textId="5929F189" w:rsidR="00805E4D" w:rsidRPr="006D2720" w:rsidRDefault="00BB3BA5" w:rsidP="00CA1A69">
      <w:pPr>
        <w:pStyle w:val="Heading2"/>
        <w:numPr>
          <w:ilvl w:val="0"/>
          <w:numId w:val="0"/>
        </w:numPr>
        <w:ind w:left="578" w:hanging="578"/>
        <w:rPr>
          <w:rFonts w:ascii="Times New Roman" w:hAnsi="Times New Roman" w:cs="Times New Roman"/>
          <w:i/>
          <w:iCs/>
        </w:rPr>
      </w:pPr>
      <w:bookmarkStart w:id="312" w:name="_Toc91832006"/>
      <w:bookmarkStart w:id="313" w:name="_Toc130540440"/>
      <w:r w:rsidRPr="006D2720">
        <w:rPr>
          <w:rFonts w:ascii="Times New Roman" w:hAnsi="Times New Roman" w:cs="Times New Roman"/>
          <w:i/>
          <w:iCs/>
        </w:rPr>
        <w:t xml:space="preserve">Remedies </w:t>
      </w:r>
      <w:r w:rsidR="009A0D00" w:rsidRPr="006D2720">
        <w:rPr>
          <w:rFonts w:ascii="Times New Roman" w:hAnsi="Times New Roman" w:cs="Times New Roman"/>
          <w:i/>
          <w:iCs/>
        </w:rPr>
        <w:t>for breach of privacy</w:t>
      </w:r>
      <w:bookmarkEnd w:id="312"/>
      <w:bookmarkEnd w:id="313"/>
      <w:r w:rsidRPr="006D2720">
        <w:rPr>
          <w:rFonts w:ascii="Times New Roman" w:hAnsi="Times New Roman" w:cs="Times New Roman"/>
          <w:i/>
          <w:iCs/>
        </w:rPr>
        <w:t xml:space="preserve"> </w:t>
      </w:r>
    </w:p>
    <w:p w14:paraId="59690C18" w14:textId="3E09D2DA" w:rsidR="00BB3BA5" w:rsidRPr="006D2720" w:rsidRDefault="00BB3BA5" w:rsidP="007338ED">
      <w:pPr>
        <w:keepNext/>
        <w:rPr>
          <w:rFonts w:ascii="Times New Roman" w:hAnsi="Times New Roman" w:cs="Times New Roman"/>
          <w:b/>
          <w:bCs/>
          <w:i/>
          <w:iCs/>
        </w:rPr>
      </w:pPr>
      <w:r w:rsidRPr="006D2720">
        <w:rPr>
          <w:rFonts w:ascii="Times New Roman" w:hAnsi="Times New Roman" w:cs="Times New Roman"/>
          <w:b/>
          <w:bCs/>
          <w:i/>
          <w:iCs/>
        </w:rPr>
        <w:t xml:space="preserve">Compensation </w:t>
      </w:r>
    </w:p>
    <w:p w14:paraId="7358C194" w14:textId="0D82CE3F" w:rsidR="00C8169A" w:rsidRPr="006D2720" w:rsidRDefault="00FF775A" w:rsidP="00FF775A">
      <w:pPr>
        <w:pStyle w:val="Heading3"/>
        <w:rPr>
          <w:rFonts w:ascii="Times New Roman" w:hAnsi="Times New Roman" w:cs="Times New Roman"/>
        </w:rPr>
      </w:pPr>
      <w:bookmarkStart w:id="314" w:name="_Ref91827433"/>
      <w:r w:rsidRPr="006D2720">
        <w:rPr>
          <w:rFonts w:ascii="Times New Roman" w:hAnsi="Times New Roman" w:cs="Times New Roman"/>
        </w:rPr>
        <w:t xml:space="preserve">The </w:t>
      </w:r>
      <w:r w:rsidR="003D2942" w:rsidRPr="006D2720">
        <w:rPr>
          <w:rFonts w:ascii="Times New Roman" w:hAnsi="Times New Roman" w:cs="Times New Roman"/>
        </w:rPr>
        <w:t xml:space="preserve">Tasmanian </w:t>
      </w:r>
      <w:r w:rsidRPr="006D2720">
        <w:rPr>
          <w:rFonts w:ascii="Times New Roman" w:hAnsi="Times New Roman" w:cs="Times New Roman"/>
        </w:rPr>
        <w:t xml:space="preserve">PIPA does not </w:t>
      </w:r>
      <w:r w:rsidR="00805E4D" w:rsidRPr="006D2720">
        <w:rPr>
          <w:rFonts w:ascii="Times New Roman" w:hAnsi="Times New Roman" w:cs="Times New Roman"/>
        </w:rPr>
        <w:t>direct</w:t>
      </w:r>
      <w:r w:rsidRPr="006D2720">
        <w:rPr>
          <w:rFonts w:ascii="Times New Roman" w:hAnsi="Times New Roman" w:cs="Times New Roman"/>
        </w:rPr>
        <w:t>ly provide</w:t>
      </w:r>
      <w:r w:rsidR="00805E4D" w:rsidRPr="006D2720">
        <w:rPr>
          <w:rFonts w:ascii="Times New Roman" w:hAnsi="Times New Roman" w:cs="Times New Roman"/>
        </w:rPr>
        <w:t xml:space="preserve"> for compensation</w:t>
      </w:r>
      <w:r w:rsidR="009102AA" w:rsidRPr="006D2720">
        <w:rPr>
          <w:rFonts w:ascii="Times New Roman" w:hAnsi="Times New Roman" w:cs="Times New Roman"/>
        </w:rPr>
        <w:t xml:space="preserve"> for a breach of privacy principles, in contrast to privacy legislation </w:t>
      </w:r>
      <w:r w:rsidR="003D2942" w:rsidRPr="006D2720">
        <w:rPr>
          <w:rFonts w:ascii="Times New Roman" w:hAnsi="Times New Roman" w:cs="Times New Roman"/>
        </w:rPr>
        <w:t>in</w:t>
      </w:r>
      <w:r w:rsidR="008C2B2A" w:rsidRPr="006D2720">
        <w:rPr>
          <w:rFonts w:ascii="Times New Roman" w:hAnsi="Times New Roman" w:cs="Times New Roman"/>
        </w:rPr>
        <w:t xml:space="preserve"> </w:t>
      </w:r>
      <w:r w:rsidR="00614884" w:rsidRPr="006D2720">
        <w:rPr>
          <w:rFonts w:ascii="Times New Roman" w:hAnsi="Times New Roman" w:cs="Times New Roman"/>
        </w:rPr>
        <w:t>NSW</w:t>
      </w:r>
      <w:r w:rsidR="008C2B2A" w:rsidRPr="006D2720">
        <w:rPr>
          <w:rFonts w:ascii="Times New Roman" w:hAnsi="Times New Roman" w:cs="Times New Roman"/>
        </w:rPr>
        <w:t>,</w:t>
      </w:r>
      <w:r w:rsidR="00253976" w:rsidRPr="006D2720">
        <w:rPr>
          <w:rStyle w:val="FootnoteReference"/>
          <w:rFonts w:ascii="Times New Roman" w:hAnsi="Times New Roman" w:cs="Times New Roman"/>
        </w:rPr>
        <w:footnoteReference w:id="233"/>
      </w:r>
      <w:r w:rsidR="008C2B2A" w:rsidRPr="006D2720">
        <w:rPr>
          <w:rFonts w:ascii="Times New Roman" w:hAnsi="Times New Roman" w:cs="Times New Roman"/>
        </w:rPr>
        <w:t xml:space="preserve"> Victoria</w:t>
      </w:r>
      <w:r w:rsidR="00F87814" w:rsidRPr="006D2720">
        <w:rPr>
          <w:rFonts w:ascii="Times New Roman" w:hAnsi="Times New Roman" w:cs="Times New Roman"/>
        </w:rPr>
        <w:t>,</w:t>
      </w:r>
      <w:r w:rsidR="00AC69B3" w:rsidRPr="006D2720">
        <w:rPr>
          <w:rStyle w:val="FootnoteReference"/>
          <w:rFonts w:ascii="Times New Roman" w:hAnsi="Times New Roman" w:cs="Times New Roman"/>
        </w:rPr>
        <w:footnoteReference w:id="234"/>
      </w:r>
      <w:r w:rsidR="008C2B2A" w:rsidRPr="006D2720">
        <w:rPr>
          <w:rFonts w:ascii="Times New Roman" w:hAnsi="Times New Roman" w:cs="Times New Roman"/>
        </w:rPr>
        <w:t xml:space="preserve"> Queensland</w:t>
      </w:r>
      <w:r w:rsidR="003D2942" w:rsidRPr="006D2720">
        <w:rPr>
          <w:rFonts w:ascii="Times New Roman" w:hAnsi="Times New Roman" w:cs="Times New Roman"/>
        </w:rPr>
        <w:t>,</w:t>
      </w:r>
      <w:r w:rsidR="00887156" w:rsidRPr="006D2720">
        <w:rPr>
          <w:rStyle w:val="FootnoteReference"/>
          <w:rFonts w:ascii="Times New Roman" w:hAnsi="Times New Roman" w:cs="Times New Roman"/>
        </w:rPr>
        <w:footnoteReference w:id="235"/>
      </w:r>
      <w:r w:rsidR="00BF5994" w:rsidRPr="006D2720">
        <w:rPr>
          <w:rFonts w:ascii="Times New Roman" w:hAnsi="Times New Roman" w:cs="Times New Roman"/>
        </w:rPr>
        <w:t xml:space="preserve"> </w:t>
      </w:r>
      <w:r w:rsidR="003D2942" w:rsidRPr="006D2720">
        <w:rPr>
          <w:rFonts w:ascii="Times New Roman" w:hAnsi="Times New Roman" w:cs="Times New Roman"/>
        </w:rPr>
        <w:t xml:space="preserve">and in the Commonwealth jurisdiction. </w:t>
      </w:r>
      <w:r w:rsidR="00F87814" w:rsidRPr="006D2720">
        <w:rPr>
          <w:rFonts w:ascii="Times New Roman" w:hAnsi="Times New Roman" w:cs="Times New Roman"/>
        </w:rPr>
        <w:t xml:space="preserve">For example, </w:t>
      </w:r>
      <w:r w:rsidR="003D2942" w:rsidRPr="006D2720">
        <w:rPr>
          <w:rFonts w:ascii="Times New Roman" w:hAnsi="Times New Roman" w:cs="Times New Roman"/>
        </w:rPr>
        <w:t xml:space="preserve">in the latter, </w:t>
      </w:r>
      <w:r w:rsidR="00674089" w:rsidRPr="006D2720">
        <w:rPr>
          <w:rFonts w:ascii="Times New Roman" w:hAnsi="Times New Roman" w:cs="Times New Roman"/>
        </w:rPr>
        <w:t>after an investigation under</w:t>
      </w:r>
      <w:r w:rsidR="00A03316" w:rsidRPr="006D2720">
        <w:rPr>
          <w:rFonts w:ascii="Times New Roman" w:hAnsi="Times New Roman" w:cs="Times New Roman"/>
        </w:rPr>
        <w:t xml:space="preserve"> </w:t>
      </w:r>
      <w:r w:rsidR="00F87814" w:rsidRPr="006D2720">
        <w:rPr>
          <w:rFonts w:ascii="Times New Roman" w:hAnsi="Times New Roman" w:cs="Times New Roman"/>
        </w:rPr>
        <w:t>the</w:t>
      </w:r>
      <w:r w:rsidR="0004681F" w:rsidRPr="006D2720">
        <w:rPr>
          <w:rFonts w:ascii="Times New Roman" w:hAnsi="Times New Roman" w:cs="Times New Roman"/>
        </w:rPr>
        <w:t xml:space="preserve"> Privacy Act</w:t>
      </w:r>
      <w:r w:rsidR="00A03316" w:rsidRPr="006D2720">
        <w:rPr>
          <w:rFonts w:ascii="Times New Roman" w:hAnsi="Times New Roman" w:cs="Times New Roman"/>
        </w:rPr>
        <w:t>,</w:t>
      </w:r>
      <w:r w:rsidR="0004681F" w:rsidRPr="006D2720">
        <w:rPr>
          <w:rFonts w:ascii="Times New Roman" w:hAnsi="Times New Roman" w:cs="Times New Roman"/>
        </w:rPr>
        <w:t xml:space="preserve"> </w:t>
      </w:r>
      <w:r w:rsidR="00A03316" w:rsidRPr="006D2720">
        <w:rPr>
          <w:rFonts w:ascii="Times New Roman" w:hAnsi="Times New Roman" w:cs="Times New Roman"/>
        </w:rPr>
        <w:t>the OAIC</w:t>
      </w:r>
      <w:r w:rsidR="00493E70" w:rsidRPr="006D2720">
        <w:rPr>
          <w:rFonts w:ascii="Times New Roman" w:hAnsi="Times New Roman" w:cs="Times New Roman"/>
        </w:rPr>
        <w:t xml:space="preserve"> </w:t>
      </w:r>
      <w:r w:rsidR="00A03316" w:rsidRPr="006D2720">
        <w:rPr>
          <w:rFonts w:ascii="Times New Roman" w:hAnsi="Times New Roman" w:cs="Times New Roman"/>
        </w:rPr>
        <w:t xml:space="preserve">can </w:t>
      </w:r>
      <w:r w:rsidR="00493E70" w:rsidRPr="006D2720">
        <w:rPr>
          <w:rFonts w:ascii="Times New Roman" w:hAnsi="Times New Roman" w:cs="Times New Roman"/>
        </w:rPr>
        <w:t xml:space="preserve">declare that </w:t>
      </w:r>
      <w:r w:rsidR="00BF3A90" w:rsidRPr="006D2720">
        <w:rPr>
          <w:rFonts w:ascii="Times New Roman" w:hAnsi="Times New Roman" w:cs="Times New Roman"/>
        </w:rPr>
        <w:t>‘</w:t>
      </w:r>
      <w:r w:rsidR="00493E70" w:rsidRPr="006D2720">
        <w:rPr>
          <w:rFonts w:ascii="Times New Roman" w:hAnsi="Times New Roman" w:cs="Times New Roman"/>
          <w:color w:val="000000"/>
          <w:shd w:val="clear" w:color="auto" w:fill="FFFFFF"/>
        </w:rPr>
        <w:t>the complainant is entitled to a specified amount by way of compensation for any loss or damage suffered by reason of the act or practice the subject of the complaint</w:t>
      </w:r>
      <w:r w:rsidR="00BF3A90" w:rsidRPr="006D2720">
        <w:rPr>
          <w:rFonts w:ascii="Times New Roman" w:hAnsi="Times New Roman" w:cs="Times New Roman"/>
          <w:color w:val="000000"/>
          <w:shd w:val="clear" w:color="auto" w:fill="FFFFFF"/>
        </w:rPr>
        <w:t>’.</w:t>
      </w:r>
      <w:r w:rsidR="00BF3A90" w:rsidRPr="006D2720">
        <w:rPr>
          <w:rStyle w:val="FootnoteReference"/>
          <w:rFonts w:ascii="Times New Roman" w:hAnsi="Times New Roman" w:cs="Times New Roman"/>
          <w:color w:val="000000"/>
          <w:shd w:val="clear" w:color="auto" w:fill="FFFFFF"/>
        </w:rPr>
        <w:footnoteReference w:id="236"/>
      </w:r>
      <w:r w:rsidR="00BF3A90" w:rsidRPr="006D2720">
        <w:rPr>
          <w:rFonts w:ascii="Times New Roman" w:hAnsi="Times New Roman" w:cs="Times New Roman"/>
        </w:rPr>
        <w:t xml:space="preserve"> </w:t>
      </w:r>
      <w:r w:rsidR="00CF51C7" w:rsidRPr="006D2720">
        <w:rPr>
          <w:rFonts w:ascii="Times New Roman" w:hAnsi="Times New Roman" w:cs="Times New Roman"/>
        </w:rPr>
        <w:t>This</w:t>
      </w:r>
      <w:r w:rsidR="00E3455F" w:rsidRPr="006D2720">
        <w:rPr>
          <w:rFonts w:ascii="Times New Roman" w:hAnsi="Times New Roman" w:cs="Times New Roman"/>
        </w:rPr>
        <w:t xml:space="preserve"> includes </w:t>
      </w:r>
      <w:r w:rsidR="00CF51C7" w:rsidRPr="006D2720">
        <w:rPr>
          <w:rFonts w:ascii="Times New Roman" w:hAnsi="Times New Roman" w:cs="Times New Roman"/>
        </w:rPr>
        <w:t xml:space="preserve">humiliation and </w:t>
      </w:r>
      <w:r w:rsidR="00E3455F" w:rsidRPr="006D2720">
        <w:rPr>
          <w:rFonts w:ascii="Times New Roman" w:hAnsi="Times New Roman" w:cs="Times New Roman"/>
        </w:rPr>
        <w:t>injury to feelings.</w:t>
      </w:r>
      <w:r w:rsidR="00CF51C7" w:rsidRPr="006D2720">
        <w:rPr>
          <w:rStyle w:val="FootnoteReference"/>
          <w:rFonts w:ascii="Times New Roman" w:hAnsi="Times New Roman" w:cs="Times New Roman"/>
        </w:rPr>
        <w:footnoteReference w:id="237"/>
      </w:r>
      <w:r w:rsidR="00A6381F" w:rsidRPr="006D2720">
        <w:rPr>
          <w:rFonts w:ascii="Times New Roman" w:hAnsi="Times New Roman" w:cs="Times New Roman"/>
        </w:rPr>
        <w:t xml:space="preserve"> </w:t>
      </w:r>
      <w:r w:rsidR="00964E42" w:rsidRPr="006D2720">
        <w:rPr>
          <w:rFonts w:ascii="Times New Roman" w:hAnsi="Times New Roman" w:cs="Times New Roman"/>
        </w:rPr>
        <w:t>The payable amount</w:t>
      </w:r>
      <w:r w:rsidR="00CF51C7" w:rsidRPr="006D2720">
        <w:rPr>
          <w:rFonts w:ascii="Times New Roman" w:hAnsi="Times New Roman" w:cs="Times New Roman"/>
        </w:rPr>
        <w:t xml:space="preserve"> is</w:t>
      </w:r>
      <w:r w:rsidR="00050D5E" w:rsidRPr="006D2720">
        <w:rPr>
          <w:rFonts w:ascii="Times New Roman" w:hAnsi="Times New Roman" w:cs="Times New Roman"/>
        </w:rPr>
        <w:t xml:space="preserve"> enforc</w:t>
      </w:r>
      <w:r w:rsidR="00CF51C7" w:rsidRPr="006D2720">
        <w:rPr>
          <w:rFonts w:ascii="Times New Roman" w:hAnsi="Times New Roman" w:cs="Times New Roman"/>
        </w:rPr>
        <w:t>eable</w:t>
      </w:r>
      <w:r w:rsidR="00DC73EB" w:rsidRPr="006D2720">
        <w:rPr>
          <w:rFonts w:ascii="Times New Roman" w:hAnsi="Times New Roman" w:cs="Times New Roman"/>
        </w:rPr>
        <w:t xml:space="preserve"> as a debt </w:t>
      </w:r>
      <w:r w:rsidR="004D03DD" w:rsidRPr="006D2720">
        <w:rPr>
          <w:rFonts w:ascii="Times New Roman" w:hAnsi="Times New Roman" w:cs="Times New Roman"/>
        </w:rPr>
        <w:t>due</w:t>
      </w:r>
      <w:r w:rsidR="00050D5E" w:rsidRPr="006D2720">
        <w:rPr>
          <w:rFonts w:ascii="Times New Roman" w:hAnsi="Times New Roman" w:cs="Times New Roman"/>
        </w:rPr>
        <w:t>.</w:t>
      </w:r>
      <w:r w:rsidR="00050D5E" w:rsidRPr="006D2720">
        <w:rPr>
          <w:rStyle w:val="FootnoteReference"/>
          <w:rFonts w:ascii="Times New Roman" w:hAnsi="Times New Roman" w:cs="Times New Roman"/>
        </w:rPr>
        <w:footnoteReference w:id="238"/>
      </w:r>
      <w:bookmarkEnd w:id="314"/>
      <w:r w:rsidR="00050D5E" w:rsidRPr="006D2720">
        <w:rPr>
          <w:rFonts w:ascii="Times New Roman" w:hAnsi="Times New Roman" w:cs="Times New Roman"/>
        </w:rPr>
        <w:t xml:space="preserve"> </w:t>
      </w:r>
    </w:p>
    <w:p w14:paraId="5279F51E" w14:textId="16361C18" w:rsidR="006455E7" w:rsidRPr="006D2720" w:rsidRDefault="00A6381F" w:rsidP="0066337D">
      <w:pPr>
        <w:pStyle w:val="Heading3"/>
        <w:rPr>
          <w:rFonts w:ascii="Times New Roman" w:hAnsi="Times New Roman" w:cs="Times New Roman"/>
        </w:rPr>
      </w:pPr>
      <w:r w:rsidRPr="006D2720">
        <w:rPr>
          <w:rFonts w:ascii="Times New Roman" w:hAnsi="Times New Roman" w:cs="Times New Roman"/>
        </w:rPr>
        <w:t xml:space="preserve">In </w:t>
      </w:r>
      <w:r w:rsidR="003D2942" w:rsidRPr="006D2720">
        <w:rPr>
          <w:rFonts w:ascii="Times New Roman" w:hAnsi="Times New Roman" w:cs="Times New Roman"/>
        </w:rPr>
        <w:t xml:space="preserve">the period </w:t>
      </w:r>
      <w:r w:rsidRPr="006D2720">
        <w:rPr>
          <w:rFonts w:ascii="Times New Roman" w:hAnsi="Times New Roman" w:cs="Times New Roman"/>
        </w:rPr>
        <w:t>2018</w:t>
      </w:r>
      <w:r w:rsidR="00EC35EF" w:rsidRPr="006D2720">
        <w:rPr>
          <w:rFonts w:ascii="Times New Roman" w:hAnsi="Times New Roman" w:cs="Times New Roman"/>
        </w:rPr>
        <w:t>–</w:t>
      </w:r>
      <w:r w:rsidRPr="006D2720">
        <w:rPr>
          <w:rFonts w:ascii="Times New Roman" w:hAnsi="Times New Roman" w:cs="Times New Roman"/>
        </w:rPr>
        <w:t xml:space="preserve">19, the OAIC reported </w:t>
      </w:r>
      <w:r w:rsidR="0047486E" w:rsidRPr="006D2720">
        <w:rPr>
          <w:rFonts w:ascii="Times New Roman" w:hAnsi="Times New Roman" w:cs="Times New Roman"/>
        </w:rPr>
        <w:t>111 conciliated privacy complaints in which compensation was an agreed remedy</w:t>
      </w:r>
      <w:r w:rsidR="009A290E" w:rsidRPr="006D2720">
        <w:rPr>
          <w:rFonts w:ascii="Times New Roman" w:hAnsi="Times New Roman" w:cs="Times New Roman"/>
        </w:rPr>
        <w:t xml:space="preserve">, </w:t>
      </w:r>
      <w:r w:rsidR="002E67D3" w:rsidRPr="006D2720">
        <w:rPr>
          <w:rFonts w:ascii="Times New Roman" w:hAnsi="Times New Roman" w:cs="Times New Roman"/>
        </w:rPr>
        <w:t xml:space="preserve">with </w:t>
      </w:r>
      <w:r w:rsidR="003D2942" w:rsidRPr="006D2720">
        <w:rPr>
          <w:rFonts w:ascii="Times New Roman" w:hAnsi="Times New Roman" w:cs="Times New Roman"/>
        </w:rPr>
        <w:t>nine</w:t>
      </w:r>
      <w:r w:rsidR="002E67D3" w:rsidRPr="006D2720">
        <w:rPr>
          <w:rFonts w:ascii="Times New Roman" w:hAnsi="Times New Roman" w:cs="Times New Roman"/>
        </w:rPr>
        <w:t xml:space="preserve"> complaints involving compensation of over $10,000.</w:t>
      </w:r>
      <w:r w:rsidR="002E67D3" w:rsidRPr="006D2720">
        <w:rPr>
          <w:rStyle w:val="FootnoteReference"/>
          <w:rFonts w:ascii="Times New Roman" w:hAnsi="Times New Roman" w:cs="Times New Roman"/>
        </w:rPr>
        <w:footnoteReference w:id="239"/>
      </w:r>
      <w:r w:rsidR="002E67D3" w:rsidRPr="006D2720">
        <w:rPr>
          <w:rFonts w:ascii="Times New Roman" w:hAnsi="Times New Roman" w:cs="Times New Roman"/>
        </w:rPr>
        <w:t xml:space="preserve"> </w:t>
      </w:r>
      <w:r w:rsidR="0027485B" w:rsidRPr="006D2720">
        <w:rPr>
          <w:rFonts w:ascii="Times New Roman" w:hAnsi="Times New Roman" w:cs="Times New Roman"/>
        </w:rPr>
        <w:t xml:space="preserve">Conciliated privacy complaints are where the </w:t>
      </w:r>
      <w:r w:rsidR="001E07DE" w:rsidRPr="006D2720">
        <w:rPr>
          <w:rFonts w:ascii="Times New Roman" w:hAnsi="Times New Roman" w:cs="Times New Roman"/>
        </w:rPr>
        <w:t>OAIC</w:t>
      </w:r>
      <w:r w:rsidR="0027485B" w:rsidRPr="006D2720">
        <w:rPr>
          <w:rFonts w:ascii="Times New Roman" w:hAnsi="Times New Roman" w:cs="Times New Roman"/>
        </w:rPr>
        <w:t xml:space="preserve"> helps parties resolve the complaint between themselves, rather than </w:t>
      </w:r>
      <w:r w:rsidR="003D2942" w:rsidRPr="006D2720">
        <w:rPr>
          <w:rFonts w:ascii="Times New Roman" w:hAnsi="Times New Roman" w:cs="Times New Roman"/>
        </w:rPr>
        <w:t>determining it</w:t>
      </w:r>
      <w:r w:rsidR="0027485B" w:rsidRPr="006D2720">
        <w:rPr>
          <w:rFonts w:ascii="Times New Roman" w:hAnsi="Times New Roman" w:cs="Times New Roman"/>
        </w:rPr>
        <w:t xml:space="preserve"> for them.</w:t>
      </w:r>
    </w:p>
    <w:p w14:paraId="69EFF877" w14:textId="06085310" w:rsidR="00DA0DE5" w:rsidRPr="006D2720" w:rsidRDefault="00BB3BA5" w:rsidP="00CA1A69">
      <w:pPr>
        <w:keepNext/>
        <w:rPr>
          <w:rFonts w:ascii="Times New Roman" w:hAnsi="Times New Roman" w:cs="Times New Roman"/>
          <w:b/>
          <w:bCs/>
          <w:i/>
          <w:iCs/>
        </w:rPr>
      </w:pPr>
      <w:r w:rsidRPr="006D2720">
        <w:rPr>
          <w:rFonts w:ascii="Times New Roman" w:hAnsi="Times New Roman" w:cs="Times New Roman"/>
          <w:b/>
          <w:bCs/>
          <w:i/>
          <w:iCs/>
        </w:rPr>
        <w:t>Penalties and o</w:t>
      </w:r>
      <w:r w:rsidR="00654904" w:rsidRPr="006D2720">
        <w:rPr>
          <w:rFonts w:ascii="Times New Roman" w:hAnsi="Times New Roman" w:cs="Times New Roman"/>
          <w:b/>
          <w:bCs/>
          <w:i/>
          <w:iCs/>
        </w:rPr>
        <w:t>ther enforcement actions</w:t>
      </w:r>
    </w:p>
    <w:p w14:paraId="673A3B82" w14:textId="35297B80" w:rsidR="005B3CD7" w:rsidRPr="006D2720" w:rsidRDefault="00D835F9" w:rsidP="0049058F">
      <w:pPr>
        <w:pStyle w:val="Heading3"/>
        <w:rPr>
          <w:rFonts w:ascii="Times New Roman" w:hAnsi="Times New Roman" w:cs="Times New Roman"/>
        </w:rPr>
      </w:pPr>
      <w:bookmarkStart w:id="315" w:name="_Ref91827540"/>
      <w:r w:rsidRPr="006D2720">
        <w:rPr>
          <w:rFonts w:ascii="Times New Roman" w:hAnsi="Times New Roman" w:cs="Times New Roman"/>
        </w:rPr>
        <w:t xml:space="preserve">The </w:t>
      </w:r>
      <w:r w:rsidR="00D5607B" w:rsidRPr="006D2720">
        <w:rPr>
          <w:rFonts w:ascii="Times New Roman" w:hAnsi="Times New Roman" w:cs="Times New Roman"/>
        </w:rPr>
        <w:t xml:space="preserve">Tasmanian </w:t>
      </w:r>
      <w:r w:rsidR="00BB3BA5" w:rsidRPr="006D2720">
        <w:rPr>
          <w:rFonts w:ascii="Times New Roman" w:hAnsi="Times New Roman" w:cs="Times New Roman"/>
        </w:rPr>
        <w:t xml:space="preserve">PIPA does not provide for any </w:t>
      </w:r>
      <w:r w:rsidR="00757017" w:rsidRPr="006D2720">
        <w:rPr>
          <w:rFonts w:ascii="Times New Roman" w:hAnsi="Times New Roman" w:cs="Times New Roman"/>
        </w:rPr>
        <w:t xml:space="preserve">penalties </w:t>
      </w:r>
      <w:r w:rsidR="007A0B87" w:rsidRPr="006D2720">
        <w:rPr>
          <w:rFonts w:ascii="Times New Roman" w:hAnsi="Times New Roman" w:cs="Times New Roman"/>
        </w:rPr>
        <w:t xml:space="preserve">when </w:t>
      </w:r>
      <w:r w:rsidR="00757017" w:rsidRPr="006D2720">
        <w:rPr>
          <w:rFonts w:ascii="Times New Roman" w:hAnsi="Times New Roman" w:cs="Times New Roman"/>
        </w:rPr>
        <w:t xml:space="preserve">a </w:t>
      </w:r>
      <w:r w:rsidR="007A0B87" w:rsidRPr="006D2720">
        <w:rPr>
          <w:rFonts w:ascii="Times New Roman" w:hAnsi="Times New Roman" w:cs="Times New Roman"/>
        </w:rPr>
        <w:t xml:space="preserve">PIPP is </w:t>
      </w:r>
      <w:r w:rsidR="00757017" w:rsidRPr="006D2720">
        <w:rPr>
          <w:rFonts w:ascii="Times New Roman" w:hAnsi="Times New Roman" w:cs="Times New Roman"/>
        </w:rPr>
        <w:t>breach</w:t>
      </w:r>
      <w:r w:rsidR="007A0B87" w:rsidRPr="006D2720">
        <w:rPr>
          <w:rFonts w:ascii="Times New Roman" w:hAnsi="Times New Roman" w:cs="Times New Roman"/>
        </w:rPr>
        <w:t>ed</w:t>
      </w:r>
      <w:r w:rsidR="00AA5D2C" w:rsidRPr="006D2720">
        <w:rPr>
          <w:rFonts w:ascii="Times New Roman" w:hAnsi="Times New Roman" w:cs="Times New Roman"/>
        </w:rPr>
        <w:t xml:space="preserve">. </w:t>
      </w:r>
      <w:r w:rsidR="00F13C72" w:rsidRPr="006D2720">
        <w:rPr>
          <w:rFonts w:ascii="Times New Roman" w:hAnsi="Times New Roman" w:cs="Times New Roman"/>
        </w:rPr>
        <w:t xml:space="preserve">In contrast, the </w:t>
      </w:r>
      <w:r w:rsidR="00D5607B" w:rsidRPr="006D2720">
        <w:rPr>
          <w:rFonts w:ascii="Times New Roman" w:hAnsi="Times New Roman" w:cs="Times New Roman"/>
        </w:rPr>
        <w:t xml:space="preserve">Commonwealth </w:t>
      </w:r>
      <w:r w:rsidR="00F9617F" w:rsidRPr="006D2720">
        <w:rPr>
          <w:rFonts w:ascii="Times New Roman" w:hAnsi="Times New Roman" w:cs="Times New Roman"/>
        </w:rPr>
        <w:t xml:space="preserve">Privacy Act provides for a range of civil penalty measures associated with </w:t>
      </w:r>
      <w:r w:rsidR="00F31524" w:rsidRPr="006D2720">
        <w:rPr>
          <w:rFonts w:ascii="Times New Roman" w:hAnsi="Times New Roman" w:cs="Times New Roman"/>
        </w:rPr>
        <w:t xml:space="preserve">certain </w:t>
      </w:r>
      <w:r w:rsidR="00F9617F" w:rsidRPr="006D2720">
        <w:rPr>
          <w:rFonts w:ascii="Times New Roman" w:hAnsi="Times New Roman" w:cs="Times New Roman"/>
        </w:rPr>
        <w:t>breaches under that Act, including</w:t>
      </w:r>
      <w:r w:rsidR="00AA5D2C" w:rsidRPr="006D2720">
        <w:rPr>
          <w:rFonts w:ascii="Times New Roman" w:hAnsi="Times New Roman" w:cs="Times New Roman"/>
        </w:rPr>
        <w:t xml:space="preserve"> for</w:t>
      </w:r>
      <w:r w:rsidR="00F9617F" w:rsidRPr="006D2720">
        <w:rPr>
          <w:rFonts w:ascii="Times New Roman" w:hAnsi="Times New Roman" w:cs="Times New Roman"/>
        </w:rPr>
        <w:t xml:space="preserve"> </w:t>
      </w:r>
      <w:r w:rsidR="00D10A99" w:rsidRPr="006D2720">
        <w:rPr>
          <w:rFonts w:ascii="Times New Roman" w:hAnsi="Times New Roman" w:cs="Times New Roman"/>
        </w:rPr>
        <w:t>serious and repeated interferences with privacy</w:t>
      </w:r>
      <w:r w:rsidR="00BD2DC9" w:rsidRPr="006D2720">
        <w:rPr>
          <w:rFonts w:ascii="Times New Roman" w:hAnsi="Times New Roman" w:cs="Times New Roman"/>
        </w:rPr>
        <w:t>.</w:t>
      </w:r>
      <w:r w:rsidR="00D10A99" w:rsidRPr="006D2720">
        <w:rPr>
          <w:rStyle w:val="FootnoteReference"/>
          <w:rFonts w:ascii="Times New Roman" w:hAnsi="Times New Roman" w:cs="Times New Roman"/>
        </w:rPr>
        <w:footnoteReference w:id="240"/>
      </w:r>
      <w:r w:rsidR="00D10A99" w:rsidRPr="006D2720">
        <w:rPr>
          <w:rFonts w:ascii="Times New Roman" w:hAnsi="Times New Roman" w:cs="Times New Roman"/>
        </w:rPr>
        <w:t xml:space="preserve"> </w:t>
      </w:r>
      <w:r w:rsidR="00AA5D2C" w:rsidRPr="006D2720">
        <w:rPr>
          <w:rFonts w:ascii="Times New Roman" w:hAnsi="Times New Roman" w:cs="Times New Roman"/>
        </w:rPr>
        <w:t xml:space="preserve">These civil penalty provisions are enforceable by </w:t>
      </w:r>
      <w:r w:rsidR="00D3413B" w:rsidRPr="006D2720">
        <w:rPr>
          <w:rFonts w:ascii="Times New Roman" w:hAnsi="Times New Roman" w:cs="Times New Roman"/>
        </w:rPr>
        <w:t>the OAIC seeking a court order</w:t>
      </w:r>
      <w:r w:rsidR="00AA5D2C" w:rsidRPr="006D2720">
        <w:rPr>
          <w:rFonts w:ascii="Times New Roman" w:hAnsi="Times New Roman" w:cs="Times New Roman"/>
        </w:rPr>
        <w:t xml:space="preserve"> that the contravener pay a pecuniary penalty.</w:t>
      </w:r>
      <w:r w:rsidR="00AA5D2C" w:rsidRPr="006D2720">
        <w:rPr>
          <w:rStyle w:val="FootnoteReference"/>
          <w:rFonts w:ascii="Times New Roman" w:hAnsi="Times New Roman" w:cs="Times New Roman"/>
        </w:rPr>
        <w:footnoteReference w:id="241"/>
      </w:r>
      <w:r w:rsidR="00D3413B" w:rsidRPr="006D2720">
        <w:rPr>
          <w:rFonts w:ascii="Times New Roman" w:hAnsi="Times New Roman" w:cs="Times New Roman"/>
        </w:rPr>
        <w:t xml:space="preserve"> </w:t>
      </w:r>
      <w:r w:rsidR="003C3DC1" w:rsidRPr="006D2720">
        <w:rPr>
          <w:rFonts w:ascii="Times New Roman" w:hAnsi="Times New Roman" w:cs="Times New Roman"/>
        </w:rPr>
        <w:t xml:space="preserve">There are some instances of </w:t>
      </w:r>
      <w:r w:rsidR="00A5326E" w:rsidRPr="006D2720">
        <w:rPr>
          <w:rFonts w:ascii="Times New Roman" w:hAnsi="Times New Roman" w:cs="Times New Roman"/>
        </w:rPr>
        <w:t xml:space="preserve">breach </w:t>
      </w:r>
      <w:r w:rsidR="007642F9" w:rsidRPr="006D2720">
        <w:rPr>
          <w:rFonts w:ascii="Times New Roman" w:hAnsi="Times New Roman" w:cs="Times New Roman"/>
        </w:rPr>
        <w:t>of a privacy principle</w:t>
      </w:r>
      <w:r w:rsidR="003C3DC1" w:rsidRPr="006D2720">
        <w:rPr>
          <w:rFonts w:ascii="Times New Roman" w:hAnsi="Times New Roman" w:cs="Times New Roman"/>
        </w:rPr>
        <w:t xml:space="preserve"> where the relevant provision does not </w:t>
      </w:r>
      <w:r w:rsidR="00FE1029" w:rsidRPr="006D2720">
        <w:rPr>
          <w:rFonts w:ascii="Times New Roman" w:hAnsi="Times New Roman" w:cs="Times New Roman"/>
        </w:rPr>
        <w:t>carry a civil penalty</w:t>
      </w:r>
      <w:r w:rsidR="003C3DC1" w:rsidRPr="006D2720">
        <w:rPr>
          <w:rFonts w:ascii="Times New Roman" w:hAnsi="Times New Roman" w:cs="Times New Roman"/>
        </w:rPr>
        <w:t>, for example, there is no penalty for a</w:t>
      </w:r>
      <w:r w:rsidR="00D3413B" w:rsidRPr="006D2720">
        <w:rPr>
          <w:rFonts w:ascii="Times New Roman" w:hAnsi="Times New Roman" w:cs="Times New Roman"/>
        </w:rPr>
        <w:t xml:space="preserve"> one-off minor breach. Further, even if </w:t>
      </w:r>
      <w:r w:rsidR="003D2942" w:rsidRPr="006D2720">
        <w:rPr>
          <w:rFonts w:ascii="Times New Roman" w:hAnsi="Times New Roman" w:cs="Times New Roman"/>
        </w:rPr>
        <w:t>a civil penalty order is</w:t>
      </w:r>
      <w:r w:rsidR="00D3413B" w:rsidRPr="006D2720">
        <w:rPr>
          <w:rFonts w:ascii="Times New Roman" w:hAnsi="Times New Roman" w:cs="Times New Roman"/>
        </w:rPr>
        <w:t xml:space="preserve"> available, the OAIC will not decide in every case that </w:t>
      </w:r>
      <w:r w:rsidR="003D2942" w:rsidRPr="006D2720">
        <w:rPr>
          <w:rFonts w:ascii="Times New Roman" w:hAnsi="Times New Roman" w:cs="Times New Roman"/>
        </w:rPr>
        <w:t xml:space="preserve">such </w:t>
      </w:r>
      <w:r w:rsidR="00D3413B" w:rsidRPr="006D2720">
        <w:rPr>
          <w:rFonts w:ascii="Times New Roman" w:hAnsi="Times New Roman" w:cs="Times New Roman"/>
        </w:rPr>
        <w:t>a</w:t>
      </w:r>
      <w:r w:rsidR="003D2942" w:rsidRPr="006D2720">
        <w:rPr>
          <w:rFonts w:ascii="Times New Roman" w:hAnsi="Times New Roman" w:cs="Times New Roman"/>
        </w:rPr>
        <w:t>n</w:t>
      </w:r>
      <w:r w:rsidR="00D3413B" w:rsidRPr="006D2720">
        <w:rPr>
          <w:rFonts w:ascii="Times New Roman" w:hAnsi="Times New Roman" w:cs="Times New Roman"/>
        </w:rPr>
        <w:t xml:space="preserve"> order is the appropriate enforcement option.</w:t>
      </w:r>
      <w:bookmarkStart w:id="316" w:name="_Ref91831571"/>
      <w:r w:rsidR="00D3413B" w:rsidRPr="006D2720">
        <w:rPr>
          <w:rStyle w:val="FootnoteReference"/>
          <w:rFonts w:ascii="Times New Roman" w:hAnsi="Times New Roman" w:cs="Times New Roman"/>
        </w:rPr>
        <w:footnoteReference w:id="242"/>
      </w:r>
      <w:bookmarkEnd w:id="316"/>
      <w:r w:rsidR="00D3413B" w:rsidRPr="006D2720">
        <w:rPr>
          <w:rFonts w:ascii="Times New Roman" w:hAnsi="Times New Roman" w:cs="Times New Roman"/>
        </w:rPr>
        <w:t xml:space="preserve"> </w:t>
      </w:r>
      <w:bookmarkEnd w:id="315"/>
    </w:p>
    <w:p w14:paraId="49080F36" w14:textId="1555D077" w:rsidR="0049058F" w:rsidRPr="006D2720" w:rsidRDefault="0035504C" w:rsidP="0049058F">
      <w:pPr>
        <w:pStyle w:val="Heading3"/>
        <w:rPr>
          <w:rFonts w:ascii="Times New Roman" w:hAnsi="Times New Roman" w:cs="Times New Roman"/>
        </w:rPr>
      </w:pPr>
      <w:r w:rsidRPr="006D2720">
        <w:rPr>
          <w:rFonts w:ascii="Times New Roman" w:hAnsi="Times New Roman" w:cs="Times New Roman"/>
        </w:rPr>
        <w:t>The OAIC is also able to</w:t>
      </w:r>
      <w:r w:rsidR="005B3CD7" w:rsidRPr="006D2720">
        <w:rPr>
          <w:rFonts w:ascii="Times New Roman" w:hAnsi="Times New Roman" w:cs="Times New Roman"/>
        </w:rPr>
        <w:t xml:space="preserve"> enforce provisions </w:t>
      </w:r>
      <w:r w:rsidR="00D5607B" w:rsidRPr="006D2720">
        <w:rPr>
          <w:rFonts w:ascii="Times New Roman" w:hAnsi="Times New Roman" w:cs="Times New Roman"/>
        </w:rPr>
        <w:t>of the Privacy Act</w:t>
      </w:r>
      <w:r w:rsidR="00D5607B" w:rsidRPr="006D2720">
        <w:rPr>
          <w:rFonts w:ascii="Times New Roman" w:hAnsi="Times New Roman" w:cs="Times New Roman"/>
          <w:i/>
          <w:iCs/>
        </w:rPr>
        <w:t xml:space="preserve"> </w:t>
      </w:r>
      <w:r w:rsidR="005B3CD7" w:rsidRPr="006D2720">
        <w:rPr>
          <w:rFonts w:ascii="Times New Roman" w:hAnsi="Times New Roman" w:cs="Times New Roman"/>
        </w:rPr>
        <w:t>by</w:t>
      </w:r>
      <w:r w:rsidRPr="006D2720">
        <w:rPr>
          <w:rFonts w:ascii="Times New Roman" w:hAnsi="Times New Roman" w:cs="Times New Roman"/>
        </w:rPr>
        <w:t xml:space="preserve"> </w:t>
      </w:r>
      <w:r w:rsidR="005B3CD7" w:rsidRPr="006D2720">
        <w:rPr>
          <w:rFonts w:ascii="Times New Roman" w:hAnsi="Times New Roman" w:cs="Times New Roman"/>
          <w:color w:val="000000" w:themeColor="text1"/>
        </w:rPr>
        <w:t xml:space="preserve">seeking </w:t>
      </w:r>
      <w:r w:rsidR="00C52F5D" w:rsidRPr="006D2720">
        <w:rPr>
          <w:rFonts w:ascii="Times New Roman" w:hAnsi="Times New Roman" w:cs="Times New Roman"/>
          <w:color w:val="000000" w:themeColor="text1"/>
        </w:rPr>
        <w:t>a</w:t>
      </w:r>
      <w:r w:rsidRPr="006D2720">
        <w:rPr>
          <w:rFonts w:ascii="Times New Roman" w:hAnsi="Times New Roman" w:cs="Times New Roman"/>
          <w:color w:val="000000" w:themeColor="text1"/>
        </w:rPr>
        <w:t xml:space="preserve">n injunction </w:t>
      </w:r>
      <w:r w:rsidR="00071C3A" w:rsidRPr="006D2720">
        <w:rPr>
          <w:rFonts w:ascii="Times New Roman" w:hAnsi="Times New Roman" w:cs="Times New Roman"/>
          <w:color w:val="000000" w:themeColor="text1"/>
        </w:rPr>
        <w:t>before, during</w:t>
      </w:r>
      <w:r w:rsidR="0049058F" w:rsidRPr="006D2720">
        <w:rPr>
          <w:rFonts w:ascii="Times New Roman" w:hAnsi="Times New Roman" w:cs="Times New Roman"/>
          <w:color w:val="000000" w:themeColor="text1"/>
        </w:rPr>
        <w:t>,</w:t>
      </w:r>
      <w:r w:rsidR="00071C3A" w:rsidRPr="006D2720">
        <w:rPr>
          <w:rFonts w:ascii="Times New Roman" w:hAnsi="Times New Roman" w:cs="Times New Roman"/>
          <w:color w:val="000000" w:themeColor="text1"/>
        </w:rPr>
        <w:t xml:space="preserve"> or after an investigation or exercise of other regulatory powers</w:t>
      </w:r>
      <w:r w:rsidR="00511EA1" w:rsidRPr="006D2720">
        <w:rPr>
          <w:rFonts w:ascii="Times New Roman" w:hAnsi="Times New Roman" w:cs="Times New Roman"/>
          <w:color w:val="000000" w:themeColor="text1"/>
        </w:rPr>
        <w:t>,</w:t>
      </w:r>
      <w:r w:rsidR="00071C3A" w:rsidRPr="006D2720">
        <w:rPr>
          <w:rStyle w:val="FootnoteReference"/>
          <w:rFonts w:ascii="Times New Roman" w:hAnsi="Times New Roman" w:cs="Times New Roman"/>
          <w:color w:val="000000" w:themeColor="text1"/>
        </w:rPr>
        <w:footnoteReference w:id="243"/>
      </w:r>
      <w:r w:rsidR="00511EA1" w:rsidRPr="006D2720">
        <w:rPr>
          <w:rFonts w:ascii="Times New Roman" w:hAnsi="Times New Roman" w:cs="Times New Roman"/>
          <w:color w:val="000000" w:themeColor="text1"/>
        </w:rPr>
        <w:t xml:space="preserve"> </w:t>
      </w:r>
      <w:r w:rsidR="00511EA1" w:rsidRPr="006D2720">
        <w:rPr>
          <w:rFonts w:ascii="Times New Roman" w:hAnsi="Times New Roman" w:cs="Times New Roman"/>
        </w:rPr>
        <w:t xml:space="preserve">or </w:t>
      </w:r>
      <w:r w:rsidR="005B3CD7" w:rsidRPr="006D2720">
        <w:rPr>
          <w:rFonts w:ascii="Times New Roman" w:hAnsi="Times New Roman" w:cs="Times New Roman"/>
        </w:rPr>
        <w:t xml:space="preserve">by </w:t>
      </w:r>
      <w:r w:rsidR="00511EA1" w:rsidRPr="006D2720">
        <w:rPr>
          <w:rFonts w:ascii="Times New Roman" w:hAnsi="Times New Roman" w:cs="Times New Roman"/>
        </w:rPr>
        <w:t>accept</w:t>
      </w:r>
      <w:r w:rsidR="005B3CD7" w:rsidRPr="006D2720">
        <w:rPr>
          <w:rFonts w:ascii="Times New Roman" w:hAnsi="Times New Roman" w:cs="Times New Roman"/>
        </w:rPr>
        <w:t>ing</w:t>
      </w:r>
      <w:r w:rsidR="00511EA1" w:rsidRPr="006D2720">
        <w:rPr>
          <w:rFonts w:ascii="Times New Roman" w:hAnsi="Times New Roman" w:cs="Times New Roman"/>
        </w:rPr>
        <w:t xml:space="preserve"> an enforceable undertaking</w:t>
      </w:r>
      <w:r w:rsidR="00EB5103" w:rsidRPr="006D2720">
        <w:rPr>
          <w:rFonts w:ascii="Times New Roman" w:hAnsi="Times New Roman" w:cs="Times New Roman"/>
        </w:rPr>
        <w:t>.</w:t>
      </w:r>
      <w:r w:rsidR="00EB5103" w:rsidRPr="006D2720">
        <w:rPr>
          <w:rStyle w:val="FootnoteReference"/>
          <w:rFonts w:ascii="Times New Roman" w:hAnsi="Times New Roman" w:cs="Times New Roman"/>
        </w:rPr>
        <w:footnoteReference w:id="244"/>
      </w:r>
      <w:r w:rsidR="00C309FA" w:rsidRPr="006D2720">
        <w:rPr>
          <w:rFonts w:ascii="Times New Roman" w:hAnsi="Times New Roman" w:cs="Times New Roman"/>
        </w:rPr>
        <w:t xml:space="preserve"> </w:t>
      </w:r>
      <w:r w:rsidR="001E13B9" w:rsidRPr="006D2720">
        <w:rPr>
          <w:rFonts w:ascii="Times New Roman" w:hAnsi="Times New Roman" w:cs="Times New Roman"/>
        </w:rPr>
        <w:t xml:space="preserve">Enforceable undertakings are used where there has already been, or appears to have been, a privacy interference. </w:t>
      </w:r>
      <w:r w:rsidR="003C3DC1" w:rsidRPr="006D2720">
        <w:rPr>
          <w:rFonts w:ascii="Times New Roman" w:hAnsi="Times New Roman" w:cs="Times New Roman"/>
        </w:rPr>
        <w:t>The</w:t>
      </w:r>
      <w:r w:rsidR="0020508B" w:rsidRPr="006D2720">
        <w:rPr>
          <w:rFonts w:ascii="Times New Roman" w:hAnsi="Times New Roman" w:cs="Times New Roman"/>
        </w:rPr>
        <w:t xml:space="preserve"> entity </w:t>
      </w:r>
      <w:r w:rsidR="003C3DC1" w:rsidRPr="006D2720">
        <w:rPr>
          <w:rFonts w:ascii="Times New Roman" w:hAnsi="Times New Roman" w:cs="Times New Roman"/>
        </w:rPr>
        <w:t xml:space="preserve">itself </w:t>
      </w:r>
      <w:r w:rsidR="0020508B" w:rsidRPr="006D2720">
        <w:rPr>
          <w:rFonts w:ascii="Times New Roman" w:hAnsi="Times New Roman" w:cs="Times New Roman"/>
        </w:rPr>
        <w:t xml:space="preserve">or the OAIC may raise this option as the appropriate enforcement measure. </w:t>
      </w:r>
      <w:r w:rsidR="003C3DC1" w:rsidRPr="006D2720">
        <w:rPr>
          <w:rFonts w:ascii="Times New Roman" w:hAnsi="Times New Roman" w:cs="Times New Roman"/>
        </w:rPr>
        <w:t xml:space="preserve">An enforceable undertaking </w:t>
      </w:r>
      <w:r w:rsidR="001E13B9" w:rsidRPr="006D2720">
        <w:rPr>
          <w:rFonts w:ascii="Times New Roman" w:hAnsi="Times New Roman" w:cs="Times New Roman"/>
        </w:rPr>
        <w:t xml:space="preserve">seeks to have the </w:t>
      </w:r>
      <w:r w:rsidR="008D6AC2" w:rsidRPr="006D2720">
        <w:rPr>
          <w:rFonts w:ascii="Times New Roman" w:hAnsi="Times New Roman" w:cs="Times New Roman"/>
        </w:rPr>
        <w:t xml:space="preserve">entity voluntarily agree to modify their acts, remedy any damage the breach used, and commit to future measures to comply with privacy obligations. </w:t>
      </w:r>
      <w:r w:rsidR="001E13B9" w:rsidRPr="006D2720">
        <w:rPr>
          <w:rFonts w:ascii="Times New Roman" w:hAnsi="Times New Roman" w:cs="Times New Roman"/>
        </w:rPr>
        <w:t xml:space="preserve">The terms of an enforceable undertaking are negotiated </w:t>
      </w:r>
      <w:r w:rsidR="008D6AC2" w:rsidRPr="006D2720">
        <w:rPr>
          <w:rFonts w:ascii="Times New Roman" w:hAnsi="Times New Roman" w:cs="Times New Roman"/>
        </w:rPr>
        <w:t>between the entity and the OAIC</w:t>
      </w:r>
      <w:r w:rsidR="0020508B" w:rsidRPr="006D2720">
        <w:rPr>
          <w:rFonts w:ascii="Times New Roman" w:hAnsi="Times New Roman" w:cs="Times New Roman"/>
        </w:rPr>
        <w:t xml:space="preserve"> staff</w:t>
      </w:r>
      <w:r w:rsidR="008D6AC2" w:rsidRPr="006D2720">
        <w:rPr>
          <w:rFonts w:ascii="Times New Roman" w:hAnsi="Times New Roman" w:cs="Times New Roman"/>
        </w:rPr>
        <w:t xml:space="preserve">, and </w:t>
      </w:r>
      <w:r w:rsidR="0020508B" w:rsidRPr="006D2720">
        <w:rPr>
          <w:rFonts w:ascii="Times New Roman" w:hAnsi="Times New Roman" w:cs="Times New Roman"/>
        </w:rPr>
        <w:t xml:space="preserve">if accepted by the </w:t>
      </w:r>
      <w:r w:rsidR="007626A9" w:rsidRPr="006D2720">
        <w:rPr>
          <w:rFonts w:ascii="Times New Roman" w:hAnsi="Times New Roman" w:cs="Times New Roman"/>
        </w:rPr>
        <w:t xml:space="preserve">Australian Information </w:t>
      </w:r>
      <w:r w:rsidR="0020508B" w:rsidRPr="006D2720">
        <w:rPr>
          <w:rFonts w:ascii="Times New Roman" w:hAnsi="Times New Roman" w:cs="Times New Roman"/>
        </w:rPr>
        <w:t>Commissioner, are ultimately enforceable in court.</w:t>
      </w:r>
      <w:r w:rsidR="0020508B" w:rsidRPr="006D2720">
        <w:rPr>
          <w:rStyle w:val="FootnoteReference"/>
          <w:rFonts w:ascii="Times New Roman" w:hAnsi="Times New Roman" w:cs="Times New Roman"/>
        </w:rPr>
        <w:footnoteReference w:id="245"/>
      </w:r>
      <w:r w:rsidR="0020508B" w:rsidRPr="006D2720">
        <w:rPr>
          <w:rFonts w:ascii="Times New Roman" w:hAnsi="Times New Roman" w:cs="Times New Roman"/>
        </w:rPr>
        <w:t xml:space="preserve"> </w:t>
      </w:r>
    </w:p>
    <w:p w14:paraId="086735A7" w14:textId="4AD80CF9" w:rsidR="00BB3BA5" w:rsidRPr="006D2720" w:rsidRDefault="00C52F5D" w:rsidP="0066337D">
      <w:pPr>
        <w:pStyle w:val="Heading3"/>
        <w:rPr>
          <w:rFonts w:ascii="Times New Roman" w:hAnsi="Times New Roman" w:cs="Times New Roman"/>
        </w:rPr>
      </w:pPr>
      <w:r w:rsidRPr="006D2720">
        <w:rPr>
          <w:rFonts w:ascii="Times New Roman" w:hAnsi="Times New Roman" w:cs="Times New Roman"/>
        </w:rPr>
        <w:t>In submissions to the review of the Privacy Act, the OAIC has</w:t>
      </w:r>
      <w:r w:rsidR="00917668" w:rsidRPr="006D2720">
        <w:rPr>
          <w:rFonts w:ascii="Times New Roman" w:hAnsi="Times New Roman" w:cs="Times New Roman"/>
        </w:rPr>
        <w:t xml:space="preserve"> asked for </w:t>
      </w:r>
      <w:r w:rsidRPr="006D2720">
        <w:rPr>
          <w:rFonts w:ascii="Times New Roman" w:hAnsi="Times New Roman" w:cs="Times New Roman"/>
        </w:rPr>
        <w:t>additional enforcement powers</w:t>
      </w:r>
      <w:r w:rsidR="00917668" w:rsidRPr="006D2720">
        <w:rPr>
          <w:rFonts w:ascii="Times New Roman" w:hAnsi="Times New Roman" w:cs="Times New Roman"/>
        </w:rPr>
        <w:t xml:space="preserve">. These include extending the ability to seek </w:t>
      </w:r>
      <w:r w:rsidRPr="006D2720">
        <w:rPr>
          <w:rFonts w:ascii="Times New Roman" w:hAnsi="Times New Roman" w:cs="Times New Roman"/>
        </w:rPr>
        <w:t xml:space="preserve">civil penalties to all privacy interferences, </w:t>
      </w:r>
      <w:r w:rsidR="004338F6" w:rsidRPr="006D2720">
        <w:rPr>
          <w:rFonts w:ascii="Times New Roman" w:hAnsi="Times New Roman" w:cs="Times New Roman"/>
        </w:rPr>
        <w:t xml:space="preserve">as well as </w:t>
      </w:r>
      <w:r w:rsidR="00767A34" w:rsidRPr="006D2720">
        <w:rPr>
          <w:rFonts w:ascii="Times New Roman" w:hAnsi="Times New Roman" w:cs="Times New Roman"/>
        </w:rPr>
        <w:t xml:space="preserve">allowing </w:t>
      </w:r>
      <w:r w:rsidR="004338F6" w:rsidRPr="006D2720">
        <w:rPr>
          <w:rFonts w:ascii="Times New Roman" w:hAnsi="Times New Roman" w:cs="Times New Roman"/>
        </w:rPr>
        <w:t>for the OAIC to make orders to mitigate foreseeable risks or delete personal information</w:t>
      </w:r>
      <w:r w:rsidR="00F92503" w:rsidRPr="006D2720">
        <w:rPr>
          <w:rFonts w:ascii="Times New Roman" w:hAnsi="Times New Roman" w:cs="Times New Roman"/>
        </w:rPr>
        <w:t xml:space="preserve"> when </w:t>
      </w:r>
      <w:r w:rsidR="00C86D10" w:rsidRPr="006D2720">
        <w:rPr>
          <w:rFonts w:ascii="Times New Roman" w:hAnsi="Times New Roman" w:cs="Times New Roman"/>
        </w:rPr>
        <w:t>it</w:t>
      </w:r>
      <w:r w:rsidR="00F92503" w:rsidRPr="006D2720">
        <w:rPr>
          <w:rFonts w:ascii="Times New Roman" w:hAnsi="Times New Roman" w:cs="Times New Roman"/>
        </w:rPr>
        <w:t xml:space="preserve"> determine</w:t>
      </w:r>
      <w:r w:rsidR="00C86D10" w:rsidRPr="006D2720">
        <w:rPr>
          <w:rFonts w:ascii="Times New Roman" w:hAnsi="Times New Roman" w:cs="Times New Roman"/>
        </w:rPr>
        <w:t>s</w:t>
      </w:r>
      <w:r w:rsidR="00F92503" w:rsidRPr="006D2720">
        <w:rPr>
          <w:rFonts w:ascii="Times New Roman" w:hAnsi="Times New Roman" w:cs="Times New Roman"/>
        </w:rPr>
        <w:t xml:space="preserve"> that there has been </w:t>
      </w:r>
      <w:r w:rsidR="00BC2E82" w:rsidRPr="006D2720">
        <w:rPr>
          <w:rFonts w:ascii="Times New Roman" w:hAnsi="Times New Roman" w:cs="Times New Roman"/>
        </w:rPr>
        <w:t>a privacy</w:t>
      </w:r>
      <w:r w:rsidR="00F92503" w:rsidRPr="006D2720">
        <w:rPr>
          <w:rFonts w:ascii="Times New Roman" w:hAnsi="Times New Roman" w:cs="Times New Roman"/>
        </w:rPr>
        <w:t xml:space="preserve"> </w:t>
      </w:r>
      <w:r w:rsidR="00767A34" w:rsidRPr="006D2720">
        <w:rPr>
          <w:rFonts w:ascii="Times New Roman" w:hAnsi="Times New Roman" w:cs="Times New Roman"/>
        </w:rPr>
        <w:t>interference</w:t>
      </w:r>
      <w:r w:rsidR="001374EC" w:rsidRPr="006D2720">
        <w:rPr>
          <w:rFonts w:ascii="Times New Roman" w:hAnsi="Times New Roman" w:cs="Times New Roman"/>
        </w:rPr>
        <w:t>.</w:t>
      </w:r>
      <w:r w:rsidR="001374EC" w:rsidRPr="006D2720">
        <w:rPr>
          <w:rStyle w:val="FootnoteReference"/>
          <w:rFonts w:ascii="Times New Roman" w:hAnsi="Times New Roman" w:cs="Times New Roman"/>
        </w:rPr>
        <w:footnoteReference w:id="246"/>
      </w:r>
    </w:p>
    <w:p w14:paraId="3C1E1B40" w14:textId="4359BF06" w:rsidR="007B457C" w:rsidRPr="006D2720" w:rsidRDefault="00AB7B1E" w:rsidP="0066337D">
      <w:pPr>
        <w:pStyle w:val="Heading3"/>
        <w:rPr>
          <w:rFonts w:ascii="Times New Roman" w:hAnsi="Times New Roman" w:cs="Times New Roman"/>
        </w:rPr>
      </w:pPr>
      <w:r w:rsidRPr="006D2720">
        <w:rPr>
          <w:rFonts w:ascii="Times New Roman" w:hAnsi="Times New Roman" w:cs="Times New Roman"/>
        </w:rPr>
        <w:t xml:space="preserve">In Victoria, there is an enforcement option not found in either the PIPA </w:t>
      </w:r>
      <w:r w:rsidR="00C86D10" w:rsidRPr="006D2720">
        <w:rPr>
          <w:rFonts w:ascii="Times New Roman" w:hAnsi="Times New Roman" w:cs="Times New Roman"/>
        </w:rPr>
        <w:t>n</w:t>
      </w:r>
      <w:r w:rsidR="004876CE" w:rsidRPr="006D2720">
        <w:rPr>
          <w:rFonts w:ascii="Times New Roman" w:hAnsi="Times New Roman" w:cs="Times New Roman"/>
        </w:rPr>
        <w:t>or</w:t>
      </w:r>
      <w:r w:rsidRPr="006D2720">
        <w:rPr>
          <w:rFonts w:ascii="Times New Roman" w:hAnsi="Times New Roman" w:cs="Times New Roman"/>
        </w:rPr>
        <w:t xml:space="preserve"> the Privacy Act</w:t>
      </w:r>
      <w:r w:rsidRPr="006D2720">
        <w:rPr>
          <w:rFonts w:ascii="Times New Roman" w:hAnsi="Times New Roman" w:cs="Times New Roman"/>
          <w:i/>
          <w:iCs/>
        </w:rPr>
        <w:t xml:space="preserve">. </w:t>
      </w:r>
      <w:r w:rsidRPr="006D2720">
        <w:rPr>
          <w:rFonts w:ascii="Times New Roman" w:hAnsi="Times New Roman" w:cs="Times New Roman"/>
        </w:rPr>
        <w:t>T</w:t>
      </w:r>
      <w:r w:rsidR="00697B4D" w:rsidRPr="006D2720">
        <w:rPr>
          <w:rFonts w:ascii="Times New Roman" w:hAnsi="Times New Roman" w:cs="Times New Roman"/>
        </w:rPr>
        <w:t xml:space="preserve">he </w:t>
      </w:r>
      <w:r w:rsidRPr="006D2720">
        <w:rPr>
          <w:rFonts w:ascii="Times New Roman" w:hAnsi="Times New Roman" w:cs="Times New Roman"/>
        </w:rPr>
        <w:t xml:space="preserve">Victorian </w:t>
      </w:r>
      <w:r w:rsidR="00697B4D" w:rsidRPr="006D2720">
        <w:rPr>
          <w:rFonts w:ascii="Times New Roman" w:hAnsi="Times New Roman" w:cs="Times New Roman"/>
        </w:rPr>
        <w:t xml:space="preserve">Information Commissioner </w:t>
      </w:r>
      <w:r w:rsidR="00BC2E82" w:rsidRPr="006D2720">
        <w:rPr>
          <w:rFonts w:ascii="Times New Roman" w:hAnsi="Times New Roman" w:cs="Times New Roman"/>
        </w:rPr>
        <w:t xml:space="preserve">has the option of serving </w:t>
      </w:r>
      <w:r w:rsidR="00697B4D" w:rsidRPr="006D2720">
        <w:rPr>
          <w:rFonts w:ascii="Times New Roman" w:hAnsi="Times New Roman" w:cs="Times New Roman"/>
        </w:rPr>
        <w:t xml:space="preserve">a compliance </w:t>
      </w:r>
      <w:r w:rsidR="002325AD" w:rsidRPr="006D2720">
        <w:rPr>
          <w:rFonts w:ascii="Times New Roman" w:hAnsi="Times New Roman" w:cs="Times New Roman"/>
        </w:rPr>
        <w:t xml:space="preserve">notice for </w:t>
      </w:r>
      <w:r w:rsidR="00BA5356" w:rsidRPr="006D2720">
        <w:rPr>
          <w:rFonts w:ascii="Times New Roman" w:hAnsi="Times New Roman" w:cs="Times New Roman"/>
        </w:rPr>
        <w:t>repeat</w:t>
      </w:r>
      <w:r w:rsidR="008163E2" w:rsidRPr="006D2720">
        <w:rPr>
          <w:rFonts w:ascii="Times New Roman" w:hAnsi="Times New Roman" w:cs="Times New Roman"/>
        </w:rPr>
        <w:t>,</w:t>
      </w:r>
      <w:r w:rsidR="00BA5356" w:rsidRPr="006D2720">
        <w:rPr>
          <w:rFonts w:ascii="Times New Roman" w:hAnsi="Times New Roman" w:cs="Times New Roman"/>
        </w:rPr>
        <w:t xml:space="preserve"> </w:t>
      </w:r>
      <w:r w:rsidR="002325AD" w:rsidRPr="006D2720">
        <w:rPr>
          <w:rFonts w:ascii="Times New Roman" w:hAnsi="Times New Roman" w:cs="Times New Roman"/>
        </w:rPr>
        <w:t>serious or flagrant contraventions of privacy principles</w:t>
      </w:r>
      <w:r w:rsidR="00BC2E82" w:rsidRPr="006D2720">
        <w:rPr>
          <w:rFonts w:ascii="Times New Roman" w:hAnsi="Times New Roman" w:cs="Times New Roman"/>
        </w:rPr>
        <w:t>.</w:t>
      </w:r>
      <w:r w:rsidR="00BA5356" w:rsidRPr="006D2720">
        <w:rPr>
          <w:rStyle w:val="FootnoteReference"/>
          <w:rFonts w:ascii="Times New Roman" w:hAnsi="Times New Roman" w:cs="Times New Roman"/>
        </w:rPr>
        <w:footnoteReference w:id="247"/>
      </w:r>
      <w:r w:rsidR="00845BDC" w:rsidRPr="006D2720">
        <w:rPr>
          <w:rFonts w:ascii="Times New Roman" w:hAnsi="Times New Roman" w:cs="Times New Roman"/>
        </w:rPr>
        <w:t xml:space="preserve"> </w:t>
      </w:r>
      <w:r w:rsidR="00BC2E82" w:rsidRPr="006D2720">
        <w:rPr>
          <w:rFonts w:ascii="Times New Roman" w:hAnsi="Times New Roman" w:cs="Times New Roman"/>
        </w:rPr>
        <w:t>Failure to comply with the notice is a criminal offence.</w:t>
      </w:r>
      <w:r w:rsidR="00BC2E82" w:rsidRPr="006D2720">
        <w:rPr>
          <w:rStyle w:val="FootnoteReference"/>
          <w:rFonts w:ascii="Times New Roman" w:hAnsi="Times New Roman" w:cs="Times New Roman"/>
        </w:rPr>
        <w:footnoteReference w:id="248"/>
      </w:r>
      <w:r w:rsidR="00BC2E82" w:rsidRPr="006D2720">
        <w:rPr>
          <w:rFonts w:ascii="Times New Roman" w:hAnsi="Times New Roman" w:cs="Times New Roman"/>
        </w:rPr>
        <w:t xml:space="preserve"> There is </w:t>
      </w:r>
      <w:r w:rsidR="00845BDC" w:rsidRPr="006D2720">
        <w:rPr>
          <w:rFonts w:ascii="Times New Roman" w:hAnsi="Times New Roman" w:cs="Times New Roman"/>
        </w:rPr>
        <w:t xml:space="preserve">a right to </w:t>
      </w:r>
      <w:r w:rsidR="00BC2E82" w:rsidRPr="006D2720">
        <w:rPr>
          <w:rFonts w:ascii="Times New Roman" w:hAnsi="Times New Roman" w:cs="Times New Roman"/>
        </w:rPr>
        <w:t>seek</w:t>
      </w:r>
      <w:r w:rsidR="00845BDC" w:rsidRPr="006D2720">
        <w:rPr>
          <w:rFonts w:ascii="Times New Roman" w:hAnsi="Times New Roman" w:cs="Times New Roman"/>
        </w:rPr>
        <w:t xml:space="preserve"> review </w:t>
      </w:r>
      <w:r w:rsidR="00BC2E82" w:rsidRPr="006D2720">
        <w:rPr>
          <w:rFonts w:ascii="Times New Roman" w:hAnsi="Times New Roman" w:cs="Times New Roman"/>
        </w:rPr>
        <w:t xml:space="preserve">of </w:t>
      </w:r>
      <w:r w:rsidR="00845BDC" w:rsidRPr="006D2720">
        <w:rPr>
          <w:rFonts w:ascii="Times New Roman" w:hAnsi="Times New Roman" w:cs="Times New Roman"/>
        </w:rPr>
        <w:t>a decision to serve a compliance notice</w:t>
      </w:r>
      <w:r w:rsidR="00057E90" w:rsidRPr="006D2720">
        <w:rPr>
          <w:rFonts w:ascii="Times New Roman" w:hAnsi="Times New Roman" w:cs="Times New Roman"/>
        </w:rPr>
        <w:t>.</w:t>
      </w:r>
      <w:r w:rsidR="00057E90" w:rsidRPr="006D2720">
        <w:rPr>
          <w:rStyle w:val="FootnoteReference"/>
          <w:rFonts w:ascii="Times New Roman" w:hAnsi="Times New Roman" w:cs="Times New Roman"/>
        </w:rPr>
        <w:footnoteReference w:id="249"/>
      </w:r>
      <w:r w:rsidR="00BA5356" w:rsidRPr="006D2720">
        <w:rPr>
          <w:rFonts w:ascii="Times New Roman" w:hAnsi="Times New Roman" w:cs="Times New Roman"/>
        </w:rPr>
        <w:t xml:space="preserve"> </w:t>
      </w:r>
    </w:p>
    <w:p w14:paraId="76A2B241" w14:textId="4DCD62A5" w:rsidR="00AE4212" w:rsidRPr="006D2720" w:rsidRDefault="00AE4212" w:rsidP="00767D7E">
      <w:pPr>
        <w:rPr>
          <w:rFonts w:ascii="Times New Roman" w:hAnsi="Times New Roman" w:cs="Times New Roman"/>
          <w:b/>
          <w:bCs/>
          <w:i/>
          <w:iCs/>
        </w:rPr>
      </w:pPr>
      <w:r w:rsidRPr="006D2720">
        <w:rPr>
          <w:rFonts w:ascii="Times New Roman" w:hAnsi="Times New Roman" w:cs="Times New Roman"/>
          <w:b/>
          <w:bCs/>
          <w:i/>
          <w:iCs/>
        </w:rPr>
        <w:t xml:space="preserve">Private </w:t>
      </w:r>
      <w:r w:rsidR="00C86D10" w:rsidRPr="006D2720">
        <w:rPr>
          <w:rFonts w:ascii="Times New Roman" w:hAnsi="Times New Roman" w:cs="Times New Roman"/>
          <w:b/>
          <w:bCs/>
          <w:i/>
          <w:iCs/>
        </w:rPr>
        <w:t>r</w:t>
      </w:r>
      <w:r w:rsidRPr="006D2720">
        <w:rPr>
          <w:rFonts w:ascii="Times New Roman" w:hAnsi="Times New Roman" w:cs="Times New Roman"/>
          <w:b/>
          <w:bCs/>
          <w:i/>
          <w:iCs/>
        </w:rPr>
        <w:t xml:space="preserve">ights of </w:t>
      </w:r>
      <w:r w:rsidR="00C86D10" w:rsidRPr="006D2720">
        <w:rPr>
          <w:rFonts w:ascii="Times New Roman" w:hAnsi="Times New Roman" w:cs="Times New Roman"/>
          <w:b/>
          <w:bCs/>
          <w:i/>
          <w:iCs/>
        </w:rPr>
        <w:t>a</w:t>
      </w:r>
      <w:r w:rsidRPr="006D2720">
        <w:rPr>
          <w:rFonts w:ascii="Times New Roman" w:hAnsi="Times New Roman" w:cs="Times New Roman"/>
          <w:b/>
          <w:bCs/>
          <w:i/>
          <w:iCs/>
        </w:rPr>
        <w:t>ction</w:t>
      </w:r>
    </w:p>
    <w:p w14:paraId="46E4E561" w14:textId="7B11AA55" w:rsidR="00B95814" w:rsidRPr="006D2720" w:rsidRDefault="00917668" w:rsidP="0066337D">
      <w:pPr>
        <w:pStyle w:val="Heading3"/>
        <w:rPr>
          <w:rFonts w:ascii="Times New Roman" w:hAnsi="Times New Roman" w:cs="Times New Roman"/>
        </w:rPr>
      </w:pPr>
      <w:bookmarkStart w:id="317" w:name="_Ref91664140"/>
      <w:r w:rsidRPr="006D2720">
        <w:rPr>
          <w:rFonts w:ascii="Times New Roman" w:hAnsi="Times New Roman" w:cs="Times New Roman"/>
        </w:rPr>
        <w:t>Under</w:t>
      </w:r>
      <w:r w:rsidR="00D835F9" w:rsidRPr="006D2720">
        <w:rPr>
          <w:rFonts w:ascii="Times New Roman" w:hAnsi="Times New Roman" w:cs="Times New Roman"/>
        </w:rPr>
        <w:t xml:space="preserve"> the</w:t>
      </w:r>
      <w:r w:rsidRPr="006D2720">
        <w:rPr>
          <w:rFonts w:ascii="Times New Roman" w:hAnsi="Times New Roman" w:cs="Times New Roman"/>
        </w:rPr>
        <w:t xml:space="preserve"> </w:t>
      </w:r>
      <w:r w:rsidR="00C86D10" w:rsidRPr="006D2720">
        <w:rPr>
          <w:rFonts w:ascii="Times New Roman" w:hAnsi="Times New Roman" w:cs="Times New Roman"/>
        </w:rPr>
        <w:t xml:space="preserve">Tasmanian </w:t>
      </w:r>
      <w:r w:rsidR="00FE5DF4" w:rsidRPr="006D2720">
        <w:rPr>
          <w:rFonts w:ascii="Times New Roman" w:hAnsi="Times New Roman" w:cs="Times New Roman"/>
        </w:rPr>
        <w:t>PIPA</w:t>
      </w:r>
      <w:r w:rsidRPr="006D2720">
        <w:rPr>
          <w:rFonts w:ascii="Times New Roman" w:hAnsi="Times New Roman" w:cs="Times New Roman"/>
        </w:rPr>
        <w:t xml:space="preserve">, an individual seeking </w:t>
      </w:r>
      <w:r w:rsidR="00017167" w:rsidRPr="006D2720">
        <w:rPr>
          <w:rFonts w:ascii="Times New Roman" w:hAnsi="Times New Roman" w:cs="Times New Roman"/>
        </w:rPr>
        <w:t>redress for breach of a PIPP</w:t>
      </w:r>
      <w:r w:rsidR="0070365D" w:rsidRPr="006D2720">
        <w:rPr>
          <w:rFonts w:ascii="Times New Roman" w:hAnsi="Times New Roman" w:cs="Times New Roman"/>
        </w:rPr>
        <w:t xml:space="preserve"> </w:t>
      </w:r>
      <w:r w:rsidRPr="006D2720">
        <w:rPr>
          <w:rFonts w:ascii="Times New Roman" w:hAnsi="Times New Roman" w:cs="Times New Roman"/>
        </w:rPr>
        <w:t xml:space="preserve">is limited to seeking review from the </w:t>
      </w:r>
      <w:r w:rsidR="00C86D10" w:rsidRPr="006D2720">
        <w:rPr>
          <w:rFonts w:ascii="Times New Roman" w:hAnsi="Times New Roman" w:cs="Times New Roman"/>
        </w:rPr>
        <w:t xml:space="preserve">personal information </w:t>
      </w:r>
      <w:r w:rsidRPr="006D2720">
        <w:rPr>
          <w:rFonts w:ascii="Times New Roman" w:hAnsi="Times New Roman" w:cs="Times New Roman"/>
        </w:rPr>
        <w:t xml:space="preserve">custodian in question and then </w:t>
      </w:r>
      <w:r w:rsidR="00C86D10" w:rsidRPr="006D2720">
        <w:rPr>
          <w:rFonts w:ascii="Times New Roman" w:hAnsi="Times New Roman" w:cs="Times New Roman"/>
        </w:rPr>
        <w:t xml:space="preserve">making a </w:t>
      </w:r>
      <w:r w:rsidR="0070365D" w:rsidRPr="006D2720">
        <w:rPr>
          <w:rFonts w:ascii="Times New Roman" w:hAnsi="Times New Roman" w:cs="Times New Roman"/>
        </w:rPr>
        <w:t>complain</w:t>
      </w:r>
      <w:r w:rsidR="00C86D10" w:rsidRPr="006D2720">
        <w:rPr>
          <w:rFonts w:ascii="Times New Roman" w:hAnsi="Times New Roman" w:cs="Times New Roman"/>
        </w:rPr>
        <w:t>t</w:t>
      </w:r>
      <w:r w:rsidR="0070365D" w:rsidRPr="006D2720">
        <w:rPr>
          <w:rFonts w:ascii="Times New Roman" w:hAnsi="Times New Roman" w:cs="Times New Roman"/>
        </w:rPr>
        <w:t xml:space="preserve"> to the Ombudsman. </w:t>
      </w:r>
      <w:r w:rsidRPr="006D2720">
        <w:rPr>
          <w:rFonts w:ascii="Times New Roman" w:hAnsi="Times New Roman" w:cs="Times New Roman"/>
        </w:rPr>
        <w:t xml:space="preserve">Other jurisdictions in Australia provide alternative ways </w:t>
      </w:r>
      <w:r w:rsidR="00C86D10" w:rsidRPr="006D2720">
        <w:rPr>
          <w:rFonts w:ascii="Times New Roman" w:hAnsi="Times New Roman" w:cs="Times New Roman"/>
        </w:rPr>
        <w:t>for</w:t>
      </w:r>
      <w:r w:rsidRPr="006D2720">
        <w:rPr>
          <w:rFonts w:ascii="Times New Roman" w:hAnsi="Times New Roman" w:cs="Times New Roman"/>
        </w:rPr>
        <w:t xml:space="preserve"> an </w:t>
      </w:r>
      <w:r w:rsidR="00B64128" w:rsidRPr="006D2720">
        <w:rPr>
          <w:rFonts w:ascii="Times New Roman" w:hAnsi="Times New Roman" w:cs="Times New Roman"/>
        </w:rPr>
        <w:t>individual</w:t>
      </w:r>
      <w:r w:rsidRPr="006D2720">
        <w:rPr>
          <w:rFonts w:ascii="Times New Roman" w:hAnsi="Times New Roman" w:cs="Times New Roman"/>
        </w:rPr>
        <w:t xml:space="preserve"> </w:t>
      </w:r>
      <w:r w:rsidR="00C86D10" w:rsidRPr="006D2720">
        <w:rPr>
          <w:rFonts w:ascii="Times New Roman" w:hAnsi="Times New Roman" w:cs="Times New Roman"/>
        </w:rPr>
        <w:t xml:space="preserve">to </w:t>
      </w:r>
      <w:r w:rsidR="00B64128" w:rsidRPr="006D2720">
        <w:rPr>
          <w:rFonts w:ascii="Times New Roman" w:hAnsi="Times New Roman" w:cs="Times New Roman"/>
        </w:rPr>
        <w:t xml:space="preserve">initiate </w:t>
      </w:r>
      <w:r w:rsidR="00E65054" w:rsidRPr="006D2720">
        <w:rPr>
          <w:rFonts w:ascii="Times New Roman" w:hAnsi="Times New Roman" w:cs="Times New Roman"/>
        </w:rPr>
        <w:t>review of a potential breach.</w:t>
      </w:r>
      <w:bookmarkEnd w:id="317"/>
    </w:p>
    <w:p w14:paraId="50A4B018" w14:textId="275EDA1C" w:rsidR="00442246" w:rsidRPr="006D2720" w:rsidRDefault="00E65054" w:rsidP="001E0AFA">
      <w:pPr>
        <w:pStyle w:val="Dotpointlist"/>
        <w:rPr>
          <w:rFonts w:ascii="Times New Roman" w:hAnsi="Times New Roman" w:cs="Times New Roman"/>
        </w:rPr>
      </w:pPr>
      <w:r w:rsidRPr="006D2720">
        <w:rPr>
          <w:rFonts w:ascii="Times New Roman" w:hAnsi="Times New Roman" w:cs="Times New Roman"/>
        </w:rPr>
        <w:t>Commonwealth</w:t>
      </w:r>
      <w:r w:rsidR="00442246" w:rsidRPr="006D2720">
        <w:rPr>
          <w:rFonts w:ascii="Times New Roman" w:hAnsi="Times New Roman" w:cs="Times New Roman"/>
        </w:rPr>
        <w:t xml:space="preserve">: </w:t>
      </w:r>
      <w:r w:rsidR="00FC6064" w:rsidRPr="006D2720">
        <w:rPr>
          <w:rFonts w:ascii="Times New Roman" w:hAnsi="Times New Roman" w:cs="Times New Roman"/>
        </w:rPr>
        <w:t xml:space="preserve">individuals </w:t>
      </w:r>
      <w:r w:rsidR="00442246" w:rsidRPr="006D2720">
        <w:rPr>
          <w:rFonts w:ascii="Times New Roman" w:hAnsi="Times New Roman" w:cs="Times New Roman"/>
        </w:rPr>
        <w:t xml:space="preserve">can </w:t>
      </w:r>
      <w:r w:rsidR="00FC6064" w:rsidRPr="006D2720">
        <w:rPr>
          <w:rFonts w:ascii="Times New Roman" w:hAnsi="Times New Roman" w:cs="Times New Roman"/>
        </w:rPr>
        <w:t xml:space="preserve">seek </w:t>
      </w:r>
      <w:r w:rsidR="00960690" w:rsidRPr="006D2720">
        <w:rPr>
          <w:rFonts w:ascii="Times New Roman" w:hAnsi="Times New Roman" w:cs="Times New Roman"/>
        </w:rPr>
        <w:t xml:space="preserve">to have OAIC </w:t>
      </w:r>
      <w:r w:rsidR="00FC6064" w:rsidRPr="006D2720">
        <w:rPr>
          <w:rFonts w:ascii="Times New Roman" w:hAnsi="Times New Roman" w:cs="Times New Roman"/>
        </w:rPr>
        <w:t xml:space="preserve">decisions </w:t>
      </w:r>
      <w:r w:rsidR="00960690" w:rsidRPr="006D2720">
        <w:rPr>
          <w:rFonts w:ascii="Times New Roman" w:hAnsi="Times New Roman" w:cs="Times New Roman"/>
        </w:rPr>
        <w:t xml:space="preserve">reviewed </w:t>
      </w:r>
      <w:r w:rsidR="00C86D10" w:rsidRPr="006D2720">
        <w:rPr>
          <w:rFonts w:ascii="Times New Roman" w:hAnsi="Times New Roman" w:cs="Times New Roman"/>
        </w:rPr>
        <w:t xml:space="preserve">by </w:t>
      </w:r>
      <w:r w:rsidR="00960690" w:rsidRPr="006D2720">
        <w:rPr>
          <w:rFonts w:ascii="Times New Roman" w:hAnsi="Times New Roman" w:cs="Times New Roman"/>
        </w:rPr>
        <w:t>the Administrative Appeals Tribunal</w:t>
      </w:r>
      <w:r w:rsidR="000003C7" w:rsidRPr="006D2720">
        <w:rPr>
          <w:rStyle w:val="FootnoteReference"/>
          <w:rFonts w:ascii="Times New Roman" w:hAnsi="Times New Roman" w:cs="Times New Roman"/>
        </w:rPr>
        <w:footnoteReference w:id="250"/>
      </w:r>
      <w:r w:rsidR="00960690" w:rsidRPr="006D2720">
        <w:rPr>
          <w:rFonts w:ascii="Times New Roman" w:hAnsi="Times New Roman" w:cs="Times New Roman"/>
        </w:rPr>
        <w:t xml:space="preserve"> or federal courts.</w:t>
      </w:r>
      <w:r w:rsidR="000003C7" w:rsidRPr="006D2720">
        <w:rPr>
          <w:rStyle w:val="FootnoteReference"/>
          <w:rFonts w:ascii="Times New Roman" w:hAnsi="Times New Roman" w:cs="Times New Roman"/>
        </w:rPr>
        <w:footnoteReference w:id="251"/>
      </w:r>
      <w:r w:rsidR="00960690" w:rsidRPr="006D2720">
        <w:rPr>
          <w:rFonts w:ascii="Times New Roman" w:hAnsi="Times New Roman" w:cs="Times New Roman"/>
        </w:rPr>
        <w:t xml:space="preserve"> The Tribunal </w:t>
      </w:r>
      <w:r w:rsidR="002C04DD" w:rsidRPr="006D2720">
        <w:rPr>
          <w:rFonts w:ascii="Times New Roman" w:hAnsi="Times New Roman" w:cs="Times New Roman"/>
        </w:rPr>
        <w:t xml:space="preserve">conducts merits </w:t>
      </w:r>
      <w:r w:rsidR="00960690" w:rsidRPr="006D2720">
        <w:rPr>
          <w:rFonts w:ascii="Times New Roman" w:hAnsi="Times New Roman" w:cs="Times New Roman"/>
        </w:rPr>
        <w:t>review</w:t>
      </w:r>
      <w:r w:rsidR="00C86D10" w:rsidRPr="006D2720">
        <w:rPr>
          <w:rFonts w:ascii="Times New Roman" w:hAnsi="Times New Roman" w:cs="Times New Roman"/>
        </w:rPr>
        <w:t>—</w:t>
      </w:r>
      <w:r w:rsidR="002C04DD" w:rsidRPr="006D2720">
        <w:rPr>
          <w:rFonts w:ascii="Times New Roman" w:hAnsi="Times New Roman" w:cs="Times New Roman"/>
        </w:rPr>
        <w:t>review</w:t>
      </w:r>
      <w:r w:rsidR="00C86D10" w:rsidRPr="006D2720">
        <w:rPr>
          <w:rFonts w:ascii="Times New Roman" w:hAnsi="Times New Roman" w:cs="Times New Roman"/>
        </w:rPr>
        <w:t>ing</w:t>
      </w:r>
      <w:r w:rsidR="002C04DD" w:rsidRPr="006D2720">
        <w:rPr>
          <w:rFonts w:ascii="Times New Roman" w:hAnsi="Times New Roman" w:cs="Times New Roman"/>
        </w:rPr>
        <w:t xml:space="preserve"> both </w:t>
      </w:r>
      <w:r w:rsidR="00C86D10" w:rsidRPr="006D2720">
        <w:rPr>
          <w:rFonts w:ascii="Times New Roman" w:hAnsi="Times New Roman" w:cs="Times New Roman"/>
        </w:rPr>
        <w:t xml:space="preserve">the </w:t>
      </w:r>
      <w:r w:rsidR="001E0AFA" w:rsidRPr="006D2720">
        <w:rPr>
          <w:rFonts w:ascii="Times New Roman" w:hAnsi="Times New Roman" w:cs="Times New Roman"/>
        </w:rPr>
        <w:t>fact</w:t>
      </w:r>
      <w:r w:rsidR="00C86D10" w:rsidRPr="006D2720">
        <w:rPr>
          <w:rFonts w:ascii="Times New Roman" w:hAnsi="Times New Roman" w:cs="Times New Roman"/>
        </w:rPr>
        <w:t>ual</w:t>
      </w:r>
      <w:r w:rsidR="001E0AFA" w:rsidRPr="006D2720">
        <w:rPr>
          <w:rFonts w:ascii="Times New Roman" w:hAnsi="Times New Roman" w:cs="Times New Roman"/>
        </w:rPr>
        <w:t xml:space="preserve"> and l</w:t>
      </w:r>
      <w:r w:rsidR="00C86D10" w:rsidRPr="006D2720">
        <w:rPr>
          <w:rFonts w:ascii="Times New Roman" w:hAnsi="Times New Roman" w:cs="Times New Roman"/>
        </w:rPr>
        <w:t>egal basis for the OAIC’s decision</w:t>
      </w:r>
      <w:r w:rsidR="001E0AFA" w:rsidRPr="006D2720">
        <w:rPr>
          <w:rFonts w:ascii="Times New Roman" w:hAnsi="Times New Roman" w:cs="Times New Roman"/>
        </w:rPr>
        <w:t>,</w:t>
      </w:r>
      <w:r w:rsidR="00960690" w:rsidRPr="006D2720">
        <w:rPr>
          <w:rFonts w:ascii="Times New Roman" w:hAnsi="Times New Roman" w:cs="Times New Roman"/>
        </w:rPr>
        <w:t xml:space="preserve"> and can set aside, vary, or affirm the decision. </w:t>
      </w:r>
      <w:r w:rsidR="00C86D10" w:rsidRPr="006D2720">
        <w:rPr>
          <w:rFonts w:ascii="Times New Roman" w:hAnsi="Times New Roman" w:cs="Times New Roman"/>
        </w:rPr>
        <w:t>T</w:t>
      </w:r>
      <w:r w:rsidR="00960690" w:rsidRPr="006D2720">
        <w:rPr>
          <w:rFonts w:ascii="Times New Roman" w:hAnsi="Times New Roman" w:cs="Times New Roman"/>
        </w:rPr>
        <w:t>he court conducts judicial review</w:t>
      </w:r>
      <w:r w:rsidR="0019346C" w:rsidRPr="006D2720">
        <w:rPr>
          <w:rFonts w:ascii="Times New Roman" w:hAnsi="Times New Roman" w:cs="Times New Roman"/>
        </w:rPr>
        <w:t>—</w:t>
      </w:r>
      <w:r w:rsidR="00C86D10" w:rsidRPr="006D2720">
        <w:rPr>
          <w:rFonts w:ascii="Times New Roman" w:hAnsi="Times New Roman" w:cs="Times New Roman"/>
        </w:rPr>
        <w:t xml:space="preserve">meaning it only </w:t>
      </w:r>
      <w:r w:rsidR="00960690" w:rsidRPr="006D2720">
        <w:rPr>
          <w:rFonts w:ascii="Times New Roman" w:hAnsi="Times New Roman" w:cs="Times New Roman"/>
        </w:rPr>
        <w:t>determin</w:t>
      </w:r>
      <w:r w:rsidR="00C86D10" w:rsidRPr="006D2720">
        <w:rPr>
          <w:rFonts w:ascii="Times New Roman" w:hAnsi="Times New Roman" w:cs="Times New Roman"/>
        </w:rPr>
        <w:t>es</w:t>
      </w:r>
      <w:r w:rsidR="00960690" w:rsidRPr="006D2720">
        <w:rPr>
          <w:rFonts w:ascii="Times New Roman" w:hAnsi="Times New Roman" w:cs="Times New Roman"/>
        </w:rPr>
        <w:t xml:space="preserve"> whether or not the decision was </w:t>
      </w:r>
      <w:r w:rsidR="00960690" w:rsidRPr="006D2720">
        <w:rPr>
          <w:rFonts w:ascii="Times New Roman" w:hAnsi="Times New Roman" w:cs="Times New Roman"/>
          <w:i/>
          <w:iCs/>
        </w:rPr>
        <w:t>lawful</w:t>
      </w:r>
      <w:r w:rsidR="00960690" w:rsidRPr="006D2720">
        <w:rPr>
          <w:rFonts w:ascii="Times New Roman" w:hAnsi="Times New Roman" w:cs="Times New Roman"/>
        </w:rPr>
        <w:t xml:space="preserve"> </w:t>
      </w:r>
      <w:r w:rsidR="001E0AFA" w:rsidRPr="006D2720">
        <w:rPr>
          <w:rFonts w:ascii="Times New Roman" w:hAnsi="Times New Roman" w:cs="Times New Roman"/>
        </w:rPr>
        <w:t>(</w:t>
      </w:r>
      <w:r w:rsidR="00363B3E" w:rsidRPr="006D2720">
        <w:rPr>
          <w:rFonts w:ascii="Times New Roman" w:hAnsi="Times New Roman" w:cs="Times New Roman"/>
        </w:rPr>
        <w:t>for example</w:t>
      </w:r>
      <w:r w:rsidR="001E0AFA" w:rsidRPr="006D2720">
        <w:rPr>
          <w:rFonts w:ascii="Times New Roman" w:hAnsi="Times New Roman" w:cs="Times New Roman"/>
        </w:rPr>
        <w:t xml:space="preserve">, </w:t>
      </w:r>
      <w:r w:rsidR="00857B89" w:rsidRPr="006D2720">
        <w:rPr>
          <w:rFonts w:ascii="Times New Roman" w:hAnsi="Times New Roman" w:cs="Times New Roman"/>
        </w:rPr>
        <w:t>whether</w:t>
      </w:r>
      <w:r w:rsidR="002C04DD" w:rsidRPr="006D2720">
        <w:rPr>
          <w:rFonts w:ascii="Times New Roman" w:hAnsi="Times New Roman" w:cs="Times New Roman"/>
        </w:rPr>
        <w:t xml:space="preserve"> the </w:t>
      </w:r>
      <w:r w:rsidR="00C86D10" w:rsidRPr="006D2720">
        <w:rPr>
          <w:rFonts w:ascii="Times New Roman" w:hAnsi="Times New Roman" w:cs="Times New Roman"/>
        </w:rPr>
        <w:t>OA</w:t>
      </w:r>
      <w:r w:rsidR="003A3532" w:rsidRPr="006D2720">
        <w:rPr>
          <w:rFonts w:ascii="Times New Roman" w:hAnsi="Times New Roman" w:cs="Times New Roman"/>
        </w:rPr>
        <w:t>I</w:t>
      </w:r>
      <w:r w:rsidR="00C86D10" w:rsidRPr="006D2720">
        <w:rPr>
          <w:rFonts w:ascii="Times New Roman" w:hAnsi="Times New Roman" w:cs="Times New Roman"/>
        </w:rPr>
        <w:t>C</w:t>
      </w:r>
      <w:r w:rsidR="002C04DD" w:rsidRPr="006D2720">
        <w:rPr>
          <w:rFonts w:ascii="Times New Roman" w:hAnsi="Times New Roman" w:cs="Times New Roman"/>
        </w:rPr>
        <w:t xml:space="preserve"> </w:t>
      </w:r>
      <w:r w:rsidR="00C86D10" w:rsidRPr="006D2720">
        <w:rPr>
          <w:rFonts w:ascii="Times New Roman" w:hAnsi="Times New Roman" w:cs="Times New Roman"/>
        </w:rPr>
        <w:t xml:space="preserve">properly </w:t>
      </w:r>
      <w:r w:rsidR="002C04DD" w:rsidRPr="006D2720">
        <w:rPr>
          <w:rFonts w:ascii="Times New Roman" w:hAnsi="Times New Roman" w:cs="Times New Roman"/>
        </w:rPr>
        <w:t>exercise</w:t>
      </w:r>
      <w:r w:rsidR="00857B89" w:rsidRPr="006D2720">
        <w:rPr>
          <w:rFonts w:ascii="Times New Roman" w:hAnsi="Times New Roman" w:cs="Times New Roman"/>
        </w:rPr>
        <w:t>d</w:t>
      </w:r>
      <w:r w:rsidR="002C04DD" w:rsidRPr="006D2720">
        <w:rPr>
          <w:rFonts w:ascii="Times New Roman" w:hAnsi="Times New Roman" w:cs="Times New Roman"/>
        </w:rPr>
        <w:t xml:space="preserve"> </w:t>
      </w:r>
      <w:r w:rsidR="00C86D10" w:rsidRPr="006D2720">
        <w:rPr>
          <w:rFonts w:ascii="Times New Roman" w:hAnsi="Times New Roman" w:cs="Times New Roman"/>
        </w:rPr>
        <w:t xml:space="preserve">its </w:t>
      </w:r>
      <w:r w:rsidR="002C04DD" w:rsidRPr="006D2720">
        <w:rPr>
          <w:rFonts w:ascii="Times New Roman" w:hAnsi="Times New Roman" w:cs="Times New Roman"/>
        </w:rPr>
        <w:t xml:space="preserve">powers </w:t>
      </w:r>
      <w:r w:rsidR="00C86D10" w:rsidRPr="006D2720">
        <w:rPr>
          <w:rFonts w:ascii="Times New Roman" w:hAnsi="Times New Roman" w:cs="Times New Roman"/>
        </w:rPr>
        <w:t>under the law in arriving at the decision</w:t>
      </w:r>
      <w:r w:rsidR="001E0AFA" w:rsidRPr="006D2720">
        <w:rPr>
          <w:rFonts w:ascii="Times New Roman" w:hAnsi="Times New Roman" w:cs="Times New Roman"/>
        </w:rPr>
        <w:t>)</w:t>
      </w:r>
      <w:r w:rsidR="0087146E" w:rsidRPr="006D2720">
        <w:rPr>
          <w:rFonts w:ascii="Times New Roman" w:hAnsi="Times New Roman" w:cs="Times New Roman"/>
        </w:rPr>
        <w:t xml:space="preserve">, </w:t>
      </w:r>
      <w:r w:rsidR="00960690" w:rsidRPr="006D2720">
        <w:rPr>
          <w:rFonts w:ascii="Times New Roman" w:hAnsi="Times New Roman" w:cs="Times New Roman"/>
        </w:rPr>
        <w:t xml:space="preserve">not whether </w:t>
      </w:r>
      <w:r w:rsidR="00102D53" w:rsidRPr="006D2720">
        <w:rPr>
          <w:rFonts w:ascii="Times New Roman" w:hAnsi="Times New Roman" w:cs="Times New Roman"/>
        </w:rPr>
        <w:t>the decision</w:t>
      </w:r>
      <w:r w:rsidR="00960690" w:rsidRPr="006D2720">
        <w:rPr>
          <w:rFonts w:ascii="Times New Roman" w:hAnsi="Times New Roman" w:cs="Times New Roman"/>
        </w:rPr>
        <w:t xml:space="preserve"> </w:t>
      </w:r>
      <w:r w:rsidR="005B40CA" w:rsidRPr="006D2720">
        <w:rPr>
          <w:rFonts w:ascii="Times New Roman" w:hAnsi="Times New Roman" w:cs="Times New Roman"/>
        </w:rPr>
        <w:t>held merit</w:t>
      </w:r>
      <w:r w:rsidR="001E0AFA" w:rsidRPr="006D2720">
        <w:rPr>
          <w:rFonts w:ascii="Times New Roman" w:hAnsi="Times New Roman" w:cs="Times New Roman"/>
        </w:rPr>
        <w:t xml:space="preserve">. </w:t>
      </w:r>
      <w:r w:rsidR="002C04DD" w:rsidRPr="006D2720">
        <w:rPr>
          <w:rFonts w:ascii="Times New Roman" w:hAnsi="Times New Roman" w:cs="Times New Roman"/>
        </w:rPr>
        <w:t xml:space="preserve">If the review shows that the decision was </w:t>
      </w:r>
      <w:r w:rsidR="002C04DD" w:rsidRPr="006D2720">
        <w:rPr>
          <w:rFonts w:ascii="Times New Roman" w:hAnsi="Times New Roman" w:cs="Times New Roman"/>
          <w:i/>
          <w:iCs/>
        </w:rPr>
        <w:t xml:space="preserve">not </w:t>
      </w:r>
      <w:r w:rsidR="002C04DD" w:rsidRPr="006D2720">
        <w:rPr>
          <w:rFonts w:ascii="Times New Roman" w:hAnsi="Times New Roman" w:cs="Times New Roman"/>
        </w:rPr>
        <w:t xml:space="preserve">lawful, the </w:t>
      </w:r>
      <w:r w:rsidR="00102D53" w:rsidRPr="006D2720">
        <w:rPr>
          <w:rFonts w:ascii="Times New Roman" w:hAnsi="Times New Roman" w:cs="Times New Roman"/>
        </w:rPr>
        <w:t>c</w:t>
      </w:r>
      <w:r w:rsidR="002C04DD" w:rsidRPr="006D2720">
        <w:rPr>
          <w:rFonts w:ascii="Times New Roman" w:hAnsi="Times New Roman" w:cs="Times New Roman"/>
        </w:rPr>
        <w:t>ourt may refer the decision back to the OAIC for re-consideration</w:t>
      </w:r>
      <w:r w:rsidR="006C6630" w:rsidRPr="006D2720">
        <w:rPr>
          <w:rFonts w:ascii="Times New Roman" w:hAnsi="Times New Roman" w:cs="Times New Roman"/>
        </w:rPr>
        <w:t xml:space="preserve"> </w:t>
      </w:r>
      <w:r w:rsidR="00102D53" w:rsidRPr="006D2720">
        <w:rPr>
          <w:rFonts w:ascii="Times New Roman" w:hAnsi="Times New Roman" w:cs="Times New Roman"/>
        </w:rPr>
        <w:t xml:space="preserve">and decision </w:t>
      </w:r>
      <w:r w:rsidR="006C6630" w:rsidRPr="006D2720">
        <w:rPr>
          <w:rFonts w:ascii="Times New Roman" w:hAnsi="Times New Roman" w:cs="Times New Roman"/>
        </w:rPr>
        <w:t xml:space="preserve">but cannot re-make the decision </w:t>
      </w:r>
      <w:r w:rsidR="00102D53" w:rsidRPr="006D2720">
        <w:rPr>
          <w:rFonts w:ascii="Times New Roman" w:hAnsi="Times New Roman" w:cs="Times New Roman"/>
        </w:rPr>
        <w:t>itself</w:t>
      </w:r>
      <w:r w:rsidR="002C04DD" w:rsidRPr="006D2720">
        <w:rPr>
          <w:rFonts w:ascii="Times New Roman" w:hAnsi="Times New Roman" w:cs="Times New Roman"/>
        </w:rPr>
        <w:t xml:space="preserve">. </w:t>
      </w:r>
    </w:p>
    <w:p w14:paraId="425A57F0" w14:textId="5FCC4D82" w:rsidR="00442246" w:rsidRPr="006D2720" w:rsidRDefault="00C53D11" w:rsidP="00442246">
      <w:pPr>
        <w:pStyle w:val="Dotpointlist"/>
        <w:rPr>
          <w:rFonts w:ascii="Times New Roman" w:hAnsi="Times New Roman" w:cs="Times New Roman"/>
        </w:rPr>
      </w:pPr>
      <w:r w:rsidRPr="006D2720">
        <w:rPr>
          <w:rFonts w:ascii="Times New Roman" w:hAnsi="Times New Roman" w:cs="Times New Roman"/>
        </w:rPr>
        <w:t>Queensland</w:t>
      </w:r>
      <w:r w:rsidR="00442246" w:rsidRPr="006D2720">
        <w:rPr>
          <w:rFonts w:ascii="Times New Roman" w:hAnsi="Times New Roman" w:cs="Times New Roman"/>
        </w:rPr>
        <w:t xml:space="preserve">: complaints can be referred to the Queensland Civil and Administrative Tribunal </w:t>
      </w:r>
      <w:r w:rsidR="009330B9" w:rsidRPr="006D2720">
        <w:rPr>
          <w:rFonts w:ascii="Times New Roman" w:hAnsi="Times New Roman" w:cs="Times New Roman"/>
        </w:rPr>
        <w:t xml:space="preserve">for merits review </w:t>
      </w:r>
      <w:r w:rsidR="00442246" w:rsidRPr="006D2720">
        <w:rPr>
          <w:rFonts w:ascii="Times New Roman" w:hAnsi="Times New Roman" w:cs="Times New Roman"/>
        </w:rPr>
        <w:t xml:space="preserve">if mediation </w:t>
      </w:r>
      <w:r w:rsidR="000202EB" w:rsidRPr="006D2720">
        <w:rPr>
          <w:rFonts w:ascii="Times New Roman" w:hAnsi="Times New Roman" w:cs="Times New Roman"/>
        </w:rPr>
        <w:t xml:space="preserve">is </w:t>
      </w:r>
      <w:r w:rsidR="00442246" w:rsidRPr="006D2720">
        <w:rPr>
          <w:rFonts w:ascii="Times New Roman" w:hAnsi="Times New Roman" w:cs="Times New Roman"/>
        </w:rPr>
        <w:t>not reasonably likely or has not been successful.</w:t>
      </w:r>
      <w:r w:rsidR="00442246" w:rsidRPr="006D2720">
        <w:rPr>
          <w:rStyle w:val="FootnoteReference"/>
          <w:rFonts w:ascii="Times New Roman" w:hAnsi="Times New Roman" w:cs="Times New Roman"/>
        </w:rPr>
        <w:footnoteReference w:id="252"/>
      </w:r>
      <w:r w:rsidR="00442246" w:rsidRPr="006D2720">
        <w:rPr>
          <w:rFonts w:ascii="Times New Roman" w:hAnsi="Times New Roman" w:cs="Times New Roman"/>
        </w:rPr>
        <w:t xml:space="preserve"> </w:t>
      </w:r>
      <w:r w:rsidR="004876CE" w:rsidRPr="006D2720">
        <w:rPr>
          <w:rFonts w:ascii="Times New Roman" w:hAnsi="Times New Roman" w:cs="Times New Roman"/>
        </w:rPr>
        <w:t>Like conciliation, m</w:t>
      </w:r>
      <w:r w:rsidR="00442246" w:rsidRPr="006D2720">
        <w:rPr>
          <w:rFonts w:ascii="Times New Roman" w:hAnsi="Times New Roman" w:cs="Times New Roman"/>
        </w:rPr>
        <w:t xml:space="preserve">ediation is where the </w:t>
      </w:r>
      <w:r w:rsidR="00F56F01" w:rsidRPr="006D2720">
        <w:rPr>
          <w:rFonts w:ascii="Times New Roman" w:hAnsi="Times New Roman" w:cs="Times New Roman"/>
        </w:rPr>
        <w:t xml:space="preserve">Queensland Information </w:t>
      </w:r>
      <w:r w:rsidR="00442246" w:rsidRPr="006D2720">
        <w:rPr>
          <w:rFonts w:ascii="Times New Roman" w:hAnsi="Times New Roman" w:cs="Times New Roman"/>
        </w:rPr>
        <w:t>Commissioner works with the parties to help them agree on options to resolve the complaint.</w:t>
      </w:r>
    </w:p>
    <w:p w14:paraId="5D20BF7D" w14:textId="3B32645F" w:rsidR="00442246" w:rsidRPr="006D2720" w:rsidRDefault="007325C8" w:rsidP="00442246">
      <w:pPr>
        <w:pStyle w:val="Dotpointlist"/>
        <w:rPr>
          <w:rFonts w:ascii="Times New Roman" w:hAnsi="Times New Roman" w:cs="Times New Roman"/>
        </w:rPr>
      </w:pPr>
      <w:r w:rsidRPr="006D2720">
        <w:rPr>
          <w:rFonts w:ascii="Times New Roman" w:hAnsi="Times New Roman" w:cs="Times New Roman"/>
        </w:rPr>
        <w:t>V</w:t>
      </w:r>
      <w:r w:rsidR="00D17F2A" w:rsidRPr="006D2720">
        <w:rPr>
          <w:rFonts w:ascii="Times New Roman" w:hAnsi="Times New Roman" w:cs="Times New Roman"/>
        </w:rPr>
        <w:t>ictoria</w:t>
      </w:r>
      <w:r w:rsidR="00442246" w:rsidRPr="006D2720">
        <w:rPr>
          <w:rFonts w:ascii="Times New Roman" w:hAnsi="Times New Roman" w:cs="Times New Roman"/>
        </w:rPr>
        <w:t xml:space="preserve">: </w:t>
      </w:r>
      <w:r w:rsidR="00AF2C33" w:rsidRPr="006D2720">
        <w:rPr>
          <w:rFonts w:ascii="Times New Roman" w:hAnsi="Times New Roman" w:cs="Times New Roman"/>
        </w:rPr>
        <w:t xml:space="preserve">like in Queensland, </w:t>
      </w:r>
      <w:r w:rsidR="00CD7C39" w:rsidRPr="006D2720">
        <w:rPr>
          <w:rFonts w:ascii="Times New Roman" w:hAnsi="Times New Roman" w:cs="Times New Roman"/>
        </w:rPr>
        <w:t xml:space="preserve">the Victorian Information Commissioner can refer </w:t>
      </w:r>
      <w:r w:rsidR="00442246" w:rsidRPr="006D2720">
        <w:rPr>
          <w:rFonts w:ascii="Times New Roman" w:hAnsi="Times New Roman" w:cs="Times New Roman"/>
        </w:rPr>
        <w:t xml:space="preserve">complaints to the Victorian Civil and Administrative Tribunal </w:t>
      </w:r>
      <w:r w:rsidR="00CD7C39" w:rsidRPr="006D2720">
        <w:rPr>
          <w:rFonts w:ascii="Times New Roman" w:hAnsi="Times New Roman" w:cs="Times New Roman"/>
        </w:rPr>
        <w:t xml:space="preserve">for merits review </w:t>
      </w:r>
      <w:r w:rsidR="00442246" w:rsidRPr="006D2720">
        <w:rPr>
          <w:rFonts w:ascii="Times New Roman" w:hAnsi="Times New Roman" w:cs="Times New Roman"/>
        </w:rPr>
        <w:t>where conciliation</w:t>
      </w:r>
      <w:r w:rsidR="00B24886" w:rsidRPr="006D2720">
        <w:rPr>
          <w:rFonts w:ascii="Times New Roman" w:hAnsi="Times New Roman" w:cs="Times New Roman"/>
        </w:rPr>
        <w:t xml:space="preserve"> </w:t>
      </w:r>
      <w:r w:rsidR="00442246" w:rsidRPr="006D2720">
        <w:rPr>
          <w:rFonts w:ascii="Times New Roman" w:hAnsi="Times New Roman" w:cs="Times New Roman"/>
        </w:rPr>
        <w:t xml:space="preserve">is not appropriate or has failed. The Minister can also </w:t>
      </w:r>
      <w:r w:rsidR="00AF2C33" w:rsidRPr="006D2720">
        <w:rPr>
          <w:rFonts w:ascii="Times New Roman" w:hAnsi="Times New Roman" w:cs="Times New Roman"/>
        </w:rPr>
        <w:t xml:space="preserve">directly </w:t>
      </w:r>
      <w:r w:rsidR="00442246" w:rsidRPr="006D2720">
        <w:rPr>
          <w:rFonts w:ascii="Times New Roman" w:hAnsi="Times New Roman" w:cs="Times New Roman"/>
        </w:rPr>
        <w:t>refer complaints to the Tribunal.</w:t>
      </w:r>
      <w:r w:rsidR="00442246" w:rsidRPr="006D2720">
        <w:rPr>
          <w:rStyle w:val="FootnoteReference"/>
          <w:rFonts w:ascii="Times New Roman" w:hAnsi="Times New Roman" w:cs="Times New Roman"/>
        </w:rPr>
        <w:footnoteReference w:id="253"/>
      </w:r>
      <w:r w:rsidR="00442246" w:rsidRPr="006D2720">
        <w:rPr>
          <w:rFonts w:ascii="Times New Roman" w:hAnsi="Times New Roman" w:cs="Times New Roman"/>
        </w:rPr>
        <w:t xml:space="preserve">  </w:t>
      </w:r>
    </w:p>
    <w:p w14:paraId="39C2DDCB" w14:textId="7594F942" w:rsidR="00EB216C" w:rsidRPr="006D2720" w:rsidRDefault="00614884" w:rsidP="0066337D">
      <w:pPr>
        <w:pStyle w:val="Dotpointlist"/>
        <w:rPr>
          <w:rFonts w:ascii="Times New Roman" w:hAnsi="Times New Roman" w:cs="Times New Roman"/>
        </w:rPr>
      </w:pPr>
      <w:r w:rsidRPr="006D2720">
        <w:rPr>
          <w:rFonts w:ascii="Times New Roman" w:hAnsi="Times New Roman" w:cs="Times New Roman"/>
        </w:rPr>
        <w:t>NSW</w:t>
      </w:r>
      <w:r w:rsidR="00AF2C33" w:rsidRPr="006D2720">
        <w:rPr>
          <w:rFonts w:ascii="Times New Roman" w:hAnsi="Times New Roman" w:cs="Times New Roman"/>
        </w:rPr>
        <w:t>:</w:t>
      </w:r>
      <w:r w:rsidR="00067B34" w:rsidRPr="006D2720">
        <w:rPr>
          <w:rFonts w:ascii="Times New Roman" w:hAnsi="Times New Roman" w:cs="Times New Roman"/>
        </w:rPr>
        <w:t xml:space="preserve"> </w:t>
      </w:r>
      <w:r w:rsidR="00AF2C33" w:rsidRPr="006D2720">
        <w:rPr>
          <w:rFonts w:ascii="Times New Roman" w:hAnsi="Times New Roman" w:cs="Times New Roman"/>
        </w:rPr>
        <w:t xml:space="preserve">a </w:t>
      </w:r>
      <w:r w:rsidR="00BF4F6E" w:rsidRPr="006D2720">
        <w:rPr>
          <w:rFonts w:ascii="Times New Roman" w:hAnsi="Times New Roman" w:cs="Times New Roman"/>
        </w:rPr>
        <w:t xml:space="preserve">person who is aggrieved by a breach of a privacy </w:t>
      </w:r>
      <w:r w:rsidR="00AF2C33" w:rsidRPr="006D2720">
        <w:rPr>
          <w:rFonts w:ascii="Times New Roman" w:hAnsi="Times New Roman" w:cs="Times New Roman"/>
        </w:rPr>
        <w:t>obligation can</w:t>
      </w:r>
      <w:r w:rsidR="00BF4F6E" w:rsidRPr="006D2720">
        <w:rPr>
          <w:rFonts w:ascii="Times New Roman" w:hAnsi="Times New Roman" w:cs="Times New Roman"/>
        </w:rPr>
        <w:t xml:space="preserve"> seek internal review</w:t>
      </w:r>
      <w:r w:rsidR="00AF2C33" w:rsidRPr="006D2720">
        <w:rPr>
          <w:rFonts w:ascii="Times New Roman" w:hAnsi="Times New Roman" w:cs="Times New Roman"/>
        </w:rPr>
        <w:t xml:space="preserve"> (review within the agency who allegedly breached the obligation)</w:t>
      </w:r>
      <w:r w:rsidR="00986479" w:rsidRPr="006D2720">
        <w:rPr>
          <w:rFonts w:ascii="Times New Roman" w:hAnsi="Times New Roman" w:cs="Times New Roman"/>
        </w:rPr>
        <w:t xml:space="preserve">. The </w:t>
      </w:r>
      <w:r w:rsidRPr="006D2720">
        <w:rPr>
          <w:rFonts w:ascii="Times New Roman" w:hAnsi="Times New Roman" w:cs="Times New Roman"/>
        </w:rPr>
        <w:t>NSW</w:t>
      </w:r>
      <w:r w:rsidR="000F35A0" w:rsidRPr="006D2720">
        <w:rPr>
          <w:rFonts w:ascii="Times New Roman" w:hAnsi="Times New Roman" w:cs="Times New Roman"/>
        </w:rPr>
        <w:t xml:space="preserve"> Privacy </w:t>
      </w:r>
      <w:r w:rsidR="00986479" w:rsidRPr="006D2720">
        <w:rPr>
          <w:rFonts w:ascii="Times New Roman" w:hAnsi="Times New Roman" w:cs="Times New Roman"/>
        </w:rPr>
        <w:t>Commissioner is informed of the review and may make submissions</w:t>
      </w:r>
      <w:r w:rsidR="009B3C4F" w:rsidRPr="006D2720">
        <w:rPr>
          <w:rFonts w:ascii="Times New Roman" w:hAnsi="Times New Roman" w:cs="Times New Roman"/>
        </w:rPr>
        <w:t xml:space="preserve"> or carry out the review at the request of the agency.</w:t>
      </w:r>
      <w:r w:rsidR="00AF2C33" w:rsidRPr="006D2720">
        <w:rPr>
          <w:rFonts w:ascii="Times New Roman" w:hAnsi="Times New Roman" w:cs="Times New Roman"/>
        </w:rPr>
        <w:t xml:space="preserve"> Decisions from</w:t>
      </w:r>
      <w:r w:rsidR="009B3C4F" w:rsidRPr="006D2720">
        <w:rPr>
          <w:rFonts w:ascii="Times New Roman" w:hAnsi="Times New Roman" w:cs="Times New Roman"/>
        </w:rPr>
        <w:t xml:space="preserve"> </w:t>
      </w:r>
      <w:r w:rsidR="00AF2C33" w:rsidRPr="006D2720">
        <w:rPr>
          <w:rFonts w:ascii="Times New Roman" w:hAnsi="Times New Roman" w:cs="Times New Roman"/>
        </w:rPr>
        <w:t xml:space="preserve">the internal </w:t>
      </w:r>
      <w:r w:rsidR="0070644D" w:rsidRPr="006D2720">
        <w:rPr>
          <w:rFonts w:ascii="Times New Roman" w:hAnsi="Times New Roman" w:cs="Times New Roman"/>
        </w:rPr>
        <w:t xml:space="preserve">review </w:t>
      </w:r>
      <w:r w:rsidR="007F36B0" w:rsidRPr="006D2720">
        <w:rPr>
          <w:rFonts w:ascii="Times New Roman" w:hAnsi="Times New Roman" w:cs="Times New Roman"/>
        </w:rPr>
        <w:t>can</w:t>
      </w:r>
      <w:r w:rsidR="00AF2C33" w:rsidRPr="006D2720">
        <w:rPr>
          <w:rFonts w:ascii="Times New Roman" w:hAnsi="Times New Roman" w:cs="Times New Roman"/>
        </w:rPr>
        <w:t xml:space="preserve"> further</w:t>
      </w:r>
      <w:r w:rsidR="007F36B0" w:rsidRPr="006D2720">
        <w:rPr>
          <w:rFonts w:ascii="Times New Roman" w:hAnsi="Times New Roman" w:cs="Times New Roman"/>
        </w:rPr>
        <w:t xml:space="preserve"> be reviewed </w:t>
      </w:r>
      <w:r w:rsidR="00102D53" w:rsidRPr="006D2720">
        <w:rPr>
          <w:rFonts w:ascii="Times New Roman" w:hAnsi="Times New Roman" w:cs="Times New Roman"/>
        </w:rPr>
        <w:t>by</w:t>
      </w:r>
      <w:r w:rsidR="007F36B0" w:rsidRPr="006D2720">
        <w:rPr>
          <w:rFonts w:ascii="Times New Roman" w:hAnsi="Times New Roman" w:cs="Times New Roman"/>
        </w:rPr>
        <w:t xml:space="preserve"> </w:t>
      </w:r>
      <w:r w:rsidR="00AF2C33" w:rsidRPr="006D2720">
        <w:rPr>
          <w:rFonts w:ascii="Times New Roman" w:hAnsi="Times New Roman" w:cs="Times New Roman"/>
        </w:rPr>
        <w:t xml:space="preserve">the </w:t>
      </w:r>
      <w:r w:rsidRPr="006D2720">
        <w:rPr>
          <w:rFonts w:ascii="Times New Roman" w:hAnsi="Times New Roman" w:cs="Times New Roman"/>
        </w:rPr>
        <w:t>NSW</w:t>
      </w:r>
      <w:r w:rsidR="00AF2C33" w:rsidRPr="006D2720">
        <w:rPr>
          <w:rFonts w:ascii="Times New Roman" w:hAnsi="Times New Roman" w:cs="Times New Roman"/>
        </w:rPr>
        <w:t xml:space="preserve"> Civil and Administrative Tribunal</w:t>
      </w:r>
      <w:r w:rsidR="007F36B0" w:rsidRPr="006D2720">
        <w:rPr>
          <w:rFonts w:ascii="Times New Roman" w:hAnsi="Times New Roman" w:cs="Times New Roman"/>
        </w:rPr>
        <w:t xml:space="preserve">. </w:t>
      </w:r>
      <w:r w:rsidR="0070644D" w:rsidRPr="006D2720">
        <w:rPr>
          <w:rFonts w:ascii="Times New Roman" w:hAnsi="Times New Roman" w:cs="Times New Roman"/>
        </w:rPr>
        <w:t xml:space="preserve"> </w:t>
      </w:r>
    </w:p>
    <w:p w14:paraId="6DB13D24" w14:textId="6C8FAE33" w:rsidR="004C000A" w:rsidRPr="006D2720" w:rsidRDefault="00102D53" w:rsidP="00554943">
      <w:pPr>
        <w:pStyle w:val="Heading3"/>
        <w:rPr>
          <w:rFonts w:ascii="Times New Roman" w:hAnsi="Times New Roman" w:cs="Times New Roman"/>
        </w:rPr>
      </w:pPr>
      <w:r w:rsidRPr="006D2720">
        <w:rPr>
          <w:rFonts w:ascii="Times New Roman" w:hAnsi="Times New Roman" w:cs="Times New Roman"/>
        </w:rPr>
        <w:t xml:space="preserve">Under </w:t>
      </w:r>
      <w:r w:rsidR="00A4341C" w:rsidRPr="006D2720">
        <w:rPr>
          <w:rFonts w:ascii="Times New Roman" w:hAnsi="Times New Roman" w:cs="Times New Roman"/>
        </w:rPr>
        <w:t>Commonwealth</w:t>
      </w:r>
      <w:r w:rsidRPr="006D2720">
        <w:rPr>
          <w:rFonts w:ascii="Times New Roman" w:hAnsi="Times New Roman" w:cs="Times New Roman"/>
        </w:rPr>
        <w:t xml:space="preserve"> law, the</w:t>
      </w:r>
      <w:r w:rsidR="00A4341C" w:rsidRPr="006D2720">
        <w:rPr>
          <w:rFonts w:ascii="Times New Roman" w:hAnsi="Times New Roman" w:cs="Times New Roman"/>
        </w:rPr>
        <w:t xml:space="preserve"> Privacy Act also allows individuals </w:t>
      </w:r>
      <w:r w:rsidR="00CA0894" w:rsidRPr="006D2720">
        <w:rPr>
          <w:rFonts w:ascii="Times New Roman" w:hAnsi="Times New Roman" w:cs="Times New Roman"/>
        </w:rPr>
        <w:t xml:space="preserve">to </w:t>
      </w:r>
      <w:r w:rsidR="00A4341C" w:rsidRPr="006D2720">
        <w:rPr>
          <w:rFonts w:ascii="Times New Roman" w:hAnsi="Times New Roman" w:cs="Times New Roman"/>
        </w:rPr>
        <w:t xml:space="preserve">seek </w:t>
      </w:r>
      <w:r w:rsidR="00367F3F" w:rsidRPr="006D2720">
        <w:rPr>
          <w:rFonts w:ascii="Times New Roman" w:hAnsi="Times New Roman" w:cs="Times New Roman"/>
        </w:rPr>
        <w:t>an injunction in court</w:t>
      </w:r>
      <w:r w:rsidR="00837475" w:rsidRPr="006D2720">
        <w:rPr>
          <w:rFonts w:ascii="Times New Roman" w:hAnsi="Times New Roman" w:cs="Times New Roman"/>
        </w:rPr>
        <w:t xml:space="preserve">. Injunctions can restrain an entity from contravening </w:t>
      </w:r>
      <w:r w:rsidR="00737800" w:rsidRPr="006D2720">
        <w:rPr>
          <w:rFonts w:ascii="Times New Roman" w:hAnsi="Times New Roman" w:cs="Times New Roman"/>
        </w:rPr>
        <w:t xml:space="preserve">any provision in the </w:t>
      </w:r>
      <w:r w:rsidRPr="006D2720">
        <w:rPr>
          <w:rFonts w:ascii="Times New Roman" w:hAnsi="Times New Roman" w:cs="Times New Roman"/>
        </w:rPr>
        <w:t>Act or</w:t>
      </w:r>
      <w:r w:rsidR="00837475" w:rsidRPr="006D2720">
        <w:rPr>
          <w:rFonts w:ascii="Times New Roman" w:hAnsi="Times New Roman" w:cs="Times New Roman"/>
        </w:rPr>
        <w:t xml:space="preserve"> can require </w:t>
      </w:r>
      <w:r w:rsidR="004876CE" w:rsidRPr="006D2720">
        <w:rPr>
          <w:rFonts w:ascii="Times New Roman" w:hAnsi="Times New Roman" w:cs="Times New Roman"/>
        </w:rPr>
        <w:t xml:space="preserve">them to do a </w:t>
      </w:r>
      <w:r w:rsidR="00DB0D1F" w:rsidRPr="006D2720">
        <w:rPr>
          <w:rFonts w:ascii="Times New Roman" w:hAnsi="Times New Roman" w:cs="Times New Roman"/>
        </w:rPr>
        <w:t>certain</w:t>
      </w:r>
      <w:r w:rsidR="004876CE" w:rsidRPr="006D2720">
        <w:rPr>
          <w:rFonts w:ascii="Times New Roman" w:hAnsi="Times New Roman" w:cs="Times New Roman"/>
        </w:rPr>
        <w:t xml:space="preserve"> </w:t>
      </w:r>
      <w:r w:rsidR="00DB0D1F" w:rsidRPr="006D2720">
        <w:rPr>
          <w:rFonts w:ascii="Times New Roman" w:hAnsi="Times New Roman" w:cs="Times New Roman"/>
        </w:rPr>
        <w:t>thing</w:t>
      </w:r>
      <w:r w:rsidR="0049799A" w:rsidRPr="006D2720">
        <w:rPr>
          <w:rFonts w:ascii="Times New Roman" w:hAnsi="Times New Roman" w:cs="Times New Roman"/>
        </w:rPr>
        <w:t>.</w:t>
      </w:r>
      <w:r w:rsidR="0049799A" w:rsidRPr="006D2720">
        <w:rPr>
          <w:rStyle w:val="FootnoteReference"/>
          <w:rFonts w:ascii="Times New Roman" w:hAnsi="Times New Roman" w:cs="Times New Roman"/>
        </w:rPr>
        <w:footnoteReference w:id="254"/>
      </w:r>
      <w:r w:rsidR="00DA4570" w:rsidRPr="006D2720">
        <w:rPr>
          <w:rFonts w:ascii="Times New Roman" w:hAnsi="Times New Roman" w:cs="Times New Roman"/>
        </w:rPr>
        <w:t xml:space="preserve"> </w:t>
      </w:r>
    </w:p>
    <w:p w14:paraId="0188518F" w14:textId="780AA334" w:rsidR="003F0F10" w:rsidRPr="006D2720" w:rsidRDefault="004C000A" w:rsidP="0066337D">
      <w:pPr>
        <w:pStyle w:val="Heading3"/>
        <w:rPr>
          <w:rFonts w:ascii="Times New Roman" w:hAnsi="Times New Roman" w:cs="Times New Roman"/>
        </w:rPr>
      </w:pPr>
      <w:r w:rsidRPr="006D2720">
        <w:rPr>
          <w:rFonts w:ascii="Times New Roman" w:hAnsi="Times New Roman" w:cs="Times New Roman"/>
        </w:rPr>
        <w:t xml:space="preserve">Other than injunctions, however, </w:t>
      </w:r>
      <w:r w:rsidR="00DA4570" w:rsidRPr="006D2720">
        <w:rPr>
          <w:rFonts w:ascii="Times New Roman" w:hAnsi="Times New Roman" w:cs="Times New Roman"/>
        </w:rPr>
        <w:t xml:space="preserve">there is no direct right of action to seek compensation or other orders from the </w:t>
      </w:r>
      <w:r w:rsidR="00102D53" w:rsidRPr="006D2720">
        <w:rPr>
          <w:rFonts w:ascii="Times New Roman" w:hAnsi="Times New Roman" w:cs="Times New Roman"/>
        </w:rPr>
        <w:t>c</w:t>
      </w:r>
      <w:r w:rsidR="00D931E6" w:rsidRPr="006D2720">
        <w:rPr>
          <w:rFonts w:ascii="Times New Roman" w:hAnsi="Times New Roman" w:cs="Times New Roman"/>
        </w:rPr>
        <w:t xml:space="preserve">ourt. The Privacy Act </w:t>
      </w:r>
      <w:r w:rsidR="004D568E" w:rsidRPr="006D2720">
        <w:rPr>
          <w:rFonts w:ascii="Times New Roman" w:hAnsi="Times New Roman" w:cs="Times New Roman"/>
        </w:rPr>
        <w:t>review</w:t>
      </w:r>
      <w:r w:rsidR="004D568E" w:rsidRPr="006D2720">
        <w:rPr>
          <w:rFonts w:ascii="Times New Roman" w:hAnsi="Times New Roman" w:cs="Times New Roman"/>
          <w:i/>
          <w:iCs/>
        </w:rPr>
        <w:t xml:space="preserve"> </w:t>
      </w:r>
      <w:r w:rsidR="00D931E6" w:rsidRPr="006D2720">
        <w:rPr>
          <w:rFonts w:ascii="Times New Roman" w:hAnsi="Times New Roman" w:cs="Times New Roman"/>
        </w:rPr>
        <w:t xml:space="preserve">raised the possibility of </w:t>
      </w:r>
      <w:r w:rsidR="007169F3" w:rsidRPr="006D2720">
        <w:rPr>
          <w:rFonts w:ascii="Times New Roman" w:hAnsi="Times New Roman" w:cs="Times New Roman"/>
        </w:rPr>
        <w:t xml:space="preserve">enabling individuals to </w:t>
      </w:r>
      <w:r w:rsidR="004D568E" w:rsidRPr="006D2720">
        <w:rPr>
          <w:rFonts w:ascii="Times New Roman" w:hAnsi="Times New Roman" w:cs="Times New Roman"/>
        </w:rPr>
        <w:t xml:space="preserve">go to court to seek </w:t>
      </w:r>
      <w:r w:rsidR="00FE59BB" w:rsidRPr="006D2720">
        <w:rPr>
          <w:rFonts w:ascii="Times New Roman" w:hAnsi="Times New Roman" w:cs="Times New Roman"/>
        </w:rPr>
        <w:t>damages for</w:t>
      </w:r>
      <w:r w:rsidR="004D70DE" w:rsidRPr="006D2720">
        <w:rPr>
          <w:rFonts w:ascii="Times New Roman" w:hAnsi="Times New Roman" w:cs="Times New Roman"/>
        </w:rPr>
        <w:t xml:space="preserve"> privacy</w:t>
      </w:r>
      <w:r w:rsidR="00FE59BB" w:rsidRPr="006D2720">
        <w:rPr>
          <w:rFonts w:ascii="Times New Roman" w:hAnsi="Times New Roman" w:cs="Times New Roman"/>
        </w:rPr>
        <w:t xml:space="preserve"> interferences </w:t>
      </w:r>
      <w:r w:rsidR="000B5345" w:rsidRPr="006D2720">
        <w:rPr>
          <w:rFonts w:ascii="Times New Roman" w:hAnsi="Times New Roman" w:cs="Times New Roman"/>
        </w:rPr>
        <w:t>under th</w:t>
      </w:r>
      <w:r w:rsidR="00102D53" w:rsidRPr="006D2720">
        <w:rPr>
          <w:rFonts w:ascii="Times New Roman" w:hAnsi="Times New Roman" w:cs="Times New Roman"/>
        </w:rPr>
        <w:t>e</w:t>
      </w:r>
      <w:r w:rsidR="000B5345" w:rsidRPr="006D2720">
        <w:rPr>
          <w:rFonts w:ascii="Times New Roman" w:hAnsi="Times New Roman" w:cs="Times New Roman"/>
        </w:rPr>
        <w:t xml:space="preserve"> Act.</w:t>
      </w:r>
      <w:r w:rsidR="000B5345" w:rsidRPr="006D2720">
        <w:rPr>
          <w:rStyle w:val="FootnoteReference"/>
          <w:rFonts w:ascii="Times New Roman" w:hAnsi="Times New Roman" w:cs="Times New Roman"/>
        </w:rPr>
        <w:footnoteReference w:id="255"/>
      </w:r>
      <w:r w:rsidR="00FE59BB" w:rsidRPr="006D2720">
        <w:rPr>
          <w:rFonts w:ascii="Times New Roman" w:hAnsi="Times New Roman" w:cs="Times New Roman"/>
        </w:rPr>
        <w:t xml:space="preserve"> </w:t>
      </w:r>
      <w:r w:rsidR="00A277C7" w:rsidRPr="006D2720">
        <w:rPr>
          <w:rFonts w:ascii="Times New Roman" w:hAnsi="Times New Roman" w:cs="Times New Roman"/>
        </w:rPr>
        <w:t>The</w:t>
      </w:r>
      <w:r w:rsidRPr="006D2720">
        <w:rPr>
          <w:rFonts w:ascii="Times New Roman" w:hAnsi="Times New Roman" w:cs="Times New Roman"/>
        </w:rPr>
        <w:t xml:space="preserve"> </w:t>
      </w:r>
      <w:r w:rsidR="00D73ABB" w:rsidRPr="006D2720">
        <w:rPr>
          <w:rFonts w:ascii="Times New Roman" w:hAnsi="Times New Roman" w:cs="Times New Roman"/>
        </w:rPr>
        <w:t>ACCC</w:t>
      </w:r>
      <w:r w:rsidR="001C241E" w:rsidRPr="006D2720">
        <w:rPr>
          <w:rFonts w:ascii="Times New Roman" w:hAnsi="Times New Roman" w:cs="Times New Roman"/>
        </w:rPr>
        <w:t xml:space="preserve"> </w:t>
      </w:r>
      <w:r w:rsidR="00A277C7" w:rsidRPr="006D2720">
        <w:rPr>
          <w:rFonts w:ascii="Times New Roman" w:hAnsi="Times New Roman" w:cs="Times New Roman"/>
        </w:rPr>
        <w:t>made similar recommendations</w:t>
      </w:r>
      <w:r w:rsidR="00F45621" w:rsidRPr="006D2720">
        <w:rPr>
          <w:rFonts w:ascii="Times New Roman" w:hAnsi="Times New Roman" w:cs="Times New Roman"/>
        </w:rPr>
        <w:t xml:space="preserve"> </w:t>
      </w:r>
      <w:r w:rsidR="00102D53" w:rsidRPr="006D2720">
        <w:rPr>
          <w:rFonts w:ascii="Times New Roman" w:hAnsi="Times New Roman" w:cs="Times New Roman"/>
        </w:rPr>
        <w:t xml:space="preserve">concerning </w:t>
      </w:r>
      <w:r w:rsidR="00F45621" w:rsidRPr="006D2720">
        <w:rPr>
          <w:rFonts w:ascii="Times New Roman" w:hAnsi="Times New Roman" w:cs="Times New Roman"/>
        </w:rPr>
        <w:t>damages for financial and non-financial harm suffered as a result of the interference.</w:t>
      </w:r>
      <w:r w:rsidR="00CA0894" w:rsidRPr="006D2720">
        <w:rPr>
          <w:rStyle w:val="FootnoteReference"/>
          <w:rFonts w:ascii="Times New Roman" w:hAnsi="Times New Roman" w:cs="Times New Roman"/>
        </w:rPr>
        <w:footnoteReference w:id="256"/>
      </w:r>
      <w:r w:rsidR="00C90AFA" w:rsidRPr="006D2720">
        <w:rPr>
          <w:rFonts w:ascii="Times New Roman" w:hAnsi="Times New Roman" w:cs="Times New Roman"/>
        </w:rPr>
        <w:t xml:space="preserve"> </w:t>
      </w:r>
      <w:r w:rsidR="00053504" w:rsidRPr="006D2720">
        <w:rPr>
          <w:rFonts w:ascii="Times New Roman" w:hAnsi="Times New Roman" w:cs="Times New Roman"/>
        </w:rPr>
        <w:t>I</w:t>
      </w:r>
      <w:r w:rsidR="00500197" w:rsidRPr="006D2720">
        <w:rPr>
          <w:rFonts w:ascii="Times New Roman" w:hAnsi="Times New Roman" w:cs="Times New Roman"/>
        </w:rPr>
        <w:t xml:space="preserve">n its submission to the </w:t>
      </w:r>
      <w:r w:rsidR="00CA0894" w:rsidRPr="006D2720">
        <w:rPr>
          <w:rFonts w:ascii="Times New Roman" w:hAnsi="Times New Roman" w:cs="Times New Roman"/>
        </w:rPr>
        <w:t>Privacy Act</w:t>
      </w:r>
      <w:r w:rsidR="00896EA6" w:rsidRPr="006D2720">
        <w:rPr>
          <w:rFonts w:ascii="Times New Roman" w:hAnsi="Times New Roman" w:cs="Times New Roman"/>
          <w:i/>
          <w:iCs/>
        </w:rPr>
        <w:t xml:space="preserve"> </w:t>
      </w:r>
      <w:r w:rsidR="00896EA6" w:rsidRPr="006D2720">
        <w:rPr>
          <w:rFonts w:ascii="Times New Roman" w:hAnsi="Times New Roman" w:cs="Times New Roman"/>
        </w:rPr>
        <w:t>review</w:t>
      </w:r>
      <w:r w:rsidR="00500197" w:rsidRPr="006D2720">
        <w:rPr>
          <w:rFonts w:ascii="Times New Roman" w:hAnsi="Times New Roman" w:cs="Times New Roman"/>
        </w:rPr>
        <w:t xml:space="preserve">, </w:t>
      </w:r>
      <w:r w:rsidR="00053504" w:rsidRPr="006D2720">
        <w:rPr>
          <w:rFonts w:ascii="Times New Roman" w:hAnsi="Times New Roman" w:cs="Times New Roman"/>
        </w:rPr>
        <w:t xml:space="preserve">the OAIC </w:t>
      </w:r>
      <w:r w:rsidR="00C90AFA" w:rsidRPr="006D2720">
        <w:rPr>
          <w:rFonts w:ascii="Times New Roman" w:hAnsi="Times New Roman" w:cs="Times New Roman"/>
        </w:rPr>
        <w:t>agreed</w:t>
      </w:r>
      <w:r w:rsidR="00D77BE5" w:rsidRPr="006D2720">
        <w:rPr>
          <w:rFonts w:ascii="Times New Roman" w:hAnsi="Times New Roman" w:cs="Times New Roman"/>
        </w:rPr>
        <w:t xml:space="preserve"> and made </w:t>
      </w:r>
      <w:r w:rsidR="00EA6241" w:rsidRPr="006D2720">
        <w:rPr>
          <w:rFonts w:ascii="Times New Roman" w:hAnsi="Times New Roman" w:cs="Times New Roman"/>
        </w:rPr>
        <w:t xml:space="preserve">further </w:t>
      </w:r>
      <w:r w:rsidR="00BA27DA" w:rsidRPr="006D2720">
        <w:rPr>
          <w:rFonts w:ascii="Times New Roman" w:hAnsi="Times New Roman" w:cs="Times New Roman"/>
        </w:rPr>
        <w:t>suggestions</w:t>
      </w:r>
      <w:r w:rsidR="00EA6241" w:rsidRPr="006D2720">
        <w:rPr>
          <w:rFonts w:ascii="Times New Roman" w:hAnsi="Times New Roman" w:cs="Times New Roman"/>
        </w:rPr>
        <w:t xml:space="preserve"> </w:t>
      </w:r>
      <w:r w:rsidR="00927C96" w:rsidRPr="006D2720">
        <w:rPr>
          <w:rFonts w:ascii="Times New Roman" w:hAnsi="Times New Roman" w:cs="Times New Roman"/>
        </w:rPr>
        <w:t>on how such a right might be framed.</w:t>
      </w:r>
      <w:r w:rsidR="00927C96" w:rsidRPr="006D2720">
        <w:rPr>
          <w:rStyle w:val="FootnoteReference"/>
          <w:rFonts w:ascii="Times New Roman" w:hAnsi="Times New Roman" w:cs="Times New Roman"/>
        </w:rPr>
        <w:footnoteReference w:id="257"/>
      </w:r>
    </w:p>
    <w:p w14:paraId="59D23181" w14:textId="54C55894" w:rsidR="00E155E3" w:rsidRPr="006D2720" w:rsidRDefault="00E155E3" w:rsidP="00CA1A69">
      <w:pPr>
        <w:pStyle w:val="Heading2"/>
        <w:numPr>
          <w:ilvl w:val="0"/>
          <w:numId w:val="0"/>
        </w:numPr>
        <w:ind w:left="578" w:hanging="578"/>
        <w:rPr>
          <w:rFonts w:ascii="Times New Roman" w:hAnsi="Times New Roman" w:cs="Times New Roman"/>
          <w:i/>
          <w:iCs/>
        </w:rPr>
      </w:pPr>
      <w:bookmarkStart w:id="318" w:name="_Toc91832007"/>
      <w:bookmarkStart w:id="319" w:name="_Toc130540441"/>
      <w:r w:rsidRPr="006D2720">
        <w:rPr>
          <w:rFonts w:ascii="Times New Roman" w:hAnsi="Times New Roman" w:cs="Times New Roman"/>
          <w:i/>
          <w:iCs/>
        </w:rPr>
        <w:t>Other regulatory action</w:t>
      </w:r>
      <w:bookmarkEnd w:id="318"/>
      <w:bookmarkEnd w:id="319"/>
    </w:p>
    <w:p w14:paraId="5DDC9C12" w14:textId="77777777" w:rsidR="005E110C" w:rsidRPr="006D2720" w:rsidRDefault="005E110C" w:rsidP="005E110C">
      <w:pPr>
        <w:rPr>
          <w:rFonts w:ascii="Times New Roman" w:hAnsi="Times New Roman" w:cs="Times New Roman"/>
          <w:b/>
          <w:bCs/>
          <w:i/>
          <w:iCs/>
        </w:rPr>
      </w:pPr>
      <w:r w:rsidRPr="006D2720">
        <w:rPr>
          <w:rFonts w:ascii="Times New Roman" w:hAnsi="Times New Roman" w:cs="Times New Roman"/>
          <w:b/>
          <w:bCs/>
          <w:i/>
          <w:iCs/>
        </w:rPr>
        <w:t>Privacy Impact Assessments</w:t>
      </w:r>
    </w:p>
    <w:p w14:paraId="735C438A" w14:textId="3BD9D41E" w:rsidR="005E110C" w:rsidRPr="006D2720" w:rsidRDefault="00102D53" w:rsidP="0066337D">
      <w:pPr>
        <w:pStyle w:val="Heading3"/>
        <w:rPr>
          <w:rFonts w:ascii="Times New Roman" w:hAnsi="Times New Roman" w:cs="Times New Roman"/>
        </w:rPr>
      </w:pPr>
      <w:r w:rsidRPr="006D2720">
        <w:rPr>
          <w:rFonts w:ascii="Times New Roman" w:hAnsi="Times New Roman" w:cs="Times New Roman"/>
        </w:rPr>
        <w:t>Under Commonwealth law, t</w:t>
      </w:r>
      <w:r w:rsidR="005F4BB6" w:rsidRPr="006D2720">
        <w:rPr>
          <w:rFonts w:ascii="Times New Roman" w:hAnsi="Times New Roman" w:cs="Times New Roman"/>
        </w:rPr>
        <w:t>he OA</w:t>
      </w:r>
      <w:r w:rsidR="003A3532" w:rsidRPr="006D2720">
        <w:rPr>
          <w:rFonts w:ascii="Times New Roman" w:hAnsi="Times New Roman" w:cs="Times New Roman"/>
        </w:rPr>
        <w:t>I</w:t>
      </w:r>
      <w:r w:rsidR="005F4BB6" w:rsidRPr="006D2720">
        <w:rPr>
          <w:rFonts w:ascii="Times New Roman" w:hAnsi="Times New Roman" w:cs="Times New Roman"/>
        </w:rPr>
        <w:t>C can request that government agencies undertake a privacy impact assessment</w:t>
      </w:r>
      <w:r w:rsidR="005E110C" w:rsidRPr="006D2720">
        <w:rPr>
          <w:rFonts w:ascii="Times New Roman" w:hAnsi="Times New Roman" w:cs="Times New Roman"/>
        </w:rPr>
        <w:t>.</w:t>
      </w:r>
      <w:r w:rsidR="005E110C" w:rsidRPr="006D2720">
        <w:rPr>
          <w:rStyle w:val="FootnoteReference"/>
          <w:rFonts w:ascii="Times New Roman" w:hAnsi="Times New Roman" w:cs="Times New Roman"/>
        </w:rPr>
        <w:footnoteReference w:id="258"/>
      </w:r>
      <w:r w:rsidR="005E110C" w:rsidRPr="006D2720">
        <w:rPr>
          <w:rFonts w:ascii="Times New Roman" w:hAnsi="Times New Roman" w:cs="Times New Roman"/>
        </w:rPr>
        <w:t xml:space="preserve"> </w:t>
      </w:r>
      <w:r w:rsidR="008163E2" w:rsidRPr="006D2720">
        <w:rPr>
          <w:rFonts w:ascii="Times New Roman" w:hAnsi="Times New Roman" w:cs="Times New Roman"/>
        </w:rPr>
        <w:t>This</w:t>
      </w:r>
      <w:r w:rsidR="005E110C" w:rsidRPr="006D2720">
        <w:rPr>
          <w:rFonts w:ascii="Times New Roman" w:hAnsi="Times New Roman" w:cs="Times New Roman"/>
        </w:rPr>
        <w:t xml:space="preserve"> is a written assessment that identifies </w:t>
      </w:r>
      <w:r w:rsidR="00DD5E2E" w:rsidRPr="006D2720">
        <w:rPr>
          <w:rFonts w:ascii="Times New Roman" w:hAnsi="Times New Roman" w:cs="Times New Roman"/>
        </w:rPr>
        <w:t xml:space="preserve">how an </w:t>
      </w:r>
      <w:r w:rsidR="005E110C" w:rsidRPr="006D2720">
        <w:rPr>
          <w:rFonts w:ascii="Times New Roman" w:hAnsi="Times New Roman" w:cs="Times New Roman"/>
        </w:rPr>
        <w:t xml:space="preserve">activity or function </w:t>
      </w:r>
      <w:r w:rsidR="00DD5E2E" w:rsidRPr="006D2720">
        <w:rPr>
          <w:rFonts w:ascii="Times New Roman" w:hAnsi="Times New Roman" w:cs="Times New Roman"/>
        </w:rPr>
        <w:t xml:space="preserve">will impact </w:t>
      </w:r>
      <w:r w:rsidR="005E110C" w:rsidRPr="006D2720">
        <w:rPr>
          <w:rFonts w:ascii="Times New Roman" w:hAnsi="Times New Roman" w:cs="Times New Roman"/>
        </w:rPr>
        <w:t xml:space="preserve">on </w:t>
      </w:r>
      <w:r w:rsidR="00DD5E2E" w:rsidRPr="006D2720">
        <w:rPr>
          <w:rFonts w:ascii="Times New Roman" w:hAnsi="Times New Roman" w:cs="Times New Roman"/>
        </w:rPr>
        <w:t xml:space="preserve">the </w:t>
      </w:r>
      <w:r w:rsidR="005E110C" w:rsidRPr="006D2720">
        <w:rPr>
          <w:rFonts w:ascii="Times New Roman" w:hAnsi="Times New Roman" w:cs="Times New Roman"/>
        </w:rPr>
        <w:t xml:space="preserve">privacy of individuals and </w:t>
      </w:r>
      <w:r w:rsidR="00DD5E2E" w:rsidRPr="006D2720">
        <w:rPr>
          <w:rFonts w:ascii="Times New Roman" w:hAnsi="Times New Roman" w:cs="Times New Roman"/>
        </w:rPr>
        <w:t xml:space="preserve">that </w:t>
      </w:r>
      <w:r w:rsidR="005E110C" w:rsidRPr="006D2720">
        <w:rPr>
          <w:rFonts w:ascii="Times New Roman" w:hAnsi="Times New Roman" w:cs="Times New Roman"/>
        </w:rPr>
        <w:t>sets out recommendations for managing, minimising</w:t>
      </w:r>
      <w:r w:rsidR="00CB7190" w:rsidRPr="006D2720">
        <w:rPr>
          <w:rFonts w:ascii="Times New Roman" w:hAnsi="Times New Roman" w:cs="Times New Roman"/>
        </w:rPr>
        <w:t>,</w:t>
      </w:r>
      <w:r w:rsidR="005E110C" w:rsidRPr="006D2720">
        <w:rPr>
          <w:rFonts w:ascii="Times New Roman" w:hAnsi="Times New Roman" w:cs="Times New Roman"/>
        </w:rPr>
        <w:t xml:space="preserve"> or eliminating that impact.</w:t>
      </w:r>
      <w:r w:rsidR="00BE0CEE" w:rsidRPr="006D2720">
        <w:rPr>
          <w:rStyle w:val="FootnoteReference"/>
          <w:rFonts w:ascii="Times New Roman" w:hAnsi="Times New Roman" w:cs="Times New Roman"/>
        </w:rPr>
        <w:footnoteReference w:id="259"/>
      </w:r>
      <w:r w:rsidR="005E110C" w:rsidRPr="006D2720">
        <w:rPr>
          <w:rFonts w:ascii="Times New Roman" w:hAnsi="Times New Roman" w:cs="Times New Roman"/>
        </w:rPr>
        <w:t xml:space="preserve"> Failure to comply with a direction to produce a </w:t>
      </w:r>
      <w:r w:rsidR="008163E2" w:rsidRPr="006D2720">
        <w:rPr>
          <w:rFonts w:ascii="Times New Roman" w:hAnsi="Times New Roman" w:cs="Times New Roman"/>
        </w:rPr>
        <w:t xml:space="preserve">privacy impact assessment </w:t>
      </w:r>
      <w:r w:rsidR="005E110C" w:rsidRPr="006D2720">
        <w:rPr>
          <w:rFonts w:ascii="Times New Roman" w:hAnsi="Times New Roman" w:cs="Times New Roman"/>
        </w:rPr>
        <w:t xml:space="preserve">is </w:t>
      </w:r>
      <w:r w:rsidR="008163E2" w:rsidRPr="006D2720">
        <w:rPr>
          <w:rFonts w:ascii="Times New Roman" w:hAnsi="Times New Roman" w:cs="Times New Roman"/>
        </w:rPr>
        <w:t xml:space="preserve">reported </w:t>
      </w:r>
      <w:r w:rsidR="005E110C" w:rsidRPr="006D2720">
        <w:rPr>
          <w:rFonts w:ascii="Times New Roman" w:hAnsi="Times New Roman" w:cs="Times New Roman"/>
        </w:rPr>
        <w:t>to the Minister responsible for the agency</w:t>
      </w:r>
      <w:r w:rsidR="00BE0CEE" w:rsidRPr="006D2720">
        <w:rPr>
          <w:rFonts w:ascii="Times New Roman" w:hAnsi="Times New Roman" w:cs="Times New Roman"/>
        </w:rPr>
        <w:t xml:space="preserve">. </w:t>
      </w:r>
      <w:r w:rsidR="005F46E8" w:rsidRPr="006D2720">
        <w:rPr>
          <w:rFonts w:ascii="Times New Roman" w:hAnsi="Times New Roman" w:cs="Times New Roman"/>
        </w:rPr>
        <w:t xml:space="preserve">The </w:t>
      </w:r>
      <w:r w:rsidRPr="006D2720">
        <w:rPr>
          <w:rFonts w:ascii="Times New Roman" w:hAnsi="Times New Roman" w:cs="Times New Roman"/>
        </w:rPr>
        <w:t xml:space="preserve">Tasmanian </w:t>
      </w:r>
      <w:r w:rsidR="005F46E8" w:rsidRPr="006D2720">
        <w:rPr>
          <w:rFonts w:ascii="Times New Roman" w:hAnsi="Times New Roman" w:cs="Times New Roman"/>
        </w:rPr>
        <w:t xml:space="preserve">PIPA does not contain equivalent provisions for </w:t>
      </w:r>
      <w:r w:rsidR="007F4F9C" w:rsidRPr="006D2720">
        <w:rPr>
          <w:rFonts w:ascii="Times New Roman" w:hAnsi="Times New Roman" w:cs="Times New Roman"/>
        </w:rPr>
        <w:t>such assessments</w:t>
      </w:r>
      <w:r w:rsidR="00BE0CEE" w:rsidRPr="006D2720">
        <w:rPr>
          <w:rFonts w:ascii="Times New Roman" w:hAnsi="Times New Roman" w:cs="Times New Roman"/>
        </w:rPr>
        <w:t>.</w:t>
      </w:r>
    </w:p>
    <w:p w14:paraId="610959B1" w14:textId="100222C4" w:rsidR="00552D7E" w:rsidRPr="006D2720" w:rsidRDefault="00230976" w:rsidP="00E155E3">
      <w:pPr>
        <w:rPr>
          <w:rFonts w:ascii="Times New Roman" w:hAnsi="Times New Roman" w:cs="Times New Roman"/>
          <w:b/>
          <w:bCs/>
          <w:i/>
          <w:iCs/>
        </w:rPr>
      </w:pPr>
      <w:r w:rsidRPr="006D2720">
        <w:rPr>
          <w:rFonts w:ascii="Times New Roman" w:hAnsi="Times New Roman" w:cs="Times New Roman"/>
          <w:b/>
          <w:bCs/>
          <w:i/>
          <w:iCs/>
        </w:rPr>
        <w:t xml:space="preserve">Privacy </w:t>
      </w:r>
      <w:r w:rsidR="00552D7E" w:rsidRPr="006D2720">
        <w:rPr>
          <w:rFonts w:ascii="Times New Roman" w:hAnsi="Times New Roman" w:cs="Times New Roman"/>
          <w:b/>
          <w:bCs/>
          <w:i/>
          <w:iCs/>
        </w:rPr>
        <w:t>Codes</w:t>
      </w:r>
    </w:p>
    <w:p w14:paraId="5F0AE814" w14:textId="7A6B222A" w:rsidR="00C43C35" w:rsidRPr="006D2720" w:rsidRDefault="00102D53" w:rsidP="0066337D">
      <w:pPr>
        <w:pStyle w:val="Heading3"/>
        <w:rPr>
          <w:rFonts w:ascii="Times New Roman" w:hAnsi="Times New Roman" w:cs="Times New Roman"/>
        </w:rPr>
      </w:pPr>
      <w:r w:rsidRPr="006D2720">
        <w:rPr>
          <w:rFonts w:ascii="Times New Roman" w:hAnsi="Times New Roman" w:cs="Times New Roman"/>
        </w:rPr>
        <w:t>Another possible gap under th</w:t>
      </w:r>
      <w:r w:rsidR="005E110C" w:rsidRPr="006D2720">
        <w:rPr>
          <w:rFonts w:ascii="Times New Roman" w:hAnsi="Times New Roman" w:cs="Times New Roman"/>
        </w:rPr>
        <w:t xml:space="preserve">e </w:t>
      </w:r>
      <w:r w:rsidRPr="006D2720">
        <w:rPr>
          <w:rFonts w:ascii="Times New Roman" w:hAnsi="Times New Roman" w:cs="Times New Roman"/>
        </w:rPr>
        <w:t xml:space="preserve">Tasmanian </w:t>
      </w:r>
      <w:r w:rsidR="005E110C" w:rsidRPr="006D2720">
        <w:rPr>
          <w:rFonts w:ascii="Times New Roman" w:hAnsi="Times New Roman" w:cs="Times New Roman"/>
        </w:rPr>
        <w:t>PIPA</w:t>
      </w:r>
      <w:r w:rsidRPr="006D2720">
        <w:rPr>
          <w:rFonts w:ascii="Times New Roman" w:hAnsi="Times New Roman" w:cs="Times New Roman"/>
        </w:rPr>
        <w:t xml:space="preserve"> </w:t>
      </w:r>
      <w:r w:rsidR="00BF2876" w:rsidRPr="006D2720">
        <w:rPr>
          <w:rFonts w:ascii="Times New Roman" w:hAnsi="Times New Roman" w:cs="Times New Roman"/>
        </w:rPr>
        <w:t xml:space="preserve">is ‘privacy codes’. </w:t>
      </w:r>
      <w:r w:rsidR="00FE50F8" w:rsidRPr="006D2720">
        <w:rPr>
          <w:rFonts w:ascii="Times New Roman" w:hAnsi="Times New Roman" w:cs="Times New Roman"/>
        </w:rPr>
        <w:t>These codes</w:t>
      </w:r>
      <w:r w:rsidR="00B93068" w:rsidRPr="006D2720">
        <w:rPr>
          <w:rFonts w:ascii="Times New Roman" w:hAnsi="Times New Roman" w:cs="Times New Roman"/>
        </w:rPr>
        <w:t xml:space="preserve"> </w:t>
      </w:r>
      <w:r w:rsidR="00891F6F" w:rsidRPr="006D2720">
        <w:rPr>
          <w:rFonts w:ascii="Times New Roman" w:hAnsi="Times New Roman" w:cs="Times New Roman"/>
        </w:rPr>
        <w:t xml:space="preserve">of practice </w:t>
      </w:r>
      <w:r w:rsidR="00B93068" w:rsidRPr="006D2720">
        <w:rPr>
          <w:rFonts w:ascii="Times New Roman" w:hAnsi="Times New Roman" w:cs="Times New Roman"/>
        </w:rPr>
        <w:t>augment privacy principles</w:t>
      </w:r>
      <w:r w:rsidR="003574DA" w:rsidRPr="006D2720">
        <w:rPr>
          <w:rFonts w:ascii="Times New Roman" w:hAnsi="Times New Roman" w:cs="Times New Roman"/>
        </w:rPr>
        <w:t xml:space="preserve"> </w:t>
      </w:r>
      <w:r w:rsidR="005E110C" w:rsidRPr="006D2720">
        <w:rPr>
          <w:rFonts w:ascii="Times New Roman" w:hAnsi="Times New Roman" w:cs="Times New Roman"/>
        </w:rPr>
        <w:t xml:space="preserve">and </w:t>
      </w:r>
      <w:r w:rsidR="003574DA" w:rsidRPr="006D2720">
        <w:rPr>
          <w:rFonts w:ascii="Times New Roman" w:hAnsi="Times New Roman" w:cs="Times New Roman"/>
        </w:rPr>
        <w:t>provide greater transparency</w:t>
      </w:r>
      <w:r w:rsidR="00F77D1D" w:rsidRPr="006D2720">
        <w:rPr>
          <w:rFonts w:ascii="Times New Roman" w:hAnsi="Times New Roman" w:cs="Times New Roman"/>
        </w:rPr>
        <w:t xml:space="preserve"> </w:t>
      </w:r>
      <w:r w:rsidR="008921DA" w:rsidRPr="006D2720">
        <w:rPr>
          <w:rFonts w:ascii="Times New Roman" w:hAnsi="Times New Roman" w:cs="Times New Roman"/>
        </w:rPr>
        <w:t xml:space="preserve">on how </w:t>
      </w:r>
      <w:r w:rsidR="00F77D1D" w:rsidRPr="006D2720">
        <w:rPr>
          <w:rFonts w:ascii="Times New Roman" w:hAnsi="Times New Roman" w:cs="Times New Roman"/>
        </w:rPr>
        <w:t>personal information is handled</w:t>
      </w:r>
      <w:r w:rsidR="005F025F" w:rsidRPr="006D2720">
        <w:rPr>
          <w:rFonts w:ascii="Times New Roman" w:hAnsi="Times New Roman" w:cs="Times New Roman"/>
        </w:rPr>
        <w:t xml:space="preserve">. </w:t>
      </w:r>
      <w:r w:rsidR="00D32C81" w:rsidRPr="006D2720">
        <w:rPr>
          <w:rFonts w:ascii="Times New Roman" w:hAnsi="Times New Roman" w:cs="Times New Roman"/>
        </w:rPr>
        <w:t xml:space="preserve">A breach of </w:t>
      </w:r>
      <w:r w:rsidR="00041012" w:rsidRPr="006D2720">
        <w:rPr>
          <w:rFonts w:ascii="Times New Roman" w:hAnsi="Times New Roman" w:cs="Times New Roman"/>
        </w:rPr>
        <w:t>a</w:t>
      </w:r>
      <w:r w:rsidR="00D32C81" w:rsidRPr="006D2720">
        <w:rPr>
          <w:rFonts w:ascii="Times New Roman" w:hAnsi="Times New Roman" w:cs="Times New Roman"/>
        </w:rPr>
        <w:t xml:space="preserve"> code </w:t>
      </w:r>
      <w:r w:rsidR="008333F5" w:rsidRPr="006D2720">
        <w:rPr>
          <w:rFonts w:ascii="Times New Roman" w:hAnsi="Times New Roman" w:cs="Times New Roman"/>
        </w:rPr>
        <w:t xml:space="preserve">generally has the same legal effect as a </w:t>
      </w:r>
      <w:r w:rsidR="00D32C81" w:rsidRPr="006D2720">
        <w:rPr>
          <w:rFonts w:ascii="Times New Roman" w:hAnsi="Times New Roman" w:cs="Times New Roman"/>
        </w:rPr>
        <w:t>breach of the privacy principles.</w:t>
      </w:r>
      <w:r w:rsidR="00D63B5A" w:rsidRPr="006D2720">
        <w:rPr>
          <w:rFonts w:ascii="Times New Roman" w:hAnsi="Times New Roman" w:cs="Times New Roman"/>
        </w:rPr>
        <w:t xml:space="preserve"> </w:t>
      </w:r>
      <w:r w:rsidR="00BF2876" w:rsidRPr="006D2720">
        <w:rPr>
          <w:rFonts w:ascii="Times New Roman" w:hAnsi="Times New Roman" w:cs="Times New Roman"/>
        </w:rPr>
        <w:t>Commonwealth, NSW, and Victorian privacy legislation provide for mechanisms to develop and approve privacy codes.</w:t>
      </w:r>
    </w:p>
    <w:p w14:paraId="117C7673" w14:textId="48A2611B" w:rsidR="00B366C9" w:rsidRPr="006D2720" w:rsidRDefault="003D36FF" w:rsidP="0066337D">
      <w:pPr>
        <w:pStyle w:val="Heading3"/>
        <w:rPr>
          <w:rFonts w:ascii="Times New Roman" w:hAnsi="Times New Roman" w:cs="Times New Roman"/>
        </w:rPr>
      </w:pPr>
      <w:r w:rsidRPr="006D2720">
        <w:rPr>
          <w:rFonts w:ascii="Times New Roman" w:hAnsi="Times New Roman" w:cs="Times New Roman"/>
        </w:rPr>
        <w:t>Under</w:t>
      </w:r>
      <w:r w:rsidR="00025630" w:rsidRPr="006D2720">
        <w:rPr>
          <w:rFonts w:ascii="Times New Roman" w:hAnsi="Times New Roman" w:cs="Times New Roman"/>
        </w:rPr>
        <w:t xml:space="preserve"> </w:t>
      </w:r>
      <w:r w:rsidR="005147F3" w:rsidRPr="006D2720">
        <w:rPr>
          <w:rFonts w:ascii="Times New Roman" w:hAnsi="Times New Roman" w:cs="Times New Roman"/>
        </w:rPr>
        <w:t xml:space="preserve">the Commonwealth </w:t>
      </w:r>
      <w:r w:rsidR="005147F3" w:rsidRPr="006D2720">
        <w:rPr>
          <w:rFonts w:ascii="Times New Roman" w:hAnsi="Times New Roman" w:cs="Times New Roman"/>
          <w:bCs w:val="0"/>
        </w:rPr>
        <w:t>Privacy Act</w:t>
      </w:r>
      <w:r w:rsidR="00025630" w:rsidRPr="006D2720">
        <w:rPr>
          <w:rFonts w:ascii="Times New Roman" w:hAnsi="Times New Roman" w:cs="Times New Roman"/>
        </w:rPr>
        <w:t>,</w:t>
      </w:r>
      <w:r w:rsidR="00025630" w:rsidRPr="006D2720">
        <w:rPr>
          <w:rFonts w:ascii="Times New Roman" w:hAnsi="Times New Roman" w:cs="Times New Roman"/>
          <w:i/>
          <w:iCs/>
        </w:rPr>
        <w:t xml:space="preserve"> </w:t>
      </w:r>
      <w:r w:rsidR="009D6C57" w:rsidRPr="006D2720">
        <w:rPr>
          <w:rFonts w:ascii="Times New Roman" w:hAnsi="Times New Roman" w:cs="Times New Roman"/>
        </w:rPr>
        <w:t>codes of practice about information privacy may be developed by the OAIC directly,</w:t>
      </w:r>
      <w:r w:rsidR="009D6C57" w:rsidRPr="006D2720">
        <w:rPr>
          <w:rStyle w:val="FootnoteReference"/>
          <w:rFonts w:ascii="Times New Roman" w:hAnsi="Times New Roman" w:cs="Times New Roman"/>
        </w:rPr>
        <w:footnoteReference w:id="260"/>
      </w:r>
      <w:r w:rsidR="009D6C57" w:rsidRPr="006D2720">
        <w:rPr>
          <w:rFonts w:ascii="Times New Roman" w:hAnsi="Times New Roman" w:cs="Times New Roman"/>
        </w:rPr>
        <w:t xml:space="preserve"> or by entities either on their own initiative or upon request by the </w:t>
      </w:r>
      <w:r w:rsidR="007626A9" w:rsidRPr="006D2720">
        <w:rPr>
          <w:rFonts w:ascii="Times New Roman" w:hAnsi="Times New Roman" w:cs="Times New Roman"/>
        </w:rPr>
        <w:t xml:space="preserve">Australian Information </w:t>
      </w:r>
      <w:r w:rsidR="009D6C57" w:rsidRPr="006D2720">
        <w:rPr>
          <w:rFonts w:ascii="Times New Roman" w:hAnsi="Times New Roman" w:cs="Times New Roman"/>
        </w:rPr>
        <w:t>Commissioner.</w:t>
      </w:r>
      <w:r w:rsidR="009D6C57" w:rsidRPr="006D2720">
        <w:rPr>
          <w:rStyle w:val="FootnoteReference"/>
          <w:rFonts w:ascii="Times New Roman" w:hAnsi="Times New Roman" w:cs="Times New Roman"/>
        </w:rPr>
        <w:footnoteReference w:id="261"/>
      </w:r>
      <w:r w:rsidR="009D6C57" w:rsidRPr="006D2720">
        <w:rPr>
          <w:rFonts w:ascii="Times New Roman" w:hAnsi="Times New Roman" w:cs="Times New Roman"/>
        </w:rPr>
        <w:t xml:space="preserve"> </w:t>
      </w:r>
      <w:r w:rsidR="000D1B77" w:rsidRPr="006D2720">
        <w:rPr>
          <w:rFonts w:ascii="Times New Roman" w:hAnsi="Times New Roman" w:cs="Times New Roman"/>
        </w:rPr>
        <w:t>The codes</w:t>
      </w:r>
      <w:r w:rsidR="009D6C57" w:rsidRPr="006D2720">
        <w:rPr>
          <w:rFonts w:ascii="Times New Roman" w:hAnsi="Times New Roman" w:cs="Times New Roman"/>
        </w:rPr>
        <w:t xml:space="preserve"> set out how one or more APPs are to be applied or complied with, and </w:t>
      </w:r>
      <w:r w:rsidR="009D6C57" w:rsidRPr="006D2720">
        <w:rPr>
          <w:rFonts w:ascii="Times New Roman" w:hAnsi="Times New Roman" w:cs="Times New Roman"/>
          <w:color w:val="000000" w:themeColor="text1"/>
        </w:rPr>
        <w:t>may also impose additional requirements</w:t>
      </w:r>
      <w:r w:rsidR="009D6C57" w:rsidRPr="006D2720">
        <w:rPr>
          <w:rFonts w:ascii="Times New Roman" w:hAnsi="Times New Roman" w:cs="Times New Roman"/>
        </w:rPr>
        <w:t>.</w:t>
      </w:r>
      <w:r w:rsidR="009D6C57" w:rsidRPr="006D2720">
        <w:rPr>
          <w:rStyle w:val="FootnoteReference"/>
          <w:rFonts w:ascii="Times New Roman" w:hAnsi="Times New Roman" w:cs="Times New Roman"/>
        </w:rPr>
        <w:footnoteReference w:id="262"/>
      </w:r>
      <w:r w:rsidR="009D6C57" w:rsidRPr="006D2720">
        <w:rPr>
          <w:rFonts w:ascii="Times New Roman" w:hAnsi="Times New Roman" w:cs="Times New Roman"/>
        </w:rPr>
        <w:t xml:space="preserve"> </w:t>
      </w:r>
      <w:r w:rsidR="00891F6F" w:rsidRPr="006D2720">
        <w:rPr>
          <w:rFonts w:ascii="Times New Roman" w:hAnsi="Times New Roman" w:cs="Times New Roman"/>
        </w:rPr>
        <w:t>The Commissioner registers a</w:t>
      </w:r>
      <w:r w:rsidR="009D6C57" w:rsidRPr="006D2720">
        <w:rPr>
          <w:rFonts w:ascii="Times New Roman" w:hAnsi="Times New Roman" w:cs="Times New Roman"/>
        </w:rPr>
        <w:t xml:space="preserve">pproved codes on </w:t>
      </w:r>
      <w:r w:rsidR="00891F6F" w:rsidRPr="006D2720">
        <w:rPr>
          <w:rFonts w:ascii="Times New Roman" w:hAnsi="Times New Roman" w:cs="Times New Roman"/>
        </w:rPr>
        <w:t xml:space="preserve">the </w:t>
      </w:r>
      <w:r w:rsidR="009D6C57" w:rsidRPr="006D2720">
        <w:rPr>
          <w:rFonts w:ascii="Times New Roman" w:hAnsi="Times New Roman" w:cs="Times New Roman"/>
        </w:rPr>
        <w:t>Codes Register.</w:t>
      </w:r>
      <w:r w:rsidR="000D1B77" w:rsidRPr="006D2720">
        <w:rPr>
          <w:rStyle w:val="FootnoteReference"/>
          <w:rFonts w:ascii="Times New Roman" w:hAnsi="Times New Roman" w:cs="Times New Roman"/>
        </w:rPr>
        <w:footnoteReference w:id="263"/>
      </w:r>
      <w:r w:rsidR="009D6C57" w:rsidRPr="006D2720">
        <w:rPr>
          <w:rFonts w:ascii="Times New Roman" w:hAnsi="Times New Roman" w:cs="Times New Roman"/>
        </w:rPr>
        <w:t xml:space="preserve"> </w:t>
      </w:r>
      <w:r w:rsidR="005E110C" w:rsidRPr="006D2720">
        <w:rPr>
          <w:rFonts w:ascii="Times New Roman" w:hAnsi="Times New Roman" w:cs="Times New Roman"/>
        </w:rPr>
        <w:t>As of 1 October 2021</w:t>
      </w:r>
      <w:r w:rsidR="00D40FA2" w:rsidRPr="006D2720">
        <w:rPr>
          <w:rFonts w:ascii="Times New Roman" w:hAnsi="Times New Roman" w:cs="Times New Roman"/>
        </w:rPr>
        <w:t>,</w:t>
      </w:r>
      <w:r w:rsidR="005E110C" w:rsidRPr="006D2720">
        <w:rPr>
          <w:rFonts w:ascii="Times New Roman" w:hAnsi="Times New Roman" w:cs="Times New Roman"/>
        </w:rPr>
        <w:t xml:space="preserve"> there were </w:t>
      </w:r>
      <w:r w:rsidR="00427F44" w:rsidRPr="006D2720">
        <w:rPr>
          <w:rFonts w:ascii="Times New Roman" w:hAnsi="Times New Roman" w:cs="Times New Roman"/>
        </w:rPr>
        <w:t>three registered privacy codes</w:t>
      </w:r>
      <w:r w:rsidR="00201771" w:rsidRPr="006D2720">
        <w:rPr>
          <w:rFonts w:ascii="Times New Roman" w:hAnsi="Times New Roman" w:cs="Times New Roman"/>
        </w:rPr>
        <w:t>.</w:t>
      </w:r>
      <w:r w:rsidR="00457A17" w:rsidRPr="006D2720">
        <w:rPr>
          <w:rStyle w:val="FootnoteReference"/>
          <w:rFonts w:ascii="Times New Roman" w:hAnsi="Times New Roman" w:cs="Times New Roman"/>
        </w:rPr>
        <w:footnoteReference w:id="264"/>
      </w:r>
      <w:r w:rsidR="00DB2758" w:rsidRPr="006D2720">
        <w:rPr>
          <w:rFonts w:ascii="Times New Roman" w:hAnsi="Times New Roman" w:cs="Times New Roman"/>
        </w:rPr>
        <w:t xml:space="preserve"> </w:t>
      </w:r>
      <w:r w:rsidR="00322C71" w:rsidRPr="006D2720">
        <w:rPr>
          <w:rFonts w:ascii="Times New Roman" w:hAnsi="Times New Roman" w:cs="Times New Roman"/>
        </w:rPr>
        <w:t xml:space="preserve">One example is the </w:t>
      </w:r>
      <w:r w:rsidR="00427F44" w:rsidRPr="006D2720">
        <w:rPr>
          <w:rFonts w:ascii="Times New Roman" w:hAnsi="Times New Roman" w:cs="Times New Roman"/>
          <w:i/>
          <w:iCs/>
        </w:rPr>
        <w:t xml:space="preserve">Privacy (Australian Government Agencies </w:t>
      </w:r>
      <w:r w:rsidR="00875735" w:rsidRPr="006D2720">
        <w:rPr>
          <w:rFonts w:ascii="Times New Roman" w:hAnsi="Times New Roman" w:cs="Times New Roman"/>
          <w:i/>
          <w:iCs/>
        </w:rPr>
        <w:t xml:space="preserve">– </w:t>
      </w:r>
      <w:r w:rsidR="00427F44" w:rsidRPr="006D2720">
        <w:rPr>
          <w:rFonts w:ascii="Times New Roman" w:hAnsi="Times New Roman" w:cs="Times New Roman"/>
          <w:i/>
          <w:iCs/>
        </w:rPr>
        <w:t>Governance) APP Code 2017</w:t>
      </w:r>
      <w:r w:rsidR="00322C71" w:rsidRPr="006D2720">
        <w:rPr>
          <w:rFonts w:ascii="Times New Roman" w:hAnsi="Times New Roman" w:cs="Times New Roman"/>
        </w:rPr>
        <w:t>,</w:t>
      </w:r>
      <w:r w:rsidR="007B296D" w:rsidRPr="006D2720">
        <w:rPr>
          <w:rFonts w:ascii="Times New Roman" w:hAnsi="Times New Roman" w:cs="Times New Roman"/>
        </w:rPr>
        <w:t xml:space="preserve"> </w:t>
      </w:r>
      <w:r w:rsidR="00322C71" w:rsidRPr="006D2720">
        <w:rPr>
          <w:rFonts w:ascii="Times New Roman" w:hAnsi="Times New Roman" w:cs="Times New Roman"/>
        </w:rPr>
        <w:t xml:space="preserve">discussed above at </w:t>
      </w:r>
      <w:r w:rsidR="00D332F8" w:rsidRPr="006D2720">
        <w:rPr>
          <w:rFonts w:ascii="Times New Roman" w:hAnsi="Times New Roman" w:cs="Times New Roman"/>
        </w:rPr>
        <w:t>[</w:t>
      </w:r>
      <w:r w:rsidR="00322C71" w:rsidRPr="006D2720">
        <w:rPr>
          <w:rFonts w:ascii="Times New Roman" w:hAnsi="Times New Roman" w:cs="Times New Roman"/>
        </w:rPr>
        <w:fldChar w:fldCharType="begin"/>
      </w:r>
      <w:r w:rsidR="00322C71" w:rsidRPr="006D2720">
        <w:rPr>
          <w:rFonts w:ascii="Times New Roman" w:hAnsi="Times New Roman" w:cs="Times New Roman"/>
        </w:rPr>
        <w:instrText xml:space="preserve"> REF _Ref91150333 \r \h </w:instrText>
      </w:r>
      <w:r w:rsidR="00A660A0" w:rsidRPr="006D2720">
        <w:rPr>
          <w:rFonts w:ascii="Times New Roman" w:hAnsi="Times New Roman" w:cs="Times New Roman"/>
        </w:rPr>
        <w:instrText xml:space="preserve"> \* MERGEFORMAT </w:instrText>
      </w:r>
      <w:r w:rsidR="00322C71" w:rsidRPr="006D2720">
        <w:rPr>
          <w:rFonts w:ascii="Times New Roman" w:hAnsi="Times New Roman" w:cs="Times New Roman"/>
        </w:rPr>
      </w:r>
      <w:r w:rsidR="00322C71" w:rsidRPr="006D2720">
        <w:rPr>
          <w:rFonts w:ascii="Times New Roman" w:hAnsi="Times New Roman" w:cs="Times New Roman"/>
        </w:rPr>
        <w:fldChar w:fldCharType="separate"/>
      </w:r>
      <w:r w:rsidR="00E66B60">
        <w:rPr>
          <w:rFonts w:ascii="Times New Roman" w:hAnsi="Times New Roman" w:cs="Times New Roman"/>
        </w:rPr>
        <w:t>2.3.28</w:t>
      </w:r>
      <w:r w:rsidR="00322C71" w:rsidRPr="006D2720">
        <w:rPr>
          <w:rFonts w:ascii="Times New Roman" w:hAnsi="Times New Roman" w:cs="Times New Roman"/>
        </w:rPr>
        <w:fldChar w:fldCharType="end"/>
      </w:r>
      <w:r w:rsidR="00D332F8" w:rsidRPr="006D2720">
        <w:rPr>
          <w:rFonts w:ascii="Times New Roman" w:hAnsi="Times New Roman" w:cs="Times New Roman"/>
        </w:rPr>
        <w:t>]</w:t>
      </w:r>
      <w:r w:rsidR="00322C71" w:rsidRPr="006D2720">
        <w:rPr>
          <w:rFonts w:ascii="Times New Roman" w:hAnsi="Times New Roman" w:cs="Times New Roman"/>
        </w:rPr>
        <w:t>–</w:t>
      </w:r>
      <w:r w:rsidR="00D332F8" w:rsidRPr="006D2720">
        <w:rPr>
          <w:rFonts w:ascii="Times New Roman" w:hAnsi="Times New Roman" w:cs="Times New Roman"/>
        </w:rPr>
        <w:t>[</w:t>
      </w:r>
      <w:r w:rsidR="00322C71" w:rsidRPr="006D2720">
        <w:rPr>
          <w:rFonts w:ascii="Times New Roman" w:hAnsi="Times New Roman" w:cs="Times New Roman"/>
        </w:rPr>
        <w:fldChar w:fldCharType="begin"/>
      </w:r>
      <w:r w:rsidR="00322C71" w:rsidRPr="006D2720">
        <w:rPr>
          <w:rFonts w:ascii="Times New Roman" w:hAnsi="Times New Roman" w:cs="Times New Roman"/>
        </w:rPr>
        <w:instrText xml:space="preserve"> REF _Ref91150334 \r \h </w:instrText>
      </w:r>
      <w:r w:rsidR="00A660A0" w:rsidRPr="006D2720">
        <w:rPr>
          <w:rFonts w:ascii="Times New Roman" w:hAnsi="Times New Roman" w:cs="Times New Roman"/>
        </w:rPr>
        <w:instrText xml:space="preserve"> \* MERGEFORMAT </w:instrText>
      </w:r>
      <w:r w:rsidR="00322C71" w:rsidRPr="006D2720">
        <w:rPr>
          <w:rFonts w:ascii="Times New Roman" w:hAnsi="Times New Roman" w:cs="Times New Roman"/>
        </w:rPr>
      </w:r>
      <w:r w:rsidR="00322C71" w:rsidRPr="006D2720">
        <w:rPr>
          <w:rFonts w:ascii="Times New Roman" w:hAnsi="Times New Roman" w:cs="Times New Roman"/>
        </w:rPr>
        <w:fldChar w:fldCharType="separate"/>
      </w:r>
      <w:r w:rsidR="00E66B60">
        <w:rPr>
          <w:rFonts w:ascii="Times New Roman" w:hAnsi="Times New Roman" w:cs="Times New Roman"/>
        </w:rPr>
        <w:t>2.3.29</w:t>
      </w:r>
      <w:r w:rsidR="00322C71" w:rsidRPr="006D2720">
        <w:rPr>
          <w:rFonts w:ascii="Times New Roman" w:hAnsi="Times New Roman" w:cs="Times New Roman"/>
        </w:rPr>
        <w:fldChar w:fldCharType="end"/>
      </w:r>
      <w:r w:rsidR="00D332F8" w:rsidRPr="006D2720">
        <w:rPr>
          <w:rFonts w:ascii="Times New Roman" w:hAnsi="Times New Roman" w:cs="Times New Roman"/>
        </w:rPr>
        <w:t>]</w:t>
      </w:r>
      <w:r w:rsidR="00322C71" w:rsidRPr="006D2720">
        <w:rPr>
          <w:rFonts w:ascii="Times New Roman" w:hAnsi="Times New Roman" w:cs="Times New Roman"/>
        </w:rPr>
        <w:t xml:space="preserve">. </w:t>
      </w:r>
    </w:p>
    <w:p w14:paraId="0E5582DF" w14:textId="7173A900" w:rsidR="00BE0CEE" w:rsidRPr="006D2720" w:rsidRDefault="00A61E08" w:rsidP="0066337D">
      <w:pPr>
        <w:pStyle w:val="Heading3"/>
        <w:rPr>
          <w:rFonts w:ascii="Times New Roman" w:hAnsi="Times New Roman" w:cs="Times New Roman"/>
        </w:rPr>
      </w:pPr>
      <w:r w:rsidRPr="006D2720">
        <w:rPr>
          <w:rFonts w:ascii="Times New Roman" w:hAnsi="Times New Roman" w:cs="Times New Roman"/>
        </w:rPr>
        <w:t xml:space="preserve">If the Tasmanian PIPA was amended to provide for </w:t>
      </w:r>
      <w:r w:rsidR="00BE0CEE" w:rsidRPr="006D2720">
        <w:rPr>
          <w:rFonts w:ascii="Times New Roman" w:hAnsi="Times New Roman" w:cs="Times New Roman"/>
        </w:rPr>
        <w:t xml:space="preserve">the development of </w:t>
      </w:r>
      <w:r w:rsidR="008168DE" w:rsidRPr="006D2720">
        <w:rPr>
          <w:rFonts w:ascii="Times New Roman" w:hAnsi="Times New Roman" w:cs="Times New Roman"/>
        </w:rPr>
        <w:t>such</w:t>
      </w:r>
      <w:r w:rsidR="00BE0CEE" w:rsidRPr="006D2720">
        <w:rPr>
          <w:rFonts w:ascii="Times New Roman" w:hAnsi="Times New Roman" w:cs="Times New Roman"/>
        </w:rPr>
        <w:t xml:space="preserve"> codes, or </w:t>
      </w:r>
      <w:r w:rsidR="00102D53" w:rsidRPr="006D2720">
        <w:rPr>
          <w:rFonts w:ascii="Times New Roman" w:hAnsi="Times New Roman" w:cs="Times New Roman"/>
        </w:rPr>
        <w:t xml:space="preserve">to </w:t>
      </w:r>
      <w:r w:rsidR="00AF47CA" w:rsidRPr="006D2720">
        <w:rPr>
          <w:rFonts w:ascii="Times New Roman" w:hAnsi="Times New Roman" w:cs="Times New Roman"/>
        </w:rPr>
        <w:t xml:space="preserve">provide for </w:t>
      </w:r>
      <w:r w:rsidR="00847B32" w:rsidRPr="006D2720">
        <w:rPr>
          <w:rFonts w:ascii="Times New Roman" w:hAnsi="Times New Roman" w:cs="Times New Roman"/>
        </w:rPr>
        <w:t xml:space="preserve">similar rules to be made in </w:t>
      </w:r>
      <w:r w:rsidR="00BE0CEE" w:rsidRPr="006D2720">
        <w:rPr>
          <w:rFonts w:ascii="Times New Roman" w:hAnsi="Times New Roman" w:cs="Times New Roman"/>
        </w:rPr>
        <w:t xml:space="preserve">delegated legislation, </w:t>
      </w:r>
      <w:r w:rsidR="00710381" w:rsidRPr="006D2720">
        <w:rPr>
          <w:rFonts w:ascii="Times New Roman" w:hAnsi="Times New Roman" w:cs="Times New Roman"/>
        </w:rPr>
        <w:t xml:space="preserve">it </w:t>
      </w:r>
      <w:r w:rsidR="00BE0CEE" w:rsidRPr="006D2720">
        <w:rPr>
          <w:rFonts w:ascii="Times New Roman" w:hAnsi="Times New Roman" w:cs="Times New Roman"/>
        </w:rPr>
        <w:t>could enhance the transparency of privacy risks at early stages in the development of new Tasmanian government projects.</w:t>
      </w:r>
    </w:p>
    <w:p w14:paraId="1C534060" w14:textId="22D45979" w:rsidR="006455E7" w:rsidRPr="006D2720" w:rsidRDefault="00725D0C" w:rsidP="00CA1A69">
      <w:pPr>
        <w:pStyle w:val="Heading2"/>
        <w:numPr>
          <w:ilvl w:val="0"/>
          <w:numId w:val="0"/>
        </w:numPr>
        <w:ind w:left="578" w:hanging="578"/>
        <w:rPr>
          <w:rFonts w:ascii="Times New Roman" w:hAnsi="Times New Roman" w:cs="Times New Roman"/>
          <w:i/>
          <w:iCs/>
        </w:rPr>
      </w:pPr>
      <w:bookmarkStart w:id="320" w:name="_Mandatory_Data_Breach"/>
      <w:bookmarkStart w:id="321" w:name="_Toc91832008"/>
      <w:bookmarkStart w:id="322" w:name="_Toc130540442"/>
      <w:bookmarkEnd w:id="320"/>
      <w:r w:rsidRPr="006D2720">
        <w:rPr>
          <w:rFonts w:ascii="Times New Roman" w:hAnsi="Times New Roman" w:cs="Times New Roman"/>
          <w:i/>
          <w:iCs/>
        </w:rPr>
        <w:t xml:space="preserve">Mandatory </w:t>
      </w:r>
      <w:r w:rsidR="00F145BC" w:rsidRPr="006D2720">
        <w:rPr>
          <w:rFonts w:ascii="Times New Roman" w:hAnsi="Times New Roman" w:cs="Times New Roman"/>
          <w:i/>
          <w:iCs/>
        </w:rPr>
        <w:t>d</w:t>
      </w:r>
      <w:r w:rsidRPr="006D2720">
        <w:rPr>
          <w:rFonts w:ascii="Times New Roman" w:hAnsi="Times New Roman" w:cs="Times New Roman"/>
          <w:i/>
          <w:iCs/>
        </w:rPr>
        <w:t xml:space="preserve">ata </w:t>
      </w:r>
      <w:r w:rsidR="00F145BC" w:rsidRPr="006D2720">
        <w:rPr>
          <w:rFonts w:ascii="Times New Roman" w:hAnsi="Times New Roman" w:cs="Times New Roman"/>
          <w:i/>
          <w:iCs/>
        </w:rPr>
        <w:t>b</w:t>
      </w:r>
      <w:r w:rsidRPr="006D2720">
        <w:rPr>
          <w:rFonts w:ascii="Times New Roman" w:hAnsi="Times New Roman" w:cs="Times New Roman"/>
          <w:i/>
          <w:iCs/>
        </w:rPr>
        <w:t xml:space="preserve">reach </w:t>
      </w:r>
      <w:r w:rsidR="00F145BC" w:rsidRPr="006D2720">
        <w:rPr>
          <w:rFonts w:ascii="Times New Roman" w:hAnsi="Times New Roman" w:cs="Times New Roman"/>
          <w:i/>
          <w:iCs/>
        </w:rPr>
        <w:t>n</w:t>
      </w:r>
      <w:r w:rsidRPr="006D2720">
        <w:rPr>
          <w:rFonts w:ascii="Times New Roman" w:hAnsi="Times New Roman" w:cs="Times New Roman"/>
          <w:i/>
          <w:iCs/>
        </w:rPr>
        <w:t>otification</w:t>
      </w:r>
      <w:bookmarkEnd w:id="321"/>
      <w:bookmarkEnd w:id="322"/>
    </w:p>
    <w:p w14:paraId="6B99C035" w14:textId="296FE2D8" w:rsidR="00947EFB" w:rsidRPr="006D2720" w:rsidRDefault="00BF2876" w:rsidP="00947EFB">
      <w:pPr>
        <w:pStyle w:val="Heading3"/>
        <w:rPr>
          <w:rFonts w:ascii="Times New Roman" w:hAnsi="Times New Roman" w:cs="Times New Roman"/>
        </w:rPr>
      </w:pPr>
      <w:bookmarkStart w:id="323" w:name="_Ref91827650"/>
      <w:r w:rsidRPr="006D2720">
        <w:rPr>
          <w:rFonts w:ascii="Times New Roman" w:hAnsi="Times New Roman" w:cs="Times New Roman"/>
        </w:rPr>
        <w:t>Under Tasmanian law, i</w:t>
      </w:r>
      <w:r w:rsidR="005D08EE" w:rsidRPr="006D2720">
        <w:rPr>
          <w:rFonts w:ascii="Times New Roman" w:hAnsi="Times New Roman" w:cs="Times New Roman"/>
        </w:rPr>
        <w:t xml:space="preserve">f a personal information custodian deals with information in a way which breaches the PIPPs, </w:t>
      </w:r>
      <w:r w:rsidR="00383EEF" w:rsidRPr="006D2720">
        <w:rPr>
          <w:rFonts w:ascii="Times New Roman" w:hAnsi="Times New Roman" w:cs="Times New Roman"/>
        </w:rPr>
        <w:t>it is</w:t>
      </w:r>
      <w:r w:rsidR="005D08EE" w:rsidRPr="006D2720">
        <w:rPr>
          <w:rFonts w:ascii="Times New Roman" w:hAnsi="Times New Roman" w:cs="Times New Roman"/>
        </w:rPr>
        <w:t xml:space="preserve"> </w:t>
      </w:r>
      <w:r w:rsidR="005D08EE" w:rsidRPr="006D2720">
        <w:rPr>
          <w:rFonts w:ascii="Times New Roman" w:hAnsi="Times New Roman" w:cs="Times New Roman"/>
          <w:i/>
          <w:iCs/>
        </w:rPr>
        <w:t>not</w:t>
      </w:r>
      <w:r w:rsidR="005D08EE" w:rsidRPr="006D2720">
        <w:rPr>
          <w:rFonts w:ascii="Times New Roman" w:hAnsi="Times New Roman" w:cs="Times New Roman"/>
        </w:rPr>
        <w:t xml:space="preserve"> obliged under the PIPA to inform the Ombudsman or the individual concerned.</w:t>
      </w:r>
      <w:r w:rsidR="00947EFB" w:rsidRPr="006D2720">
        <w:rPr>
          <w:rFonts w:ascii="Times New Roman" w:hAnsi="Times New Roman" w:cs="Times New Roman"/>
        </w:rPr>
        <w:t xml:space="preserve"> </w:t>
      </w:r>
      <w:r w:rsidR="00BE0CEE" w:rsidRPr="006D2720">
        <w:rPr>
          <w:rFonts w:ascii="Times New Roman" w:hAnsi="Times New Roman" w:cs="Times New Roman"/>
        </w:rPr>
        <w:t xml:space="preserve">In contrast, </w:t>
      </w:r>
      <w:r w:rsidR="00D345BC" w:rsidRPr="006D2720">
        <w:rPr>
          <w:rFonts w:ascii="Times New Roman" w:hAnsi="Times New Roman" w:cs="Times New Roman"/>
        </w:rPr>
        <w:t>under Commonwealth law,</w:t>
      </w:r>
      <w:r w:rsidR="00BE0CEE" w:rsidRPr="006D2720">
        <w:rPr>
          <w:rFonts w:ascii="Times New Roman" w:hAnsi="Times New Roman" w:cs="Times New Roman"/>
        </w:rPr>
        <w:t xml:space="preserve"> a </w:t>
      </w:r>
      <w:r w:rsidR="00B81DB2" w:rsidRPr="006D2720">
        <w:rPr>
          <w:rFonts w:ascii="Times New Roman" w:hAnsi="Times New Roman" w:cs="Times New Roman"/>
        </w:rPr>
        <w:t xml:space="preserve">mandatory </w:t>
      </w:r>
      <w:r w:rsidR="00235AE2" w:rsidRPr="006D2720">
        <w:rPr>
          <w:rFonts w:ascii="Times New Roman" w:hAnsi="Times New Roman" w:cs="Times New Roman"/>
        </w:rPr>
        <w:t>data breach notification scheme</w:t>
      </w:r>
      <w:r w:rsidR="00BE0CEE" w:rsidRPr="006D2720">
        <w:rPr>
          <w:rFonts w:ascii="Times New Roman" w:hAnsi="Times New Roman" w:cs="Times New Roman"/>
        </w:rPr>
        <w:t xml:space="preserve"> has operated </w:t>
      </w:r>
      <w:r w:rsidR="00D345BC" w:rsidRPr="006D2720">
        <w:rPr>
          <w:rFonts w:ascii="Times New Roman" w:hAnsi="Times New Roman" w:cs="Times New Roman"/>
        </w:rPr>
        <w:t>since February 2018</w:t>
      </w:r>
      <w:r w:rsidR="00B57E89" w:rsidRPr="006D2720">
        <w:rPr>
          <w:rFonts w:ascii="Times New Roman" w:hAnsi="Times New Roman" w:cs="Times New Roman"/>
        </w:rPr>
        <w:t>.</w:t>
      </w:r>
      <w:r w:rsidR="00B57E89" w:rsidRPr="006D2720">
        <w:rPr>
          <w:rStyle w:val="FootnoteReference"/>
          <w:rFonts w:ascii="Times New Roman" w:hAnsi="Times New Roman" w:cs="Times New Roman"/>
        </w:rPr>
        <w:footnoteReference w:id="265"/>
      </w:r>
      <w:r w:rsidR="00235AE2" w:rsidRPr="006D2720">
        <w:rPr>
          <w:rFonts w:ascii="Times New Roman" w:hAnsi="Times New Roman" w:cs="Times New Roman"/>
        </w:rPr>
        <w:t xml:space="preserve"> </w:t>
      </w:r>
      <w:r w:rsidR="00BE0CEE" w:rsidRPr="006D2720">
        <w:rPr>
          <w:rFonts w:ascii="Times New Roman" w:hAnsi="Times New Roman" w:cs="Times New Roman"/>
        </w:rPr>
        <w:t xml:space="preserve">The scheme </w:t>
      </w:r>
      <w:r w:rsidR="005110B8" w:rsidRPr="006D2720">
        <w:rPr>
          <w:rFonts w:ascii="Times New Roman" w:hAnsi="Times New Roman" w:cs="Times New Roman"/>
        </w:rPr>
        <w:t xml:space="preserve">requires </w:t>
      </w:r>
      <w:r w:rsidR="00BE0CEE" w:rsidRPr="006D2720">
        <w:rPr>
          <w:rFonts w:ascii="Times New Roman" w:hAnsi="Times New Roman" w:cs="Times New Roman"/>
        </w:rPr>
        <w:t xml:space="preserve">all </w:t>
      </w:r>
      <w:r w:rsidR="005110B8" w:rsidRPr="006D2720">
        <w:rPr>
          <w:rFonts w:ascii="Times New Roman" w:hAnsi="Times New Roman" w:cs="Times New Roman"/>
        </w:rPr>
        <w:t xml:space="preserve">entities subject to the </w:t>
      </w:r>
      <w:r w:rsidR="00BE0CEE" w:rsidRPr="006D2720">
        <w:rPr>
          <w:rFonts w:ascii="Times New Roman" w:hAnsi="Times New Roman" w:cs="Times New Roman"/>
        </w:rPr>
        <w:t>Privacy Act</w:t>
      </w:r>
      <w:r w:rsidR="00120FEB" w:rsidRPr="006D2720">
        <w:rPr>
          <w:rFonts w:ascii="Times New Roman" w:hAnsi="Times New Roman" w:cs="Times New Roman"/>
          <w:i/>
          <w:iCs/>
        </w:rPr>
        <w:t xml:space="preserve"> </w:t>
      </w:r>
      <w:r w:rsidR="005110B8" w:rsidRPr="006D2720">
        <w:rPr>
          <w:rFonts w:ascii="Times New Roman" w:hAnsi="Times New Roman" w:cs="Times New Roman"/>
        </w:rPr>
        <w:t xml:space="preserve">to </w:t>
      </w:r>
      <w:r w:rsidR="001025FC" w:rsidRPr="006D2720">
        <w:rPr>
          <w:rFonts w:ascii="Times New Roman" w:hAnsi="Times New Roman" w:cs="Times New Roman"/>
        </w:rPr>
        <w:t xml:space="preserve">investigate and </w:t>
      </w:r>
      <w:r w:rsidR="00BC514D" w:rsidRPr="006D2720">
        <w:rPr>
          <w:rFonts w:ascii="Times New Roman" w:hAnsi="Times New Roman" w:cs="Times New Roman"/>
        </w:rPr>
        <w:t>report</w:t>
      </w:r>
      <w:r w:rsidR="00B45E24" w:rsidRPr="006D2720">
        <w:rPr>
          <w:rFonts w:ascii="Times New Roman" w:hAnsi="Times New Roman" w:cs="Times New Roman"/>
        </w:rPr>
        <w:t xml:space="preserve"> ‘eligible</w:t>
      </w:r>
      <w:r w:rsidR="00BC514D" w:rsidRPr="006D2720">
        <w:rPr>
          <w:rFonts w:ascii="Times New Roman" w:hAnsi="Times New Roman" w:cs="Times New Roman"/>
        </w:rPr>
        <w:t xml:space="preserve"> </w:t>
      </w:r>
      <w:r w:rsidR="008F6500" w:rsidRPr="006D2720">
        <w:rPr>
          <w:rFonts w:ascii="Times New Roman" w:hAnsi="Times New Roman" w:cs="Times New Roman"/>
        </w:rPr>
        <w:t>data breaches</w:t>
      </w:r>
      <w:r w:rsidR="00B45E24" w:rsidRPr="006D2720">
        <w:rPr>
          <w:rFonts w:ascii="Times New Roman" w:hAnsi="Times New Roman" w:cs="Times New Roman"/>
        </w:rPr>
        <w:t>’</w:t>
      </w:r>
      <w:r w:rsidR="008F6500" w:rsidRPr="006D2720">
        <w:rPr>
          <w:rFonts w:ascii="Times New Roman" w:hAnsi="Times New Roman" w:cs="Times New Roman"/>
        </w:rPr>
        <w:t xml:space="preserve"> to the </w:t>
      </w:r>
      <w:r w:rsidR="00120FEB" w:rsidRPr="006D2720">
        <w:rPr>
          <w:rFonts w:ascii="Times New Roman" w:hAnsi="Times New Roman" w:cs="Times New Roman"/>
        </w:rPr>
        <w:t>OAIC</w:t>
      </w:r>
      <w:r w:rsidR="008F6500" w:rsidRPr="006D2720">
        <w:rPr>
          <w:rFonts w:ascii="Times New Roman" w:hAnsi="Times New Roman" w:cs="Times New Roman"/>
        </w:rPr>
        <w:t xml:space="preserve"> and</w:t>
      </w:r>
      <w:r w:rsidR="00947EFB" w:rsidRPr="006D2720">
        <w:rPr>
          <w:rFonts w:ascii="Times New Roman" w:hAnsi="Times New Roman" w:cs="Times New Roman"/>
        </w:rPr>
        <w:t xml:space="preserve"> to</w:t>
      </w:r>
      <w:r w:rsidR="003F1855" w:rsidRPr="006D2720">
        <w:rPr>
          <w:rFonts w:ascii="Times New Roman" w:hAnsi="Times New Roman" w:cs="Times New Roman"/>
        </w:rPr>
        <w:t xml:space="preserve"> </w:t>
      </w:r>
      <w:r w:rsidR="008F6500" w:rsidRPr="006D2720">
        <w:rPr>
          <w:rFonts w:ascii="Times New Roman" w:hAnsi="Times New Roman" w:cs="Times New Roman"/>
        </w:rPr>
        <w:t xml:space="preserve">the individuals </w:t>
      </w:r>
      <w:r w:rsidR="00B41D73" w:rsidRPr="006D2720">
        <w:rPr>
          <w:rFonts w:ascii="Times New Roman" w:hAnsi="Times New Roman" w:cs="Times New Roman"/>
        </w:rPr>
        <w:t>in the information</w:t>
      </w:r>
      <w:r w:rsidR="008F6500" w:rsidRPr="006D2720">
        <w:rPr>
          <w:rFonts w:ascii="Times New Roman" w:hAnsi="Times New Roman" w:cs="Times New Roman"/>
        </w:rPr>
        <w:t xml:space="preserve">. </w:t>
      </w:r>
      <w:r w:rsidR="009040F0" w:rsidRPr="006D2720">
        <w:rPr>
          <w:rFonts w:ascii="Times New Roman" w:hAnsi="Times New Roman" w:cs="Times New Roman"/>
        </w:rPr>
        <w:t>This is intended to allow affect</w:t>
      </w:r>
      <w:r w:rsidR="001A2F9F" w:rsidRPr="006D2720">
        <w:rPr>
          <w:rFonts w:ascii="Times New Roman" w:hAnsi="Times New Roman" w:cs="Times New Roman"/>
        </w:rPr>
        <w:t>ed</w:t>
      </w:r>
      <w:r w:rsidR="009040F0" w:rsidRPr="006D2720">
        <w:rPr>
          <w:rFonts w:ascii="Times New Roman" w:hAnsi="Times New Roman" w:cs="Times New Roman"/>
        </w:rPr>
        <w:t xml:space="preserve"> individuals to take steps to minimise any harm, encourage </w:t>
      </w:r>
      <w:r w:rsidR="00906D38" w:rsidRPr="006D2720">
        <w:rPr>
          <w:rFonts w:ascii="Times New Roman" w:hAnsi="Times New Roman" w:cs="Times New Roman"/>
        </w:rPr>
        <w:t xml:space="preserve">entities to better </w:t>
      </w:r>
      <w:r w:rsidR="009040F0" w:rsidRPr="006D2720">
        <w:rPr>
          <w:rFonts w:ascii="Times New Roman" w:hAnsi="Times New Roman" w:cs="Times New Roman"/>
        </w:rPr>
        <w:t>compl</w:t>
      </w:r>
      <w:r w:rsidR="00906D38" w:rsidRPr="006D2720">
        <w:rPr>
          <w:rFonts w:ascii="Times New Roman" w:hAnsi="Times New Roman" w:cs="Times New Roman"/>
        </w:rPr>
        <w:t>y</w:t>
      </w:r>
      <w:r w:rsidR="009040F0" w:rsidRPr="006D2720">
        <w:rPr>
          <w:rFonts w:ascii="Times New Roman" w:hAnsi="Times New Roman" w:cs="Times New Roman"/>
        </w:rPr>
        <w:t xml:space="preserve"> with privacy obligations</w:t>
      </w:r>
      <w:r w:rsidR="00906D38" w:rsidRPr="006D2720">
        <w:rPr>
          <w:rFonts w:ascii="Times New Roman" w:hAnsi="Times New Roman" w:cs="Times New Roman"/>
        </w:rPr>
        <w:t>,</w:t>
      </w:r>
      <w:r w:rsidR="009040F0" w:rsidRPr="006D2720">
        <w:rPr>
          <w:rFonts w:ascii="Times New Roman" w:hAnsi="Times New Roman" w:cs="Times New Roman"/>
        </w:rPr>
        <w:t xml:space="preserve"> and </w:t>
      </w:r>
      <w:r w:rsidR="00906D38" w:rsidRPr="006D2720">
        <w:rPr>
          <w:rFonts w:ascii="Times New Roman" w:hAnsi="Times New Roman" w:cs="Times New Roman"/>
        </w:rPr>
        <w:t xml:space="preserve">promote </w:t>
      </w:r>
      <w:r w:rsidR="009040F0" w:rsidRPr="006D2720">
        <w:rPr>
          <w:rFonts w:ascii="Times New Roman" w:hAnsi="Times New Roman" w:cs="Times New Roman"/>
        </w:rPr>
        <w:t>transparency of information handling practices.</w:t>
      </w:r>
      <w:r w:rsidR="009040F0" w:rsidRPr="006D2720">
        <w:rPr>
          <w:rStyle w:val="FootnoteReference"/>
          <w:rFonts w:ascii="Times New Roman" w:hAnsi="Times New Roman" w:cs="Times New Roman"/>
        </w:rPr>
        <w:footnoteReference w:id="266"/>
      </w:r>
      <w:bookmarkEnd w:id="323"/>
    </w:p>
    <w:p w14:paraId="08FC70C6" w14:textId="54D29998" w:rsidR="00B45E24" w:rsidRPr="006D2720" w:rsidRDefault="00B45E24" w:rsidP="00B45E24">
      <w:pPr>
        <w:pStyle w:val="Heading3"/>
        <w:rPr>
          <w:rFonts w:ascii="Times New Roman" w:hAnsi="Times New Roman" w:cs="Times New Roman"/>
        </w:rPr>
      </w:pPr>
      <w:r w:rsidRPr="006D2720">
        <w:rPr>
          <w:rFonts w:ascii="Times New Roman" w:hAnsi="Times New Roman" w:cs="Times New Roman"/>
        </w:rPr>
        <w:t>‘Eligible data breaches’ arise whe</w:t>
      </w:r>
      <w:r w:rsidR="00BF2876" w:rsidRPr="006D2720">
        <w:rPr>
          <w:rFonts w:ascii="Times New Roman" w:hAnsi="Times New Roman" w:cs="Times New Roman"/>
        </w:rPr>
        <w:t>n the following</w:t>
      </w:r>
      <w:r w:rsidRPr="006D2720">
        <w:rPr>
          <w:rFonts w:ascii="Times New Roman" w:hAnsi="Times New Roman" w:cs="Times New Roman"/>
        </w:rPr>
        <w:t xml:space="preserve"> three conditions are satisfied:</w:t>
      </w:r>
      <w:r w:rsidR="00C02FD1" w:rsidRPr="006D2720">
        <w:rPr>
          <w:rStyle w:val="FootnoteReference"/>
          <w:rFonts w:ascii="Times New Roman" w:hAnsi="Times New Roman" w:cs="Times New Roman"/>
        </w:rPr>
        <w:footnoteReference w:id="267"/>
      </w:r>
    </w:p>
    <w:p w14:paraId="7AA361CA" w14:textId="2E5B36A9" w:rsidR="00B45E24" w:rsidRPr="006D2720" w:rsidRDefault="00D345BC" w:rsidP="00B45E24">
      <w:pPr>
        <w:pStyle w:val="Dotpointlist"/>
        <w:rPr>
          <w:rFonts w:ascii="Times New Roman" w:hAnsi="Times New Roman" w:cs="Times New Roman"/>
        </w:rPr>
      </w:pPr>
      <w:r w:rsidRPr="006D2720">
        <w:rPr>
          <w:rFonts w:ascii="Times New Roman" w:hAnsi="Times New Roman" w:cs="Times New Roman"/>
        </w:rPr>
        <w:t>t</w:t>
      </w:r>
      <w:r w:rsidR="00B45E24" w:rsidRPr="006D2720">
        <w:rPr>
          <w:rFonts w:ascii="Times New Roman" w:hAnsi="Times New Roman" w:cs="Times New Roman"/>
        </w:rPr>
        <w:t>here has been unauthorised access to or disclosure of personal information</w:t>
      </w:r>
      <w:r w:rsidR="00E0357B" w:rsidRPr="006D2720">
        <w:rPr>
          <w:rFonts w:ascii="Times New Roman" w:hAnsi="Times New Roman" w:cs="Times New Roman"/>
        </w:rPr>
        <w:t xml:space="preserve">, or alternatively, information is </w:t>
      </w:r>
      <w:r w:rsidR="00E0357B" w:rsidRPr="006D2720">
        <w:rPr>
          <w:rFonts w:ascii="Times New Roman" w:hAnsi="Times New Roman" w:cs="Times New Roman"/>
          <w:i/>
          <w:iCs/>
        </w:rPr>
        <w:t xml:space="preserve">lost </w:t>
      </w:r>
      <w:r w:rsidR="00E0357B" w:rsidRPr="006D2720">
        <w:rPr>
          <w:rFonts w:ascii="Times New Roman" w:hAnsi="Times New Roman" w:cs="Times New Roman"/>
        </w:rPr>
        <w:t>in circumstances where such access or disclosure is likely to occur</w:t>
      </w:r>
      <w:r w:rsidR="00B45E24" w:rsidRPr="006D2720">
        <w:rPr>
          <w:rFonts w:ascii="Times New Roman" w:hAnsi="Times New Roman" w:cs="Times New Roman"/>
        </w:rPr>
        <w:t>;</w:t>
      </w:r>
    </w:p>
    <w:p w14:paraId="4698DDFB" w14:textId="7C4CAE15" w:rsidR="00B45E24" w:rsidRPr="006D2720" w:rsidRDefault="00D345BC" w:rsidP="00B45E24">
      <w:pPr>
        <w:pStyle w:val="Dotpointlist"/>
        <w:rPr>
          <w:rFonts w:ascii="Times New Roman" w:hAnsi="Times New Roman" w:cs="Times New Roman"/>
        </w:rPr>
      </w:pPr>
      <w:r w:rsidRPr="006D2720">
        <w:rPr>
          <w:rFonts w:ascii="Times New Roman" w:hAnsi="Times New Roman" w:cs="Times New Roman"/>
        </w:rPr>
        <w:t>a</w:t>
      </w:r>
      <w:r w:rsidR="00B45E24" w:rsidRPr="006D2720">
        <w:rPr>
          <w:rFonts w:ascii="Times New Roman" w:hAnsi="Times New Roman" w:cs="Times New Roman"/>
        </w:rPr>
        <w:t xml:space="preserve"> reasonable person would conclude that such access or disclosure is likely to result in serious harm to those individuals related to the information</w:t>
      </w:r>
      <w:r w:rsidR="00EB3C14" w:rsidRPr="006D2720">
        <w:rPr>
          <w:rFonts w:ascii="Times New Roman" w:hAnsi="Times New Roman" w:cs="Times New Roman"/>
        </w:rPr>
        <w:t>, with degree of harm being determined by reference to the list of factors in section 26WG;</w:t>
      </w:r>
      <w:r w:rsidR="00EB3C14" w:rsidRPr="006D2720">
        <w:rPr>
          <w:rStyle w:val="FootnoteReference"/>
          <w:rFonts w:ascii="Times New Roman" w:hAnsi="Times New Roman" w:cs="Times New Roman"/>
        </w:rPr>
        <w:footnoteReference w:id="268"/>
      </w:r>
      <w:r w:rsidR="00B538E5" w:rsidRPr="006D2720">
        <w:rPr>
          <w:rFonts w:ascii="Times New Roman" w:hAnsi="Times New Roman" w:cs="Times New Roman"/>
        </w:rPr>
        <w:t xml:space="preserve"> and</w:t>
      </w:r>
    </w:p>
    <w:p w14:paraId="1C1B84A0" w14:textId="24BF60C7" w:rsidR="00DB2CA0" w:rsidRPr="006D2720" w:rsidRDefault="00D345BC" w:rsidP="00CA1A69">
      <w:pPr>
        <w:pStyle w:val="Dotpointlist"/>
        <w:rPr>
          <w:rFonts w:ascii="Times New Roman" w:hAnsi="Times New Roman" w:cs="Times New Roman"/>
        </w:rPr>
      </w:pPr>
      <w:r w:rsidRPr="006D2720">
        <w:rPr>
          <w:rFonts w:ascii="Times New Roman" w:hAnsi="Times New Roman" w:cs="Times New Roman"/>
        </w:rPr>
        <w:t>n</w:t>
      </w:r>
      <w:r w:rsidR="00B538E5" w:rsidRPr="006D2720">
        <w:rPr>
          <w:rFonts w:ascii="Times New Roman" w:hAnsi="Times New Roman" w:cs="Times New Roman"/>
        </w:rPr>
        <w:t xml:space="preserve">o </w:t>
      </w:r>
      <w:r w:rsidR="00DC1A31" w:rsidRPr="006D2720">
        <w:rPr>
          <w:rFonts w:ascii="Times New Roman" w:hAnsi="Times New Roman" w:cs="Times New Roman"/>
        </w:rPr>
        <w:t xml:space="preserve">remedial </w:t>
      </w:r>
      <w:r w:rsidR="00B538E5" w:rsidRPr="006D2720">
        <w:rPr>
          <w:rFonts w:ascii="Times New Roman" w:hAnsi="Times New Roman" w:cs="Times New Roman"/>
        </w:rPr>
        <w:t>action that would prevent the likely risk of serious harm</w:t>
      </w:r>
      <w:r w:rsidR="00EB3C14" w:rsidRPr="006D2720">
        <w:rPr>
          <w:rFonts w:ascii="Times New Roman" w:hAnsi="Times New Roman" w:cs="Times New Roman"/>
        </w:rPr>
        <w:t xml:space="preserve"> has been taken</w:t>
      </w:r>
      <w:r w:rsidR="00DB2CA0" w:rsidRPr="006D2720">
        <w:rPr>
          <w:rFonts w:ascii="Times New Roman" w:hAnsi="Times New Roman" w:cs="Times New Roman"/>
        </w:rPr>
        <w:t>.</w:t>
      </w:r>
      <w:r w:rsidR="006F4A83" w:rsidRPr="006D2720">
        <w:rPr>
          <w:rFonts w:ascii="Times New Roman" w:hAnsi="Times New Roman" w:cs="Times New Roman"/>
        </w:rPr>
        <w:t xml:space="preserve"> </w:t>
      </w:r>
    </w:p>
    <w:p w14:paraId="28FDA2B2" w14:textId="002B3E45" w:rsidR="000F0880" w:rsidRPr="006D2720" w:rsidRDefault="000F0880" w:rsidP="0070673C">
      <w:pPr>
        <w:pStyle w:val="Heading3"/>
        <w:rPr>
          <w:rFonts w:ascii="Times New Roman" w:hAnsi="Times New Roman" w:cs="Times New Roman"/>
        </w:rPr>
      </w:pPr>
      <w:r w:rsidRPr="006D2720">
        <w:rPr>
          <w:rFonts w:ascii="Times New Roman" w:hAnsi="Times New Roman" w:cs="Times New Roman"/>
        </w:rPr>
        <w:t xml:space="preserve">Whether the entity </w:t>
      </w:r>
      <w:r w:rsidR="00D345BC" w:rsidRPr="006D2720">
        <w:rPr>
          <w:rFonts w:ascii="Times New Roman" w:hAnsi="Times New Roman" w:cs="Times New Roman"/>
        </w:rPr>
        <w:t>must</w:t>
      </w:r>
      <w:r w:rsidRPr="006D2720">
        <w:rPr>
          <w:rFonts w:ascii="Times New Roman" w:hAnsi="Times New Roman" w:cs="Times New Roman"/>
        </w:rPr>
        <w:t xml:space="preserve"> notify the </w:t>
      </w:r>
      <w:r w:rsidR="007626A9" w:rsidRPr="006D2720">
        <w:rPr>
          <w:rFonts w:ascii="Times New Roman" w:hAnsi="Times New Roman" w:cs="Times New Roman"/>
        </w:rPr>
        <w:t xml:space="preserve">Australian Information </w:t>
      </w:r>
      <w:r w:rsidRPr="006D2720">
        <w:rPr>
          <w:rFonts w:ascii="Times New Roman" w:hAnsi="Times New Roman" w:cs="Times New Roman"/>
        </w:rPr>
        <w:t xml:space="preserve">Commissioner and the individuals concerned depends on whether the entity </w:t>
      </w:r>
      <w:r w:rsidRPr="006D2720">
        <w:rPr>
          <w:rFonts w:ascii="Times New Roman" w:hAnsi="Times New Roman" w:cs="Times New Roman"/>
          <w:i/>
          <w:iCs/>
        </w:rPr>
        <w:t xml:space="preserve">suspects </w:t>
      </w:r>
      <w:r w:rsidRPr="006D2720">
        <w:rPr>
          <w:rFonts w:ascii="Times New Roman" w:hAnsi="Times New Roman" w:cs="Times New Roman"/>
        </w:rPr>
        <w:t xml:space="preserve">a data breach has occurred, or whether </w:t>
      </w:r>
      <w:r w:rsidR="00383EEF" w:rsidRPr="006D2720">
        <w:rPr>
          <w:rFonts w:ascii="Times New Roman" w:hAnsi="Times New Roman" w:cs="Times New Roman"/>
        </w:rPr>
        <w:t xml:space="preserve">it </w:t>
      </w:r>
      <w:r w:rsidRPr="006D2720">
        <w:rPr>
          <w:rFonts w:ascii="Times New Roman" w:hAnsi="Times New Roman" w:cs="Times New Roman"/>
          <w:i/>
          <w:iCs/>
        </w:rPr>
        <w:t>believe</w:t>
      </w:r>
      <w:r w:rsidR="00383EEF" w:rsidRPr="006D2720">
        <w:rPr>
          <w:rFonts w:ascii="Times New Roman" w:hAnsi="Times New Roman" w:cs="Times New Roman"/>
          <w:i/>
          <w:iCs/>
        </w:rPr>
        <w:t>s</w:t>
      </w:r>
      <w:r w:rsidRPr="006D2720">
        <w:rPr>
          <w:rFonts w:ascii="Times New Roman" w:hAnsi="Times New Roman" w:cs="Times New Roman"/>
          <w:i/>
          <w:iCs/>
        </w:rPr>
        <w:t xml:space="preserve"> </w:t>
      </w:r>
      <w:r w:rsidR="00D345BC" w:rsidRPr="006D2720">
        <w:rPr>
          <w:rFonts w:ascii="Times New Roman" w:hAnsi="Times New Roman" w:cs="Times New Roman"/>
        </w:rPr>
        <w:t>that such a breach has occurred</w:t>
      </w:r>
      <w:r w:rsidRPr="006D2720">
        <w:rPr>
          <w:rFonts w:ascii="Times New Roman" w:hAnsi="Times New Roman" w:cs="Times New Roman"/>
        </w:rPr>
        <w:t xml:space="preserve"> (belief </w:t>
      </w:r>
      <w:r w:rsidR="00D345BC" w:rsidRPr="006D2720">
        <w:rPr>
          <w:rFonts w:ascii="Times New Roman" w:hAnsi="Times New Roman" w:cs="Times New Roman"/>
        </w:rPr>
        <w:t>requires</w:t>
      </w:r>
      <w:r w:rsidRPr="006D2720">
        <w:rPr>
          <w:rFonts w:ascii="Times New Roman" w:hAnsi="Times New Roman" w:cs="Times New Roman"/>
        </w:rPr>
        <w:t xml:space="preserve"> a higher degree of certainty than suspicion). </w:t>
      </w:r>
    </w:p>
    <w:p w14:paraId="288DC8F1" w14:textId="2D566DDD" w:rsidR="0070673C" w:rsidRPr="006D2720" w:rsidRDefault="003F6219" w:rsidP="00E0357B">
      <w:pPr>
        <w:pStyle w:val="Heading3"/>
        <w:rPr>
          <w:rFonts w:ascii="Times New Roman" w:hAnsi="Times New Roman" w:cs="Times New Roman"/>
        </w:rPr>
      </w:pPr>
      <w:r w:rsidRPr="006D2720">
        <w:rPr>
          <w:rFonts w:ascii="Times New Roman" w:hAnsi="Times New Roman" w:cs="Times New Roman"/>
        </w:rPr>
        <w:t>Once an</w:t>
      </w:r>
      <w:r w:rsidR="002D30A5" w:rsidRPr="006D2720">
        <w:rPr>
          <w:rFonts w:ascii="Times New Roman" w:hAnsi="Times New Roman" w:cs="Times New Roman"/>
        </w:rPr>
        <w:t xml:space="preserve"> entity becomes aware of reasonable grounds to </w:t>
      </w:r>
      <w:r w:rsidR="002D30A5" w:rsidRPr="006D2720">
        <w:rPr>
          <w:rFonts w:ascii="Times New Roman" w:hAnsi="Times New Roman" w:cs="Times New Roman"/>
          <w:i/>
          <w:iCs/>
        </w:rPr>
        <w:t>suspect</w:t>
      </w:r>
      <w:r w:rsidR="0051623A" w:rsidRPr="006D2720">
        <w:rPr>
          <w:rFonts w:ascii="Times New Roman" w:hAnsi="Times New Roman" w:cs="Times New Roman"/>
        </w:rPr>
        <w:t xml:space="preserve"> </w:t>
      </w:r>
      <w:r w:rsidR="002D30A5" w:rsidRPr="006D2720">
        <w:rPr>
          <w:rFonts w:ascii="Times New Roman" w:hAnsi="Times New Roman" w:cs="Times New Roman"/>
        </w:rPr>
        <w:t xml:space="preserve">there has been an eligible data breach, </w:t>
      </w:r>
      <w:r w:rsidR="00D345BC" w:rsidRPr="006D2720">
        <w:rPr>
          <w:rFonts w:ascii="Times New Roman" w:hAnsi="Times New Roman" w:cs="Times New Roman"/>
        </w:rPr>
        <w:t>it</w:t>
      </w:r>
      <w:r w:rsidR="002D30A5" w:rsidRPr="006D2720">
        <w:rPr>
          <w:rFonts w:ascii="Times New Roman" w:hAnsi="Times New Roman" w:cs="Times New Roman"/>
        </w:rPr>
        <w:t xml:space="preserve"> must investigate </w:t>
      </w:r>
      <w:r w:rsidR="0070673C" w:rsidRPr="006D2720">
        <w:rPr>
          <w:rFonts w:ascii="Times New Roman" w:hAnsi="Times New Roman" w:cs="Times New Roman"/>
        </w:rPr>
        <w:t>to</w:t>
      </w:r>
      <w:r w:rsidR="00E16370" w:rsidRPr="006D2720">
        <w:rPr>
          <w:rFonts w:ascii="Times New Roman" w:hAnsi="Times New Roman" w:cs="Times New Roman"/>
        </w:rPr>
        <w:t xml:space="preserve"> determine whether there are reasonable grounds to </w:t>
      </w:r>
      <w:r w:rsidR="00E16370" w:rsidRPr="006D2720">
        <w:rPr>
          <w:rFonts w:ascii="Times New Roman" w:hAnsi="Times New Roman" w:cs="Times New Roman"/>
          <w:i/>
          <w:iCs/>
        </w:rPr>
        <w:t xml:space="preserve">believe </w:t>
      </w:r>
      <w:r w:rsidR="00D80E45" w:rsidRPr="006D2720">
        <w:rPr>
          <w:rFonts w:ascii="Times New Roman" w:hAnsi="Times New Roman" w:cs="Times New Roman"/>
        </w:rPr>
        <w:t>it has occurred</w:t>
      </w:r>
      <w:r w:rsidR="00E16370" w:rsidRPr="006D2720">
        <w:rPr>
          <w:rFonts w:ascii="Times New Roman" w:hAnsi="Times New Roman" w:cs="Times New Roman"/>
        </w:rPr>
        <w:t xml:space="preserve">. </w:t>
      </w:r>
      <w:r w:rsidR="00383EEF" w:rsidRPr="006D2720">
        <w:rPr>
          <w:rFonts w:ascii="Times New Roman" w:hAnsi="Times New Roman" w:cs="Times New Roman"/>
        </w:rPr>
        <w:t>It</w:t>
      </w:r>
      <w:r w:rsidR="003F7A78" w:rsidRPr="006D2720">
        <w:rPr>
          <w:rFonts w:ascii="Times New Roman" w:hAnsi="Times New Roman" w:cs="Times New Roman"/>
        </w:rPr>
        <w:t xml:space="preserve"> must take all reasonable steps to complete this</w:t>
      </w:r>
      <w:r w:rsidR="007851A7" w:rsidRPr="006D2720">
        <w:rPr>
          <w:rFonts w:ascii="Times New Roman" w:hAnsi="Times New Roman" w:cs="Times New Roman"/>
        </w:rPr>
        <w:t xml:space="preserve"> assessment</w:t>
      </w:r>
      <w:r w:rsidR="003F7A78" w:rsidRPr="006D2720">
        <w:rPr>
          <w:rFonts w:ascii="Times New Roman" w:hAnsi="Times New Roman" w:cs="Times New Roman"/>
        </w:rPr>
        <w:t xml:space="preserve"> </w:t>
      </w:r>
      <w:r w:rsidR="0070673C" w:rsidRPr="006D2720">
        <w:rPr>
          <w:rFonts w:ascii="Times New Roman" w:hAnsi="Times New Roman" w:cs="Times New Roman"/>
        </w:rPr>
        <w:t>within 30 days.</w:t>
      </w:r>
      <w:r w:rsidR="0070673C" w:rsidRPr="006D2720">
        <w:rPr>
          <w:rStyle w:val="FootnoteReference"/>
          <w:rFonts w:ascii="Times New Roman" w:hAnsi="Times New Roman" w:cs="Times New Roman"/>
        </w:rPr>
        <w:footnoteReference w:id="269"/>
      </w:r>
      <w:r w:rsidR="0070673C" w:rsidRPr="006D2720">
        <w:rPr>
          <w:rFonts w:ascii="Times New Roman" w:hAnsi="Times New Roman" w:cs="Times New Roman"/>
        </w:rPr>
        <w:t xml:space="preserve"> </w:t>
      </w:r>
      <w:r w:rsidR="007851A7" w:rsidRPr="006D2720">
        <w:rPr>
          <w:rFonts w:ascii="Times New Roman" w:hAnsi="Times New Roman" w:cs="Times New Roman"/>
        </w:rPr>
        <w:t>T</w:t>
      </w:r>
      <w:r w:rsidR="0070673C" w:rsidRPr="006D2720">
        <w:rPr>
          <w:rFonts w:ascii="Times New Roman" w:hAnsi="Times New Roman" w:cs="Times New Roman"/>
        </w:rPr>
        <w:t xml:space="preserve">he </w:t>
      </w:r>
      <w:r w:rsidR="0096738B" w:rsidRPr="006D2720">
        <w:rPr>
          <w:rFonts w:ascii="Times New Roman" w:hAnsi="Times New Roman" w:cs="Times New Roman"/>
        </w:rPr>
        <w:t xml:space="preserve">Privacy </w:t>
      </w:r>
      <w:r w:rsidR="0070673C" w:rsidRPr="006D2720">
        <w:rPr>
          <w:rFonts w:ascii="Times New Roman" w:hAnsi="Times New Roman" w:cs="Times New Roman"/>
        </w:rPr>
        <w:t xml:space="preserve">Act does not </w:t>
      </w:r>
      <w:r w:rsidR="00AE38F0" w:rsidRPr="006D2720">
        <w:rPr>
          <w:rFonts w:ascii="Times New Roman" w:hAnsi="Times New Roman" w:cs="Times New Roman"/>
        </w:rPr>
        <w:t xml:space="preserve">set out </w:t>
      </w:r>
      <w:r w:rsidR="0070673C" w:rsidRPr="006D2720">
        <w:rPr>
          <w:rFonts w:ascii="Times New Roman" w:hAnsi="Times New Roman" w:cs="Times New Roman"/>
        </w:rPr>
        <w:t>how</w:t>
      </w:r>
      <w:r w:rsidR="00AE38F0" w:rsidRPr="006D2720">
        <w:rPr>
          <w:rFonts w:ascii="Times New Roman" w:hAnsi="Times New Roman" w:cs="Times New Roman"/>
        </w:rPr>
        <w:t xml:space="preserve"> to conduct</w:t>
      </w:r>
      <w:r w:rsidR="0070673C" w:rsidRPr="006D2720">
        <w:rPr>
          <w:rFonts w:ascii="Times New Roman" w:hAnsi="Times New Roman" w:cs="Times New Roman"/>
        </w:rPr>
        <w:t xml:space="preserve"> an assessment—entities develop their own processes.</w:t>
      </w:r>
      <w:bookmarkStart w:id="324" w:name="_Ref91759980"/>
      <w:r w:rsidR="0070673C" w:rsidRPr="006D2720">
        <w:rPr>
          <w:rStyle w:val="FootnoteReference"/>
          <w:rFonts w:ascii="Times New Roman" w:hAnsi="Times New Roman" w:cs="Times New Roman"/>
        </w:rPr>
        <w:footnoteReference w:id="270"/>
      </w:r>
      <w:bookmarkEnd w:id="324"/>
    </w:p>
    <w:p w14:paraId="5FB0DB50" w14:textId="21F5B0BD" w:rsidR="002C79D0" w:rsidRPr="006D2720" w:rsidRDefault="00E0357B" w:rsidP="002C79D0">
      <w:pPr>
        <w:pStyle w:val="Heading3"/>
        <w:rPr>
          <w:rFonts w:ascii="Times New Roman" w:hAnsi="Times New Roman" w:cs="Times New Roman"/>
        </w:rPr>
      </w:pPr>
      <w:r w:rsidRPr="006D2720">
        <w:rPr>
          <w:rFonts w:ascii="Times New Roman" w:hAnsi="Times New Roman" w:cs="Times New Roman"/>
        </w:rPr>
        <w:t xml:space="preserve">If during the assessment </w:t>
      </w:r>
      <w:r w:rsidR="00B740D2" w:rsidRPr="006D2720">
        <w:rPr>
          <w:rFonts w:ascii="Times New Roman" w:hAnsi="Times New Roman" w:cs="Times New Roman"/>
        </w:rPr>
        <w:t xml:space="preserve">process </w:t>
      </w:r>
      <w:r w:rsidRPr="006D2720">
        <w:rPr>
          <w:rFonts w:ascii="Times New Roman" w:hAnsi="Times New Roman" w:cs="Times New Roman"/>
        </w:rPr>
        <w:t xml:space="preserve">or after it is complete, the entity becomes aware of reasonable grounds to </w:t>
      </w:r>
      <w:r w:rsidRPr="006D2720">
        <w:rPr>
          <w:rFonts w:ascii="Times New Roman" w:hAnsi="Times New Roman" w:cs="Times New Roman"/>
          <w:i/>
          <w:iCs/>
        </w:rPr>
        <w:t xml:space="preserve">believe </w:t>
      </w:r>
      <w:r w:rsidRPr="006D2720">
        <w:rPr>
          <w:rFonts w:ascii="Times New Roman" w:hAnsi="Times New Roman" w:cs="Times New Roman"/>
        </w:rPr>
        <w:t xml:space="preserve">there has been an eligible data breach, </w:t>
      </w:r>
      <w:r w:rsidR="00383EEF" w:rsidRPr="006D2720">
        <w:rPr>
          <w:rFonts w:ascii="Times New Roman" w:hAnsi="Times New Roman" w:cs="Times New Roman"/>
        </w:rPr>
        <w:t>it</w:t>
      </w:r>
      <w:r w:rsidR="009D4913" w:rsidRPr="006D2720">
        <w:rPr>
          <w:rFonts w:ascii="Times New Roman" w:hAnsi="Times New Roman" w:cs="Times New Roman"/>
        </w:rPr>
        <w:t xml:space="preserve"> </w:t>
      </w:r>
      <w:r w:rsidR="00C47A73" w:rsidRPr="006D2720">
        <w:rPr>
          <w:rFonts w:ascii="Times New Roman" w:hAnsi="Times New Roman" w:cs="Times New Roman"/>
        </w:rPr>
        <w:t xml:space="preserve">must inform the </w:t>
      </w:r>
      <w:r w:rsidR="000F35A0" w:rsidRPr="006D2720">
        <w:rPr>
          <w:rFonts w:ascii="Times New Roman" w:hAnsi="Times New Roman" w:cs="Times New Roman"/>
        </w:rPr>
        <w:t xml:space="preserve">Australian Information </w:t>
      </w:r>
      <w:r w:rsidR="00C47A73" w:rsidRPr="006D2720">
        <w:rPr>
          <w:rFonts w:ascii="Times New Roman" w:hAnsi="Times New Roman" w:cs="Times New Roman"/>
        </w:rPr>
        <w:t>Commissioner as soon as practicable</w:t>
      </w:r>
      <w:r w:rsidR="005B79C2" w:rsidRPr="006D2720">
        <w:rPr>
          <w:rFonts w:ascii="Times New Roman" w:hAnsi="Times New Roman" w:cs="Times New Roman"/>
        </w:rPr>
        <w:t>.</w:t>
      </w:r>
      <w:r w:rsidR="009D4913" w:rsidRPr="006D2720">
        <w:rPr>
          <w:rStyle w:val="FootnoteReference"/>
          <w:rFonts w:ascii="Times New Roman" w:hAnsi="Times New Roman" w:cs="Times New Roman"/>
        </w:rPr>
        <w:footnoteReference w:id="271"/>
      </w:r>
      <w:r w:rsidR="005B79C2" w:rsidRPr="006D2720">
        <w:rPr>
          <w:rFonts w:ascii="Times New Roman" w:hAnsi="Times New Roman" w:cs="Times New Roman"/>
        </w:rPr>
        <w:t xml:space="preserve"> </w:t>
      </w:r>
      <w:r w:rsidR="00A421D5" w:rsidRPr="006D2720">
        <w:rPr>
          <w:rFonts w:ascii="Times New Roman" w:hAnsi="Times New Roman" w:cs="Times New Roman"/>
        </w:rPr>
        <w:t>A</w:t>
      </w:r>
      <w:r w:rsidR="005B79C2" w:rsidRPr="006D2720">
        <w:rPr>
          <w:rFonts w:ascii="Times New Roman" w:hAnsi="Times New Roman" w:cs="Times New Roman"/>
        </w:rPr>
        <w:t xml:space="preserve">fter notifying the Commissioner, the entity must </w:t>
      </w:r>
      <w:r w:rsidR="00CC0979" w:rsidRPr="006D2720">
        <w:rPr>
          <w:rFonts w:ascii="Times New Roman" w:hAnsi="Times New Roman" w:cs="Times New Roman"/>
        </w:rPr>
        <w:t xml:space="preserve">take </w:t>
      </w:r>
      <w:r w:rsidR="00267B94" w:rsidRPr="006D2720">
        <w:rPr>
          <w:rFonts w:ascii="Times New Roman" w:hAnsi="Times New Roman" w:cs="Times New Roman"/>
        </w:rPr>
        <w:t>reasonable steps to inform the individuals affected</w:t>
      </w:r>
      <w:r w:rsidR="002F069D" w:rsidRPr="006D2720">
        <w:rPr>
          <w:rFonts w:ascii="Times New Roman" w:hAnsi="Times New Roman" w:cs="Times New Roman"/>
        </w:rPr>
        <w:t>,</w:t>
      </w:r>
      <w:r w:rsidR="00C47A73" w:rsidRPr="006D2720">
        <w:rPr>
          <w:rFonts w:ascii="Times New Roman" w:hAnsi="Times New Roman" w:cs="Times New Roman"/>
        </w:rPr>
        <w:t xml:space="preserve"> </w:t>
      </w:r>
      <w:r w:rsidR="00CC0979" w:rsidRPr="006D2720">
        <w:rPr>
          <w:rFonts w:ascii="Times New Roman" w:hAnsi="Times New Roman" w:cs="Times New Roman"/>
        </w:rPr>
        <w:t>either</w:t>
      </w:r>
      <w:r w:rsidR="00C47A73" w:rsidRPr="006D2720">
        <w:rPr>
          <w:rFonts w:ascii="Times New Roman" w:hAnsi="Times New Roman" w:cs="Times New Roman"/>
        </w:rPr>
        <w:t xml:space="preserve"> by</w:t>
      </w:r>
      <w:r w:rsidR="00CC0979" w:rsidRPr="006D2720">
        <w:rPr>
          <w:rFonts w:ascii="Times New Roman" w:hAnsi="Times New Roman" w:cs="Times New Roman"/>
        </w:rPr>
        <w:t xml:space="preserve"> communicating directly with </w:t>
      </w:r>
      <w:r w:rsidR="00C47A73" w:rsidRPr="006D2720">
        <w:rPr>
          <w:rFonts w:ascii="Times New Roman" w:hAnsi="Times New Roman" w:cs="Times New Roman"/>
        </w:rPr>
        <w:t xml:space="preserve">them or through general publicity </w:t>
      </w:r>
      <w:r w:rsidR="00652081" w:rsidRPr="006D2720">
        <w:rPr>
          <w:rFonts w:ascii="Times New Roman" w:hAnsi="Times New Roman" w:cs="Times New Roman"/>
        </w:rPr>
        <w:t xml:space="preserve">where </w:t>
      </w:r>
      <w:r w:rsidR="00C47A73" w:rsidRPr="006D2720">
        <w:rPr>
          <w:rFonts w:ascii="Times New Roman" w:hAnsi="Times New Roman" w:cs="Times New Roman"/>
        </w:rPr>
        <w:t xml:space="preserve">direct </w:t>
      </w:r>
      <w:r w:rsidR="00A421D5" w:rsidRPr="006D2720">
        <w:rPr>
          <w:rFonts w:ascii="Times New Roman" w:hAnsi="Times New Roman" w:cs="Times New Roman"/>
        </w:rPr>
        <w:t>communication</w:t>
      </w:r>
      <w:r w:rsidR="00C47A73" w:rsidRPr="006D2720">
        <w:rPr>
          <w:rFonts w:ascii="Times New Roman" w:hAnsi="Times New Roman" w:cs="Times New Roman"/>
        </w:rPr>
        <w:t xml:space="preserve"> </w:t>
      </w:r>
      <w:r w:rsidR="00652081" w:rsidRPr="006D2720">
        <w:rPr>
          <w:rFonts w:ascii="Times New Roman" w:hAnsi="Times New Roman" w:cs="Times New Roman"/>
        </w:rPr>
        <w:t>is not practicable</w:t>
      </w:r>
      <w:r w:rsidR="00B1189C" w:rsidRPr="006D2720">
        <w:rPr>
          <w:rFonts w:ascii="Times New Roman" w:hAnsi="Times New Roman" w:cs="Times New Roman"/>
        </w:rPr>
        <w:t>.</w:t>
      </w:r>
      <w:r w:rsidR="00652081" w:rsidRPr="006D2720">
        <w:rPr>
          <w:rStyle w:val="FootnoteReference"/>
          <w:rFonts w:ascii="Times New Roman" w:hAnsi="Times New Roman" w:cs="Times New Roman"/>
        </w:rPr>
        <w:footnoteReference w:id="272"/>
      </w:r>
      <w:r w:rsidR="002C79D0" w:rsidRPr="006D2720">
        <w:rPr>
          <w:rFonts w:ascii="Times New Roman" w:hAnsi="Times New Roman" w:cs="Times New Roman"/>
        </w:rPr>
        <w:t xml:space="preserve"> </w:t>
      </w:r>
    </w:p>
    <w:p w14:paraId="645A3C04" w14:textId="77777777" w:rsidR="00446C1E" w:rsidRPr="006D2720" w:rsidRDefault="00446C1E">
      <w:pPr>
        <w:rPr>
          <w:rFonts w:ascii="Times New Roman" w:hAnsi="Times New Roman" w:cs="Times New Roman"/>
          <w:b/>
          <w:bCs/>
        </w:rPr>
      </w:pPr>
      <w:r w:rsidRPr="006D2720">
        <w:rPr>
          <w:rFonts w:ascii="Times New Roman" w:hAnsi="Times New Roman" w:cs="Times New Roman"/>
          <w:b/>
          <w:bCs/>
        </w:rPr>
        <w:br w:type="page"/>
      </w:r>
    </w:p>
    <w:p w14:paraId="531711A5" w14:textId="13028FFB" w:rsidR="00CB12AA" w:rsidRPr="006D2720" w:rsidRDefault="00CB12AA" w:rsidP="00CA1A69">
      <w:pPr>
        <w:rPr>
          <w:rFonts w:ascii="Times New Roman" w:hAnsi="Times New Roman" w:cs="Times New Roman"/>
        </w:rPr>
      </w:pPr>
      <w:r w:rsidRPr="006D2720">
        <w:rPr>
          <w:rFonts w:ascii="Times New Roman" w:hAnsi="Times New Roman" w:cs="Times New Roman"/>
          <w:b/>
          <w:bCs/>
        </w:rPr>
        <w:t xml:space="preserve">Figure </w:t>
      </w:r>
      <w:r w:rsidR="0095417C" w:rsidRPr="006D2720">
        <w:rPr>
          <w:rFonts w:ascii="Times New Roman" w:hAnsi="Times New Roman" w:cs="Times New Roman"/>
          <w:b/>
          <w:bCs/>
        </w:rPr>
        <w:t>2.</w:t>
      </w:r>
      <w:r w:rsidRPr="006D2720">
        <w:rPr>
          <w:rFonts w:ascii="Times New Roman" w:hAnsi="Times New Roman" w:cs="Times New Roman"/>
          <w:b/>
          <w:bCs/>
        </w:rPr>
        <w:t>1</w:t>
      </w:r>
      <w:r w:rsidRPr="006D2720">
        <w:rPr>
          <w:rFonts w:ascii="Times New Roman" w:hAnsi="Times New Roman" w:cs="Times New Roman"/>
        </w:rPr>
        <w:t xml:space="preserve"> </w:t>
      </w:r>
      <w:r w:rsidR="0095417C" w:rsidRPr="006D2720">
        <w:rPr>
          <w:rFonts w:ascii="Times New Roman" w:hAnsi="Times New Roman" w:cs="Times New Roman"/>
        </w:rPr>
        <w:t>M</w:t>
      </w:r>
      <w:r w:rsidRPr="006D2720">
        <w:rPr>
          <w:rFonts w:ascii="Times New Roman" w:hAnsi="Times New Roman" w:cs="Times New Roman"/>
        </w:rPr>
        <w:t xml:space="preserve">andatory </w:t>
      </w:r>
      <w:r w:rsidR="0095417C" w:rsidRPr="006D2720">
        <w:rPr>
          <w:rFonts w:ascii="Times New Roman" w:hAnsi="Times New Roman" w:cs="Times New Roman"/>
        </w:rPr>
        <w:t xml:space="preserve">eligible </w:t>
      </w:r>
      <w:r w:rsidRPr="006D2720">
        <w:rPr>
          <w:rFonts w:ascii="Times New Roman" w:hAnsi="Times New Roman" w:cs="Times New Roman"/>
        </w:rPr>
        <w:t>data breach notification scheme</w:t>
      </w:r>
      <w:r w:rsidR="00943533" w:rsidRPr="006D2720">
        <w:rPr>
          <w:rFonts w:ascii="Times New Roman" w:hAnsi="Times New Roman" w:cs="Times New Roman"/>
        </w:rPr>
        <w:t xml:space="preserve"> (simplified)</w:t>
      </w:r>
    </w:p>
    <w:p w14:paraId="3A5BC520" w14:textId="16D6DC43" w:rsidR="0095417C" w:rsidRPr="006D2720" w:rsidRDefault="002C79D0" w:rsidP="00CA1A69">
      <w:pPr>
        <w:rPr>
          <w:rFonts w:ascii="Times New Roman" w:hAnsi="Times New Roman" w:cs="Times New Roman"/>
        </w:rPr>
      </w:pPr>
      <w:r w:rsidRPr="006D2720">
        <w:rPr>
          <w:rFonts w:ascii="Times New Roman" w:hAnsi="Times New Roman" w:cs="Times New Roman"/>
          <w:noProof/>
        </w:rPr>
        <w:drawing>
          <wp:inline distT="0" distB="0" distL="0" distR="0" wp14:anchorId="4DC9D752" wp14:editId="73295FE6">
            <wp:extent cx="6060332" cy="1896894"/>
            <wp:effectExtent l="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98563E8" w14:textId="6219AEAF" w:rsidR="00731EA2" w:rsidRPr="006D2720" w:rsidRDefault="008C6AAD" w:rsidP="0066337D">
      <w:pPr>
        <w:pStyle w:val="Heading3"/>
        <w:rPr>
          <w:rFonts w:ascii="Times New Roman" w:hAnsi="Times New Roman" w:cs="Times New Roman"/>
        </w:rPr>
      </w:pPr>
      <w:bookmarkStart w:id="325" w:name="_Toc91536688"/>
      <w:bookmarkEnd w:id="325"/>
      <w:r w:rsidRPr="006D2720">
        <w:rPr>
          <w:rFonts w:ascii="Times New Roman" w:hAnsi="Times New Roman" w:cs="Times New Roman"/>
        </w:rPr>
        <w:t xml:space="preserve">In the first 12 months </w:t>
      </w:r>
      <w:r w:rsidR="009040F0" w:rsidRPr="006D2720">
        <w:rPr>
          <w:rFonts w:ascii="Times New Roman" w:hAnsi="Times New Roman" w:cs="Times New Roman"/>
        </w:rPr>
        <w:t>after</w:t>
      </w:r>
      <w:r w:rsidRPr="006D2720">
        <w:rPr>
          <w:rFonts w:ascii="Times New Roman" w:hAnsi="Times New Roman" w:cs="Times New Roman"/>
        </w:rPr>
        <w:t xml:space="preserve"> the scheme</w:t>
      </w:r>
      <w:r w:rsidR="009040F0" w:rsidRPr="006D2720">
        <w:rPr>
          <w:rFonts w:ascii="Times New Roman" w:hAnsi="Times New Roman" w:cs="Times New Roman"/>
        </w:rPr>
        <w:t xml:space="preserve"> was introduced in February 2018</w:t>
      </w:r>
      <w:r w:rsidRPr="006D2720">
        <w:rPr>
          <w:rFonts w:ascii="Times New Roman" w:hAnsi="Times New Roman" w:cs="Times New Roman"/>
        </w:rPr>
        <w:t xml:space="preserve">, there </w:t>
      </w:r>
      <w:r w:rsidR="00A25FCF" w:rsidRPr="006D2720">
        <w:rPr>
          <w:rFonts w:ascii="Times New Roman" w:hAnsi="Times New Roman" w:cs="Times New Roman"/>
        </w:rPr>
        <w:t>were</w:t>
      </w:r>
      <w:r w:rsidR="008A227F" w:rsidRPr="006D2720">
        <w:rPr>
          <w:rFonts w:ascii="Times New Roman" w:hAnsi="Times New Roman" w:cs="Times New Roman"/>
        </w:rPr>
        <w:t xml:space="preserve"> 964</w:t>
      </w:r>
      <w:r w:rsidR="00FF12AB" w:rsidRPr="006D2720">
        <w:rPr>
          <w:rFonts w:ascii="Times New Roman" w:hAnsi="Times New Roman" w:cs="Times New Roman"/>
        </w:rPr>
        <w:t xml:space="preserve"> mandatory</w:t>
      </w:r>
      <w:r w:rsidR="008A227F" w:rsidRPr="006D2720">
        <w:rPr>
          <w:rFonts w:ascii="Times New Roman" w:hAnsi="Times New Roman" w:cs="Times New Roman"/>
        </w:rPr>
        <w:t xml:space="preserve"> data breach notifications</w:t>
      </w:r>
      <w:r w:rsidRPr="006D2720">
        <w:rPr>
          <w:rFonts w:ascii="Times New Roman" w:hAnsi="Times New Roman" w:cs="Times New Roman"/>
        </w:rPr>
        <w:t>—</w:t>
      </w:r>
      <w:r w:rsidR="008A227F" w:rsidRPr="006D2720">
        <w:rPr>
          <w:rFonts w:ascii="Times New Roman" w:hAnsi="Times New Roman" w:cs="Times New Roman"/>
        </w:rPr>
        <w:t>a 712</w:t>
      </w:r>
      <w:r w:rsidR="00117541" w:rsidRPr="006D2720">
        <w:rPr>
          <w:rFonts w:ascii="Times New Roman" w:hAnsi="Times New Roman" w:cs="Times New Roman"/>
        </w:rPr>
        <w:t>%</w:t>
      </w:r>
      <w:r w:rsidR="008A227F" w:rsidRPr="006D2720">
        <w:rPr>
          <w:rFonts w:ascii="Times New Roman" w:hAnsi="Times New Roman" w:cs="Times New Roman"/>
        </w:rPr>
        <w:t xml:space="preserve"> increase </w:t>
      </w:r>
      <w:r w:rsidR="004E6954" w:rsidRPr="006D2720">
        <w:rPr>
          <w:rFonts w:ascii="Times New Roman" w:hAnsi="Times New Roman" w:cs="Times New Roman"/>
        </w:rPr>
        <w:t xml:space="preserve">compared with </w:t>
      </w:r>
      <w:r w:rsidR="008A227F" w:rsidRPr="006D2720">
        <w:rPr>
          <w:rFonts w:ascii="Times New Roman" w:hAnsi="Times New Roman" w:cs="Times New Roman"/>
        </w:rPr>
        <w:t xml:space="preserve">the previous 12 months when </w:t>
      </w:r>
      <w:r w:rsidR="002A335B" w:rsidRPr="006D2720">
        <w:rPr>
          <w:rFonts w:ascii="Times New Roman" w:hAnsi="Times New Roman" w:cs="Times New Roman"/>
        </w:rPr>
        <w:t>notification was voluntary.</w:t>
      </w:r>
      <w:r w:rsidR="002A335B" w:rsidRPr="006D2720">
        <w:rPr>
          <w:rStyle w:val="FootnoteReference"/>
          <w:rFonts w:ascii="Times New Roman" w:hAnsi="Times New Roman" w:cs="Times New Roman"/>
        </w:rPr>
        <w:footnoteReference w:id="273"/>
      </w:r>
      <w:r w:rsidR="002A335B" w:rsidRPr="006D2720">
        <w:rPr>
          <w:rFonts w:ascii="Times New Roman" w:hAnsi="Times New Roman" w:cs="Times New Roman"/>
        </w:rPr>
        <w:t xml:space="preserve"> </w:t>
      </w:r>
      <w:r w:rsidR="00CC0979" w:rsidRPr="006D2720">
        <w:rPr>
          <w:rFonts w:ascii="Times New Roman" w:hAnsi="Times New Roman" w:cs="Times New Roman"/>
        </w:rPr>
        <w:t>From January to July 2021</w:t>
      </w:r>
      <w:r w:rsidR="00C05336" w:rsidRPr="006D2720">
        <w:rPr>
          <w:rFonts w:ascii="Times New Roman" w:hAnsi="Times New Roman" w:cs="Times New Roman"/>
        </w:rPr>
        <w:t>,</w:t>
      </w:r>
      <w:r w:rsidR="00CC0979" w:rsidRPr="006D2720">
        <w:rPr>
          <w:rFonts w:ascii="Times New Roman" w:hAnsi="Times New Roman" w:cs="Times New Roman"/>
        </w:rPr>
        <w:t xml:space="preserve"> there were 446 notifications including 85 from private health service providers and 34 from the Australian government.</w:t>
      </w:r>
      <w:r w:rsidR="00CC0979" w:rsidRPr="006D2720">
        <w:rPr>
          <w:rStyle w:val="FootnoteReference"/>
          <w:rFonts w:ascii="Times New Roman" w:hAnsi="Times New Roman" w:cs="Times New Roman"/>
        </w:rPr>
        <w:footnoteReference w:id="274"/>
      </w:r>
      <w:r w:rsidR="00CC0979" w:rsidRPr="006D2720">
        <w:rPr>
          <w:rFonts w:ascii="Times New Roman" w:hAnsi="Times New Roman" w:cs="Times New Roman"/>
        </w:rPr>
        <w:t xml:space="preserve"> </w:t>
      </w:r>
      <w:r w:rsidR="00B740D2" w:rsidRPr="006D2720">
        <w:rPr>
          <w:rFonts w:ascii="Times New Roman" w:hAnsi="Times New Roman" w:cs="Times New Roman"/>
        </w:rPr>
        <w:t>C</w:t>
      </w:r>
      <w:r w:rsidR="000D26EA" w:rsidRPr="006D2720">
        <w:rPr>
          <w:rFonts w:ascii="Times New Roman" w:hAnsi="Times New Roman" w:cs="Times New Roman"/>
        </w:rPr>
        <w:t>ause</w:t>
      </w:r>
      <w:r w:rsidR="00B740D2" w:rsidRPr="006D2720">
        <w:rPr>
          <w:rFonts w:ascii="Times New Roman" w:hAnsi="Times New Roman" w:cs="Times New Roman"/>
        </w:rPr>
        <w:t xml:space="preserve">s of </w:t>
      </w:r>
      <w:r w:rsidR="004E6954" w:rsidRPr="006D2720">
        <w:rPr>
          <w:rFonts w:ascii="Times New Roman" w:hAnsi="Times New Roman" w:cs="Times New Roman"/>
        </w:rPr>
        <w:t>breaches</w:t>
      </w:r>
      <w:r w:rsidR="00B740D2" w:rsidRPr="006D2720">
        <w:rPr>
          <w:rFonts w:ascii="Times New Roman" w:hAnsi="Times New Roman" w:cs="Times New Roman"/>
        </w:rPr>
        <w:t xml:space="preserve"> were identified as follows: </w:t>
      </w:r>
      <w:r w:rsidR="00CC0979" w:rsidRPr="006D2720">
        <w:rPr>
          <w:rFonts w:ascii="Times New Roman" w:hAnsi="Times New Roman" w:cs="Times New Roman"/>
        </w:rPr>
        <w:t>65% involved malicious or criminal attack</w:t>
      </w:r>
      <w:r w:rsidR="00B740D2" w:rsidRPr="006D2720">
        <w:rPr>
          <w:rFonts w:ascii="Times New Roman" w:hAnsi="Times New Roman" w:cs="Times New Roman"/>
        </w:rPr>
        <w:t>;</w:t>
      </w:r>
      <w:r w:rsidR="00CC0979" w:rsidRPr="006D2720">
        <w:rPr>
          <w:rFonts w:ascii="Times New Roman" w:hAnsi="Times New Roman" w:cs="Times New Roman"/>
        </w:rPr>
        <w:t xml:space="preserve"> 30% involved human error</w:t>
      </w:r>
      <w:r w:rsidR="00B740D2" w:rsidRPr="006D2720">
        <w:rPr>
          <w:rFonts w:ascii="Times New Roman" w:hAnsi="Times New Roman" w:cs="Times New Roman"/>
        </w:rPr>
        <w:t>;</w:t>
      </w:r>
      <w:r w:rsidR="00CC0979" w:rsidRPr="006D2720">
        <w:rPr>
          <w:rFonts w:ascii="Times New Roman" w:hAnsi="Times New Roman" w:cs="Times New Roman"/>
        </w:rPr>
        <w:t xml:space="preserve"> and 5% were due to a system fault.</w:t>
      </w:r>
      <w:r w:rsidR="00CC0979" w:rsidRPr="006D2720">
        <w:rPr>
          <w:rStyle w:val="FootnoteReference"/>
          <w:rFonts w:ascii="Times New Roman" w:hAnsi="Times New Roman" w:cs="Times New Roman"/>
        </w:rPr>
        <w:footnoteReference w:id="275"/>
      </w:r>
    </w:p>
    <w:p w14:paraId="1253567C" w14:textId="55E7B919" w:rsidR="00362E93" w:rsidRPr="006D2720" w:rsidRDefault="00B740D2" w:rsidP="0066337D">
      <w:pPr>
        <w:pStyle w:val="Heading3"/>
        <w:rPr>
          <w:rFonts w:ascii="Times New Roman" w:hAnsi="Times New Roman" w:cs="Times New Roman"/>
        </w:rPr>
      </w:pPr>
      <w:r w:rsidRPr="006D2720">
        <w:rPr>
          <w:rFonts w:ascii="Times New Roman" w:hAnsi="Times New Roman" w:cs="Times New Roman"/>
        </w:rPr>
        <w:t>O</w:t>
      </w:r>
      <w:r w:rsidR="00B21BA9" w:rsidRPr="006D2720">
        <w:rPr>
          <w:rFonts w:ascii="Times New Roman" w:hAnsi="Times New Roman" w:cs="Times New Roman"/>
        </w:rPr>
        <w:t>n the whole,</w:t>
      </w:r>
      <w:r w:rsidR="00CC0979" w:rsidRPr="006D2720">
        <w:rPr>
          <w:rFonts w:ascii="Times New Roman" w:hAnsi="Times New Roman" w:cs="Times New Roman"/>
        </w:rPr>
        <w:t xml:space="preserve"> the </w:t>
      </w:r>
      <w:r w:rsidR="004D7F8D" w:rsidRPr="006D2720">
        <w:rPr>
          <w:rFonts w:ascii="Times New Roman" w:hAnsi="Times New Roman" w:cs="Times New Roman"/>
        </w:rPr>
        <w:t xml:space="preserve">obligations under the Commonwealth scheme are less onerous </w:t>
      </w:r>
      <w:r w:rsidRPr="006D2720">
        <w:rPr>
          <w:rFonts w:ascii="Times New Roman" w:hAnsi="Times New Roman" w:cs="Times New Roman"/>
        </w:rPr>
        <w:t xml:space="preserve">(in terms of timeframes) </w:t>
      </w:r>
      <w:r w:rsidR="004D7F8D" w:rsidRPr="006D2720">
        <w:rPr>
          <w:rFonts w:ascii="Times New Roman" w:hAnsi="Times New Roman" w:cs="Times New Roman"/>
        </w:rPr>
        <w:t xml:space="preserve">than </w:t>
      </w:r>
      <w:r w:rsidRPr="006D2720">
        <w:rPr>
          <w:rFonts w:ascii="Times New Roman" w:hAnsi="Times New Roman" w:cs="Times New Roman"/>
        </w:rPr>
        <w:t>those</w:t>
      </w:r>
      <w:r w:rsidR="004D7F8D" w:rsidRPr="006D2720">
        <w:rPr>
          <w:rFonts w:ascii="Times New Roman" w:hAnsi="Times New Roman" w:cs="Times New Roman"/>
        </w:rPr>
        <w:t xml:space="preserve"> under the GDPR. </w:t>
      </w:r>
      <w:r w:rsidR="002F1ED4" w:rsidRPr="006D2720">
        <w:rPr>
          <w:rFonts w:ascii="Times New Roman" w:hAnsi="Times New Roman" w:cs="Times New Roman"/>
        </w:rPr>
        <w:t xml:space="preserve">Generally, the GDPR </w:t>
      </w:r>
      <w:r w:rsidR="00136E25" w:rsidRPr="006D2720">
        <w:rPr>
          <w:rFonts w:ascii="Times New Roman" w:hAnsi="Times New Roman" w:cs="Times New Roman"/>
        </w:rPr>
        <w:t xml:space="preserve">requires notification of </w:t>
      </w:r>
      <w:r w:rsidR="002F1ED4" w:rsidRPr="006D2720">
        <w:rPr>
          <w:rFonts w:ascii="Times New Roman" w:hAnsi="Times New Roman" w:cs="Times New Roman"/>
        </w:rPr>
        <w:t>personal data breach</w:t>
      </w:r>
      <w:r w:rsidR="00136E25" w:rsidRPr="006D2720">
        <w:rPr>
          <w:rFonts w:ascii="Times New Roman" w:hAnsi="Times New Roman" w:cs="Times New Roman"/>
        </w:rPr>
        <w:t>es</w:t>
      </w:r>
      <w:r w:rsidR="00136E25" w:rsidRPr="006D2720">
        <w:rPr>
          <w:rStyle w:val="FootnoteReference"/>
          <w:rFonts w:ascii="Times New Roman" w:hAnsi="Times New Roman" w:cs="Times New Roman"/>
        </w:rPr>
        <w:footnoteReference w:id="276"/>
      </w:r>
      <w:r w:rsidR="002F1ED4" w:rsidRPr="006D2720">
        <w:rPr>
          <w:rFonts w:ascii="Times New Roman" w:hAnsi="Times New Roman" w:cs="Times New Roman"/>
        </w:rPr>
        <w:t xml:space="preserve"> </w:t>
      </w:r>
      <w:r w:rsidR="004C23E1" w:rsidRPr="006D2720">
        <w:rPr>
          <w:rFonts w:ascii="Times New Roman" w:hAnsi="Times New Roman" w:cs="Times New Roman"/>
        </w:rPr>
        <w:t xml:space="preserve">without undue delay and, where feasible, within 72 hours </w:t>
      </w:r>
      <w:r w:rsidR="00EB2CFB" w:rsidRPr="006D2720">
        <w:rPr>
          <w:rFonts w:ascii="Times New Roman" w:hAnsi="Times New Roman" w:cs="Times New Roman"/>
        </w:rPr>
        <w:t xml:space="preserve">of the entity </w:t>
      </w:r>
      <w:r w:rsidR="004C23E1" w:rsidRPr="006D2720">
        <w:rPr>
          <w:rFonts w:ascii="Times New Roman" w:hAnsi="Times New Roman" w:cs="Times New Roman"/>
        </w:rPr>
        <w:t>having become aware of it</w:t>
      </w:r>
      <w:r w:rsidR="00080E66" w:rsidRPr="006D2720">
        <w:rPr>
          <w:rFonts w:ascii="Times New Roman" w:hAnsi="Times New Roman" w:cs="Times New Roman"/>
        </w:rPr>
        <w:t>.</w:t>
      </w:r>
      <w:r w:rsidR="006F25D4" w:rsidRPr="006D2720">
        <w:rPr>
          <w:rStyle w:val="FootnoteReference"/>
          <w:rFonts w:ascii="Times New Roman" w:hAnsi="Times New Roman" w:cs="Times New Roman"/>
        </w:rPr>
        <w:footnoteReference w:id="277"/>
      </w:r>
      <w:r w:rsidR="00080E66" w:rsidRPr="006D2720">
        <w:rPr>
          <w:rFonts w:ascii="Times New Roman" w:hAnsi="Times New Roman" w:cs="Times New Roman"/>
        </w:rPr>
        <w:t xml:space="preserve"> The individuals affected </w:t>
      </w:r>
      <w:r w:rsidR="00FE110B" w:rsidRPr="006D2720">
        <w:rPr>
          <w:rFonts w:ascii="Times New Roman" w:hAnsi="Times New Roman" w:cs="Times New Roman"/>
        </w:rPr>
        <w:t xml:space="preserve">must </w:t>
      </w:r>
      <w:r w:rsidR="00080E66" w:rsidRPr="006D2720">
        <w:rPr>
          <w:rFonts w:ascii="Times New Roman" w:hAnsi="Times New Roman" w:cs="Times New Roman"/>
        </w:rPr>
        <w:t>be informed whenever the breach is likely to result in a high risk to the</w:t>
      </w:r>
      <w:r w:rsidR="006F25D4" w:rsidRPr="006D2720">
        <w:rPr>
          <w:rFonts w:ascii="Times New Roman" w:hAnsi="Times New Roman" w:cs="Times New Roman"/>
        </w:rPr>
        <w:t>ir</w:t>
      </w:r>
      <w:r w:rsidR="00080E66" w:rsidRPr="006D2720">
        <w:rPr>
          <w:rFonts w:ascii="Times New Roman" w:hAnsi="Times New Roman" w:cs="Times New Roman"/>
        </w:rPr>
        <w:t xml:space="preserve"> </w:t>
      </w:r>
      <w:r w:rsidR="006F25D4" w:rsidRPr="006D2720">
        <w:rPr>
          <w:rFonts w:ascii="Times New Roman" w:hAnsi="Times New Roman" w:cs="Times New Roman"/>
        </w:rPr>
        <w:t>privacy rights</w:t>
      </w:r>
      <w:r w:rsidR="00080E66" w:rsidRPr="006D2720">
        <w:rPr>
          <w:rFonts w:ascii="Times New Roman" w:hAnsi="Times New Roman" w:cs="Times New Roman"/>
        </w:rPr>
        <w:t>.</w:t>
      </w:r>
      <w:r w:rsidR="006F25D4" w:rsidRPr="006D2720">
        <w:rPr>
          <w:rStyle w:val="FootnoteReference"/>
          <w:rFonts w:ascii="Times New Roman" w:hAnsi="Times New Roman" w:cs="Times New Roman"/>
        </w:rPr>
        <w:footnoteReference w:id="278"/>
      </w:r>
      <w:r w:rsidR="004C23E1" w:rsidRPr="006D2720">
        <w:rPr>
          <w:rFonts w:ascii="Times New Roman" w:hAnsi="Times New Roman" w:cs="Times New Roman"/>
        </w:rPr>
        <w:t xml:space="preserve"> </w:t>
      </w:r>
    </w:p>
    <w:p w14:paraId="6E4B1B6C" w14:textId="0A0275E6" w:rsidR="00446C1E" w:rsidRPr="006D2720" w:rsidRDefault="00E3702F" w:rsidP="0066337D">
      <w:pPr>
        <w:pStyle w:val="Heading3"/>
        <w:rPr>
          <w:rFonts w:ascii="Times New Roman" w:hAnsi="Times New Roman" w:cs="Times New Roman"/>
        </w:rPr>
      </w:pPr>
      <w:bookmarkStart w:id="326" w:name="_Ref128939536"/>
      <w:r w:rsidRPr="006D2720">
        <w:rPr>
          <w:rFonts w:ascii="Times New Roman" w:hAnsi="Times New Roman" w:cs="Times New Roman"/>
        </w:rPr>
        <w:t xml:space="preserve">The current </w:t>
      </w:r>
      <w:r w:rsidR="00B740D2" w:rsidRPr="006D2720">
        <w:rPr>
          <w:rFonts w:ascii="Times New Roman" w:hAnsi="Times New Roman" w:cs="Times New Roman"/>
        </w:rPr>
        <w:t xml:space="preserve">review of the Commonwealth </w:t>
      </w:r>
      <w:r w:rsidRPr="006D2720">
        <w:rPr>
          <w:rFonts w:ascii="Times New Roman" w:hAnsi="Times New Roman" w:cs="Times New Roman"/>
        </w:rPr>
        <w:t>Privacy Act</w:t>
      </w:r>
      <w:r w:rsidR="00B740D2" w:rsidRPr="006D2720">
        <w:rPr>
          <w:rFonts w:ascii="Times New Roman" w:hAnsi="Times New Roman" w:cs="Times New Roman"/>
        </w:rPr>
        <w:t xml:space="preserve"> </w:t>
      </w:r>
      <w:r w:rsidR="00B10FA5" w:rsidRPr="006D2720">
        <w:rPr>
          <w:rFonts w:ascii="Times New Roman" w:hAnsi="Times New Roman" w:cs="Times New Roman"/>
        </w:rPr>
        <w:t>includes</w:t>
      </w:r>
      <w:r w:rsidR="002F23E1" w:rsidRPr="006D2720">
        <w:rPr>
          <w:rFonts w:ascii="Times New Roman" w:hAnsi="Times New Roman" w:cs="Times New Roman"/>
        </w:rPr>
        <w:t xml:space="preserve"> </w:t>
      </w:r>
      <w:r w:rsidR="00B740D2" w:rsidRPr="006D2720">
        <w:rPr>
          <w:rFonts w:ascii="Times New Roman" w:hAnsi="Times New Roman" w:cs="Times New Roman"/>
        </w:rPr>
        <w:t xml:space="preserve">consideration of the </w:t>
      </w:r>
      <w:r w:rsidR="002F23E1" w:rsidRPr="006D2720">
        <w:rPr>
          <w:rFonts w:ascii="Times New Roman" w:hAnsi="Times New Roman" w:cs="Times New Roman"/>
        </w:rPr>
        <w:t xml:space="preserve">effectiveness and operation of </w:t>
      </w:r>
      <w:r w:rsidR="00390AA6" w:rsidRPr="006D2720">
        <w:rPr>
          <w:rFonts w:ascii="Times New Roman" w:hAnsi="Times New Roman" w:cs="Times New Roman"/>
        </w:rPr>
        <w:t>mandatory data breach notification</w:t>
      </w:r>
      <w:r w:rsidR="009426C3" w:rsidRPr="006D2720">
        <w:rPr>
          <w:rFonts w:ascii="Times New Roman" w:hAnsi="Times New Roman" w:cs="Times New Roman"/>
        </w:rPr>
        <w:t>s</w:t>
      </w:r>
      <w:r w:rsidR="002F23E1" w:rsidRPr="006D2720">
        <w:rPr>
          <w:rFonts w:ascii="Times New Roman" w:hAnsi="Times New Roman" w:cs="Times New Roman"/>
        </w:rPr>
        <w:t xml:space="preserve">. </w:t>
      </w:r>
      <w:r w:rsidR="004E6954" w:rsidRPr="006D2720">
        <w:rPr>
          <w:rFonts w:ascii="Times New Roman" w:hAnsi="Times New Roman" w:cs="Times New Roman"/>
        </w:rPr>
        <w:t xml:space="preserve">This includes issues such as </w:t>
      </w:r>
      <w:r w:rsidR="00684878" w:rsidRPr="006D2720">
        <w:rPr>
          <w:rFonts w:ascii="Times New Roman" w:hAnsi="Times New Roman" w:cs="Times New Roman"/>
        </w:rPr>
        <w:t xml:space="preserve">whether data security practices and awareness </w:t>
      </w:r>
      <w:r w:rsidR="000415F7" w:rsidRPr="006D2720">
        <w:rPr>
          <w:rFonts w:ascii="Times New Roman" w:hAnsi="Times New Roman" w:cs="Times New Roman"/>
        </w:rPr>
        <w:t xml:space="preserve">have </w:t>
      </w:r>
      <w:r w:rsidR="00684878" w:rsidRPr="006D2720">
        <w:rPr>
          <w:rFonts w:ascii="Times New Roman" w:hAnsi="Times New Roman" w:cs="Times New Roman"/>
        </w:rPr>
        <w:t xml:space="preserve">changed since </w:t>
      </w:r>
      <w:r w:rsidR="00C97AE6" w:rsidRPr="006D2720">
        <w:rPr>
          <w:rFonts w:ascii="Times New Roman" w:hAnsi="Times New Roman" w:cs="Times New Roman"/>
        </w:rPr>
        <w:t>their</w:t>
      </w:r>
      <w:r w:rsidR="00390AA6" w:rsidRPr="006D2720">
        <w:rPr>
          <w:rFonts w:ascii="Times New Roman" w:hAnsi="Times New Roman" w:cs="Times New Roman"/>
        </w:rPr>
        <w:t xml:space="preserve"> </w:t>
      </w:r>
      <w:r w:rsidR="00684878" w:rsidRPr="006D2720">
        <w:rPr>
          <w:rFonts w:ascii="Times New Roman" w:hAnsi="Times New Roman" w:cs="Times New Roman"/>
        </w:rPr>
        <w:t>introduction</w:t>
      </w:r>
      <w:r w:rsidR="00BE16DB" w:rsidRPr="006D2720">
        <w:rPr>
          <w:rFonts w:ascii="Times New Roman" w:hAnsi="Times New Roman" w:cs="Times New Roman"/>
        </w:rPr>
        <w:t>, and whether</w:t>
      </w:r>
      <w:r w:rsidR="006D7FDC" w:rsidRPr="006D2720">
        <w:rPr>
          <w:rFonts w:ascii="Times New Roman" w:hAnsi="Times New Roman" w:cs="Times New Roman"/>
        </w:rPr>
        <w:t xml:space="preserve"> there have been challenges for entities that </w:t>
      </w:r>
      <w:r w:rsidR="00B740D2" w:rsidRPr="006D2720">
        <w:rPr>
          <w:rFonts w:ascii="Times New Roman" w:hAnsi="Times New Roman" w:cs="Times New Roman"/>
        </w:rPr>
        <w:t>are required to</w:t>
      </w:r>
      <w:r w:rsidR="006D7FDC" w:rsidRPr="006D2720">
        <w:rPr>
          <w:rFonts w:ascii="Times New Roman" w:hAnsi="Times New Roman" w:cs="Times New Roman"/>
        </w:rPr>
        <w:t xml:space="preserve"> comply with notification requirements in other jurisdictions (</w:t>
      </w:r>
      <w:r w:rsidR="0001286B" w:rsidRPr="006D2720">
        <w:rPr>
          <w:rFonts w:ascii="Times New Roman" w:hAnsi="Times New Roman" w:cs="Times New Roman"/>
        </w:rPr>
        <w:t>for example,</w:t>
      </w:r>
      <w:r w:rsidR="006D7FDC" w:rsidRPr="006D2720">
        <w:rPr>
          <w:rFonts w:ascii="Times New Roman" w:hAnsi="Times New Roman" w:cs="Times New Roman"/>
        </w:rPr>
        <w:t xml:space="preserve"> the GDPR) </w:t>
      </w:r>
      <w:r w:rsidR="00C03D70" w:rsidRPr="006D2720">
        <w:rPr>
          <w:rFonts w:ascii="Times New Roman" w:hAnsi="Times New Roman" w:cs="Times New Roman"/>
        </w:rPr>
        <w:t>on top</w:t>
      </w:r>
      <w:r w:rsidR="006D7FDC" w:rsidRPr="006D2720">
        <w:rPr>
          <w:rFonts w:ascii="Times New Roman" w:hAnsi="Times New Roman" w:cs="Times New Roman"/>
        </w:rPr>
        <w:t xml:space="preserve"> </w:t>
      </w:r>
      <w:r w:rsidR="00C03D70" w:rsidRPr="006D2720">
        <w:rPr>
          <w:rFonts w:ascii="Times New Roman" w:hAnsi="Times New Roman" w:cs="Times New Roman"/>
        </w:rPr>
        <w:t xml:space="preserve">of </w:t>
      </w:r>
      <w:r w:rsidR="006D7FDC" w:rsidRPr="006D2720">
        <w:rPr>
          <w:rFonts w:ascii="Times New Roman" w:hAnsi="Times New Roman" w:cs="Times New Roman"/>
        </w:rPr>
        <w:t xml:space="preserve">the </w:t>
      </w:r>
      <w:r w:rsidR="00145359" w:rsidRPr="006D2720">
        <w:rPr>
          <w:rFonts w:ascii="Times New Roman" w:hAnsi="Times New Roman" w:cs="Times New Roman"/>
        </w:rPr>
        <w:t>Privacy Act</w:t>
      </w:r>
      <w:r w:rsidR="006D7FDC" w:rsidRPr="006D2720">
        <w:rPr>
          <w:rFonts w:ascii="Times New Roman" w:hAnsi="Times New Roman" w:cs="Times New Roman"/>
        </w:rPr>
        <w:t xml:space="preserve"> </w:t>
      </w:r>
      <w:r w:rsidR="00974C3A" w:rsidRPr="006D2720">
        <w:rPr>
          <w:rFonts w:ascii="Times New Roman" w:hAnsi="Times New Roman" w:cs="Times New Roman"/>
        </w:rPr>
        <w:t>obligations</w:t>
      </w:r>
      <w:r w:rsidR="00C53578" w:rsidRPr="006D2720">
        <w:rPr>
          <w:rFonts w:ascii="Times New Roman" w:hAnsi="Times New Roman" w:cs="Times New Roman"/>
        </w:rPr>
        <w:t>.</w:t>
      </w:r>
      <w:r w:rsidR="00C53578" w:rsidRPr="006D2720">
        <w:rPr>
          <w:rStyle w:val="FootnoteReference"/>
          <w:rFonts w:ascii="Times New Roman" w:hAnsi="Times New Roman" w:cs="Times New Roman"/>
        </w:rPr>
        <w:footnoteReference w:id="279"/>
      </w:r>
      <w:r w:rsidR="00C53578" w:rsidRPr="006D2720">
        <w:rPr>
          <w:rFonts w:ascii="Times New Roman" w:hAnsi="Times New Roman" w:cs="Times New Roman"/>
        </w:rPr>
        <w:t xml:space="preserve"> </w:t>
      </w:r>
      <w:r w:rsidR="00016747" w:rsidRPr="006D2720">
        <w:rPr>
          <w:rFonts w:ascii="Times New Roman" w:hAnsi="Times New Roman" w:cs="Times New Roman"/>
        </w:rPr>
        <w:t xml:space="preserve">The </w:t>
      </w:r>
      <w:r w:rsidR="00235AE2" w:rsidRPr="006D2720">
        <w:rPr>
          <w:rFonts w:ascii="Times New Roman" w:hAnsi="Times New Roman" w:cs="Times New Roman"/>
        </w:rPr>
        <w:t xml:space="preserve">NSW </w:t>
      </w:r>
      <w:r w:rsidR="00C53578" w:rsidRPr="006D2720">
        <w:rPr>
          <w:rFonts w:ascii="Times New Roman" w:hAnsi="Times New Roman" w:cs="Times New Roman"/>
        </w:rPr>
        <w:t xml:space="preserve">government is </w:t>
      </w:r>
      <w:r w:rsidR="00235AE2" w:rsidRPr="006D2720">
        <w:rPr>
          <w:rFonts w:ascii="Times New Roman" w:hAnsi="Times New Roman" w:cs="Times New Roman"/>
        </w:rPr>
        <w:t xml:space="preserve">considering </w:t>
      </w:r>
      <w:r w:rsidR="00410719" w:rsidRPr="006D2720">
        <w:rPr>
          <w:rFonts w:ascii="Times New Roman" w:hAnsi="Times New Roman" w:cs="Times New Roman"/>
        </w:rPr>
        <w:t>whether to adopt</w:t>
      </w:r>
      <w:r w:rsidR="001D54C2" w:rsidRPr="006D2720">
        <w:rPr>
          <w:rFonts w:ascii="Times New Roman" w:hAnsi="Times New Roman" w:cs="Times New Roman"/>
        </w:rPr>
        <w:t xml:space="preserve"> a </w:t>
      </w:r>
      <w:r w:rsidR="00A0796B" w:rsidRPr="006D2720">
        <w:rPr>
          <w:rFonts w:ascii="Times New Roman" w:hAnsi="Times New Roman" w:cs="Times New Roman"/>
        </w:rPr>
        <w:t xml:space="preserve">similar </w:t>
      </w:r>
      <w:r w:rsidR="0063013D" w:rsidRPr="006D2720">
        <w:rPr>
          <w:rFonts w:ascii="Times New Roman" w:hAnsi="Times New Roman" w:cs="Times New Roman"/>
        </w:rPr>
        <w:t>mandatory reporting scheme</w:t>
      </w:r>
      <w:r w:rsidR="00571A17" w:rsidRPr="006D2720">
        <w:rPr>
          <w:rFonts w:ascii="Times New Roman" w:hAnsi="Times New Roman" w:cs="Times New Roman"/>
        </w:rPr>
        <w:t>.</w:t>
      </w:r>
      <w:r w:rsidR="00571A17" w:rsidRPr="006D2720">
        <w:rPr>
          <w:rStyle w:val="FootnoteReference"/>
          <w:rFonts w:ascii="Times New Roman" w:hAnsi="Times New Roman" w:cs="Times New Roman"/>
        </w:rPr>
        <w:footnoteReference w:id="280"/>
      </w:r>
      <w:r w:rsidR="00670BDC" w:rsidRPr="006D2720">
        <w:rPr>
          <w:rFonts w:ascii="Times New Roman" w:hAnsi="Times New Roman" w:cs="Times New Roman"/>
        </w:rPr>
        <w:t xml:space="preserve"> </w:t>
      </w:r>
      <w:r w:rsidR="00943533" w:rsidRPr="006D2720">
        <w:rPr>
          <w:rFonts w:ascii="Times New Roman" w:hAnsi="Times New Roman" w:cs="Times New Roman"/>
        </w:rPr>
        <w:t>These issues also relevant to consider in the Tasmanian context.</w:t>
      </w:r>
      <w:bookmarkEnd w:id="326"/>
    </w:p>
    <w:p w14:paraId="1B71B433" w14:textId="77777777" w:rsidR="00446C1E" w:rsidRPr="006D2720" w:rsidRDefault="00446C1E">
      <w:pPr>
        <w:rPr>
          <w:rFonts w:ascii="Times New Roman" w:eastAsiaTheme="majorEastAsia" w:hAnsi="Times New Roman" w:cs="Times New Roman"/>
          <w:bCs/>
          <w:color w:val="0D0D0D" w:themeColor="text1" w:themeTint="F2"/>
          <w:szCs w:val="21"/>
        </w:rPr>
      </w:pPr>
      <w:r w:rsidRPr="006D2720">
        <w:rPr>
          <w:rFonts w:ascii="Times New Roman" w:hAnsi="Times New Roman" w:cs="Times New Roman"/>
        </w:rPr>
        <w:br w:type="page"/>
      </w:r>
    </w:p>
    <w:tbl>
      <w:tblPr>
        <w:tblStyle w:val="TableGrid"/>
        <w:tblW w:w="0" w:type="auto"/>
        <w:tblLook w:val="04A0" w:firstRow="1" w:lastRow="0" w:firstColumn="1" w:lastColumn="0" w:noHBand="0" w:noVBand="1"/>
      </w:tblPr>
      <w:tblGrid>
        <w:gridCol w:w="601"/>
        <w:gridCol w:w="8415"/>
      </w:tblGrid>
      <w:tr w:rsidR="00344310" w:rsidRPr="000B0DF0" w14:paraId="721D61E6" w14:textId="77777777" w:rsidTr="00951B41">
        <w:tc>
          <w:tcPr>
            <w:tcW w:w="0" w:type="auto"/>
            <w:gridSpan w:val="2"/>
            <w:shd w:val="clear" w:color="auto" w:fill="A6A6A6" w:themeFill="background1" w:themeFillShade="A6"/>
          </w:tcPr>
          <w:p w14:paraId="6FE5629C" w14:textId="77777777" w:rsidR="00344310" w:rsidRPr="000B0DF0" w:rsidRDefault="00344310" w:rsidP="00951B41">
            <w:pPr>
              <w:rPr>
                <w:rFonts w:ascii="Times New Roman" w:hAnsi="Times New Roman" w:cs="Times New Roman"/>
                <w:b/>
                <w:bCs/>
                <w:sz w:val="22"/>
                <w:szCs w:val="22"/>
              </w:rPr>
            </w:pPr>
          </w:p>
          <w:p w14:paraId="4E04E6B8" w14:textId="77777777" w:rsidR="00344310" w:rsidRPr="000B0DF0" w:rsidRDefault="00344310" w:rsidP="00951B41">
            <w:pPr>
              <w:rPr>
                <w:rFonts w:ascii="Times New Roman" w:hAnsi="Times New Roman" w:cs="Times New Roman"/>
                <w:b/>
                <w:bCs/>
                <w:sz w:val="22"/>
                <w:szCs w:val="22"/>
              </w:rPr>
            </w:pPr>
            <w:r w:rsidRPr="000B0DF0">
              <w:rPr>
                <w:rFonts w:ascii="Times New Roman" w:hAnsi="Times New Roman" w:cs="Times New Roman"/>
                <w:b/>
                <w:bCs/>
                <w:sz w:val="22"/>
                <w:szCs w:val="22"/>
              </w:rPr>
              <w:t>Questions:</w:t>
            </w:r>
          </w:p>
          <w:p w14:paraId="2D13F7FD" w14:textId="77777777" w:rsidR="00344310" w:rsidRPr="000B0DF0" w:rsidRDefault="00344310" w:rsidP="00951B41">
            <w:pPr>
              <w:rPr>
                <w:rFonts w:ascii="Times New Roman" w:hAnsi="Times New Roman" w:cs="Times New Roman"/>
                <w:b/>
                <w:bCs/>
                <w:sz w:val="22"/>
                <w:szCs w:val="22"/>
              </w:rPr>
            </w:pPr>
          </w:p>
        </w:tc>
      </w:tr>
      <w:tr w:rsidR="00060D75" w:rsidRPr="000B0DF0" w14:paraId="1E44F73C" w14:textId="77777777" w:rsidTr="00951B41">
        <w:tc>
          <w:tcPr>
            <w:tcW w:w="0" w:type="auto"/>
          </w:tcPr>
          <w:p w14:paraId="6C41AF36" w14:textId="1247B354"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2.10</w:t>
            </w:r>
          </w:p>
        </w:tc>
        <w:tc>
          <w:tcPr>
            <w:tcW w:w="0" w:type="auto"/>
          </w:tcPr>
          <w:p w14:paraId="2EEB91CB" w14:textId="61BC0E43"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How effective is the current complaints process in enforcing obligations under the PIPA?</w:t>
            </w:r>
          </w:p>
        </w:tc>
      </w:tr>
      <w:tr w:rsidR="00060D75" w:rsidRPr="000B0DF0" w14:paraId="120AE7E5" w14:textId="77777777" w:rsidTr="00951B41">
        <w:tc>
          <w:tcPr>
            <w:tcW w:w="0" w:type="auto"/>
          </w:tcPr>
          <w:p w14:paraId="6E909C38" w14:textId="5F0FEA44" w:rsidR="00B4016B" w:rsidRPr="000B0DF0" w:rsidRDefault="00B4016B"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2.11</w:t>
            </w:r>
          </w:p>
        </w:tc>
        <w:tc>
          <w:tcPr>
            <w:tcW w:w="0" w:type="auto"/>
          </w:tcPr>
          <w:p w14:paraId="3CC5F679" w14:textId="0BECE5B0" w:rsidR="00B4016B" w:rsidRPr="000B0DF0" w:rsidRDefault="00B4016B"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 xml:space="preserve">Should </w:t>
            </w:r>
            <w:r w:rsidR="004B3076" w:rsidRPr="000B0DF0">
              <w:rPr>
                <w:rFonts w:ascii="Times New Roman" w:hAnsi="Times New Roman" w:cs="Times New Roman"/>
                <w:sz w:val="22"/>
                <w:szCs w:val="22"/>
              </w:rPr>
              <w:t>consideration be given to amending the</w:t>
            </w:r>
            <w:r w:rsidRPr="000B0DF0">
              <w:rPr>
                <w:rFonts w:ascii="Times New Roman" w:hAnsi="Times New Roman" w:cs="Times New Roman"/>
                <w:sz w:val="22"/>
                <w:szCs w:val="22"/>
              </w:rPr>
              <w:t xml:space="preserve"> PIPA </w:t>
            </w:r>
            <w:r w:rsidR="004B3076" w:rsidRPr="000B0DF0">
              <w:rPr>
                <w:rFonts w:ascii="Times New Roman" w:hAnsi="Times New Roman" w:cs="Times New Roman"/>
                <w:sz w:val="22"/>
                <w:szCs w:val="22"/>
              </w:rPr>
              <w:t xml:space="preserve">to </w:t>
            </w:r>
            <w:r w:rsidRPr="000B0DF0">
              <w:rPr>
                <w:rFonts w:ascii="Times New Roman" w:hAnsi="Times New Roman" w:cs="Times New Roman"/>
                <w:sz w:val="22"/>
                <w:szCs w:val="22"/>
              </w:rPr>
              <w:t>include provision for an individual to appeal or seek review if they are dissatisfied with the actions or recommendations of the Ombudsman in investigations of privacy complaints?</w:t>
            </w:r>
          </w:p>
        </w:tc>
      </w:tr>
      <w:tr w:rsidR="00060D75" w:rsidRPr="000B0DF0" w14:paraId="1128951B" w14:textId="77777777" w:rsidTr="00951B41">
        <w:tc>
          <w:tcPr>
            <w:tcW w:w="0" w:type="auto"/>
          </w:tcPr>
          <w:p w14:paraId="56CD6E25" w14:textId="6C39E19A"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w:t>
            </w:r>
            <w:r w:rsidR="00B4016B" w:rsidRPr="000B0DF0">
              <w:rPr>
                <w:rFonts w:ascii="Times New Roman" w:hAnsi="Times New Roman" w:cs="Times New Roman"/>
                <w:sz w:val="22"/>
                <w:szCs w:val="22"/>
              </w:rPr>
              <w:t>2</w:t>
            </w:r>
          </w:p>
        </w:tc>
        <w:tc>
          <w:tcPr>
            <w:tcW w:w="0" w:type="auto"/>
          </w:tcPr>
          <w:p w14:paraId="220767DF" w14:textId="663E8A67"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What other remedies should be available to individuals affected by a breach of the PIPA?</w:t>
            </w:r>
          </w:p>
        </w:tc>
      </w:tr>
      <w:tr w:rsidR="00060D75" w:rsidRPr="000B0DF0" w14:paraId="2EB919D4" w14:textId="77777777" w:rsidTr="00951B41">
        <w:tc>
          <w:tcPr>
            <w:tcW w:w="0" w:type="auto"/>
          </w:tcPr>
          <w:p w14:paraId="5DCDA2F5" w14:textId="07E687C8"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w:t>
            </w:r>
            <w:r w:rsidR="00B4016B" w:rsidRPr="000B0DF0">
              <w:rPr>
                <w:rFonts w:ascii="Times New Roman" w:hAnsi="Times New Roman" w:cs="Times New Roman"/>
                <w:sz w:val="22"/>
                <w:szCs w:val="22"/>
              </w:rPr>
              <w:t>3</w:t>
            </w:r>
          </w:p>
        </w:tc>
        <w:tc>
          <w:tcPr>
            <w:tcW w:w="0" w:type="auto"/>
          </w:tcPr>
          <w:p w14:paraId="34F178EE" w14:textId="05199F52"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Are there other f</w:t>
            </w:r>
            <w:r w:rsidR="00F04D65" w:rsidRPr="000B0DF0">
              <w:rPr>
                <w:rFonts w:ascii="Times New Roman" w:hAnsi="Times New Roman" w:cs="Times New Roman"/>
                <w:sz w:val="22"/>
                <w:szCs w:val="22"/>
              </w:rPr>
              <w:t>o</w:t>
            </w:r>
            <w:r w:rsidRPr="000B0DF0">
              <w:rPr>
                <w:rFonts w:ascii="Times New Roman" w:hAnsi="Times New Roman" w:cs="Times New Roman"/>
                <w:sz w:val="22"/>
                <w:szCs w:val="22"/>
              </w:rPr>
              <w:t>rms of enforcement action that should be introduced?</w:t>
            </w:r>
          </w:p>
        </w:tc>
      </w:tr>
      <w:tr w:rsidR="00060D75" w:rsidRPr="000B0DF0" w14:paraId="1AA6CF3B" w14:textId="77777777" w:rsidTr="00951B41">
        <w:tc>
          <w:tcPr>
            <w:tcW w:w="0" w:type="auto"/>
          </w:tcPr>
          <w:p w14:paraId="59635280" w14:textId="3479EA07" w:rsidR="004B3076" w:rsidRPr="000B0DF0" w:rsidRDefault="004B3076"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2.14</w:t>
            </w:r>
          </w:p>
        </w:tc>
        <w:tc>
          <w:tcPr>
            <w:tcW w:w="0" w:type="auto"/>
          </w:tcPr>
          <w:p w14:paraId="5260E60B" w14:textId="46D162D0" w:rsidR="004B3076" w:rsidRPr="000B0DF0" w:rsidRDefault="004B3076"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Should consideration be given to the development of privacy codes by amendment to the PIPA or by providing for similar rules to be made in delegated legislation?</w:t>
            </w:r>
          </w:p>
        </w:tc>
      </w:tr>
      <w:tr w:rsidR="00060D75" w:rsidRPr="000B0DF0" w14:paraId="07B3BFB0" w14:textId="77777777" w:rsidTr="00951B41">
        <w:tc>
          <w:tcPr>
            <w:tcW w:w="0" w:type="auto"/>
          </w:tcPr>
          <w:p w14:paraId="2C7783ED" w14:textId="76E0A974"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2.1</w:t>
            </w:r>
            <w:r w:rsidR="004B3076" w:rsidRPr="000B0DF0">
              <w:rPr>
                <w:rFonts w:ascii="Times New Roman" w:hAnsi="Times New Roman" w:cs="Times New Roman"/>
                <w:sz w:val="22"/>
                <w:szCs w:val="22"/>
              </w:rPr>
              <w:t>5</w:t>
            </w:r>
          </w:p>
        </w:tc>
        <w:tc>
          <w:tcPr>
            <w:tcW w:w="0" w:type="auto"/>
          </w:tcPr>
          <w:p w14:paraId="000CD77E" w14:textId="5FB9D9D5" w:rsidR="00344310" w:rsidRPr="000B0DF0" w:rsidRDefault="00344310" w:rsidP="005B0903">
            <w:pPr>
              <w:spacing w:before="120" w:after="120"/>
              <w:rPr>
                <w:rFonts w:ascii="Times New Roman" w:hAnsi="Times New Roman" w:cs="Times New Roman"/>
                <w:sz w:val="22"/>
                <w:szCs w:val="22"/>
              </w:rPr>
            </w:pPr>
            <w:r w:rsidRPr="000B0DF0">
              <w:rPr>
                <w:rFonts w:ascii="Times New Roman" w:hAnsi="Times New Roman" w:cs="Times New Roman"/>
                <w:sz w:val="22"/>
                <w:szCs w:val="22"/>
              </w:rPr>
              <w:t>Should a form of data breach notification requirement be introduced? If so, what models of mandatory reporting schemes should be considered?</w:t>
            </w:r>
          </w:p>
        </w:tc>
      </w:tr>
    </w:tbl>
    <w:p w14:paraId="545E766A" w14:textId="77777777" w:rsidR="00AB38CB" w:rsidRPr="006D2720" w:rsidRDefault="00AB38CB" w:rsidP="00344310">
      <w:pPr>
        <w:rPr>
          <w:rFonts w:ascii="Times New Roman" w:hAnsi="Times New Roman" w:cs="Times New Roman"/>
        </w:rPr>
      </w:pPr>
    </w:p>
    <w:p w14:paraId="1263BD75" w14:textId="77777777" w:rsidR="00AD1632" w:rsidRPr="006D2720" w:rsidRDefault="00AD1632">
      <w:pPr>
        <w:rPr>
          <w:rFonts w:ascii="Times New Roman" w:hAnsi="Times New Roman" w:cs="Times New Roman"/>
        </w:rPr>
        <w:sectPr w:rsidR="00AD1632" w:rsidRPr="006D2720" w:rsidSect="0075256A">
          <w:headerReference w:type="default" r:id="rId27"/>
          <w:pgSz w:w="11906" w:h="16838"/>
          <w:pgMar w:top="1440" w:right="1440" w:bottom="1440" w:left="1440" w:header="708" w:footer="708" w:gutter="0"/>
          <w:cols w:space="708"/>
          <w:titlePg/>
          <w:docGrid w:linePitch="360"/>
        </w:sectPr>
      </w:pPr>
    </w:p>
    <w:p w14:paraId="20155D9C" w14:textId="77777777" w:rsidR="00AB38CB" w:rsidRPr="006D2720" w:rsidRDefault="00AB38CB">
      <w:pPr>
        <w:pStyle w:val="PartNoTLRI"/>
        <w:numPr>
          <w:ilvl w:val="0"/>
          <w:numId w:val="44"/>
        </w:numPr>
        <w:spacing w:after="360" w:line="240" w:lineRule="auto"/>
        <w:ind w:left="0" w:firstLine="0"/>
        <w:rPr>
          <w:rFonts w:ascii="Times New Roman" w:hAnsi="Times New Roman" w:cs="Times New Roman"/>
        </w:rPr>
      </w:pPr>
      <w:bookmarkStart w:id="327" w:name="_Ref56441073"/>
      <w:bookmarkStart w:id="328" w:name="_Ref55034886"/>
    </w:p>
    <w:p w14:paraId="14E029AE" w14:textId="43748288" w:rsidR="0064050C" w:rsidRPr="006D2720" w:rsidRDefault="0064050C" w:rsidP="008512AD">
      <w:pPr>
        <w:pStyle w:val="Heading1"/>
        <w:rPr>
          <w:rFonts w:ascii="Times New Roman" w:hAnsi="Times New Roman" w:cs="Times New Roman"/>
        </w:rPr>
      </w:pPr>
      <w:bookmarkStart w:id="329" w:name="_Toc91685219"/>
      <w:bookmarkStart w:id="330" w:name="_Toc91691976"/>
      <w:bookmarkStart w:id="331" w:name="_Toc91769157"/>
      <w:bookmarkStart w:id="332" w:name="_Toc91770069"/>
      <w:bookmarkStart w:id="333" w:name="_Toc91830034"/>
      <w:bookmarkStart w:id="334" w:name="_Toc91685220"/>
      <w:bookmarkStart w:id="335" w:name="_Toc91691977"/>
      <w:bookmarkStart w:id="336" w:name="_Toc91769158"/>
      <w:bookmarkStart w:id="337" w:name="_Toc91770070"/>
      <w:bookmarkStart w:id="338" w:name="_Toc91830035"/>
      <w:bookmarkStart w:id="339" w:name="_Other_legislation_impacting"/>
      <w:bookmarkStart w:id="340" w:name="_Ref91825727"/>
      <w:bookmarkStart w:id="341" w:name="_Toc91832009"/>
      <w:bookmarkStart w:id="342" w:name="_Toc130540443"/>
      <w:bookmarkEnd w:id="327"/>
      <w:bookmarkEnd w:id="328"/>
      <w:bookmarkEnd w:id="329"/>
      <w:bookmarkEnd w:id="330"/>
      <w:bookmarkEnd w:id="331"/>
      <w:bookmarkEnd w:id="332"/>
      <w:bookmarkEnd w:id="333"/>
      <w:bookmarkEnd w:id="334"/>
      <w:bookmarkEnd w:id="335"/>
      <w:bookmarkEnd w:id="336"/>
      <w:bookmarkEnd w:id="337"/>
      <w:bookmarkEnd w:id="338"/>
      <w:bookmarkEnd w:id="339"/>
      <w:r w:rsidRPr="006D2720">
        <w:rPr>
          <w:rFonts w:ascii="Times New Roman" w:hAnsi="Times New Roman" w:cs="Times New Roman"/>
        </w:rPr>
        <w:t xml:space="preserve">Other </w:t>
      </w:r>
      <w:r w:rsidR="00DA606A" w:rsidRPr="006D2720">
        <w:rPr>
          <w:rFonts w:ascii="Times New Roman" w:hAnsi="Times New Roman" w:cs="Times New Roman"/>
        </w:rPr>
        <w:t xml:space="preserve">legislation impacting the privacy of </w:t>
      </w:r>
      <w:r w:rsidRPr="006D2720">
        <w:rPr>
          <w:rFonts w:ascii="Times New Roman" w:hAnsi="Times New Roman" w:cs="Times New Roman"/>
        </w:rPr>
        <w:t>government-held information</w:t>
      </w:r>
      <w:bookmarkEnd w:id="340"/>
      <w:bookmarkEnd w:id="341"/>
      <w:bookmarkEnd w:id="342"/>
    </w:p>
    <w:p w14:paraId="12754E8E" w14:textId="039E12A9" w:rsidR="008B3121" w:rsidRPr="006D2720" w:rsidRDefault="008B3121" w:rsidP="005E6794">
      <w:pPr>
        <w:pStyle w:val="Heading2"/>
        <w:rPr>
          <w:rFonts w:ascii="Times New Roman" w:hAnsi="Times New Roman" w:cs="Times New Roman"/>
        </w:rPr>
      </w:pPr>
      <w:bookmarkStart w:id="343" w:name="_Toc130540444"/>
      <w:r w:rsidRPr="006D2720">
        <w:rPr>
          <w:rFonts w:ascii="Times New Roman" w:hAnsi="Times New Roman" w:cs="Times New Roman"/>
        </w:rPr>
        <w:t>Introduction</w:t>
      </w:r>
      <w:bookmarkEnd w:id="343"/>
    </w:p>
    <w:p w14:paraId="0E8246EF" w14:textId="764DA211" w:rsidR="007C7FCF" w:rsidRPr="006D2720" w:rsidRDefault="007C7FCF" w:rsidP="0066337D">
      <w:pPr>
        <w:pStyle w:val="Heading3"/>
        <w:rPr>
          <w:rFonts w:ascii="Times New Roman" w:hAnsi="Times New Roman" w:cs="Times New Roman"/>
        </w:rPr>
      </w:pPr>
      <w:r w:rsidRPr="006D2720">
        <w:rPr>
          <w:rFonts w:ascii="Times New Roman" w:hAnsi="Times New Roman" w:cs="Times New Roman"/>
        </w:rPr>
        <w:t>This section of the Issues Paper continues to focus on government-held information, but looks beyond</w:t>
      </w:r>
      <w:r w:rsidR="00002F23" w:rsidRPr="006D2720">
        <w:rPr>
          <w:rFonts w:ascii="Times New Roman" w:hAnsi="Times New Roman" w:cs="Times New Roman"/>
        </w:rPr>
        <w:t xml:space="preserve"> </w:t>
      </w:r>
      <w:r w:rsidRPr="006D2720">
        <w:rPr>
          <w:rFonts w:ascii="Times New Roman" w:hAnsi="Times New Roman" w:cs="Times New Roman"/>
        </w:rPr>
        <w:t xml:space="preserve">the </w:t>
      </w:r>
      <w:r w:rsidR="002C3FB9" w:rsidRPr="006D2720">
        <w:rPr>
          <w:rFonts w:ascii="Times New Roman" w:hAnsi="Times New Roman" w:cs="Times New Roman"/>
          <w:i/>
          <w:iCs/>
        </w:rPr>
        <w:t>Personal Information Protection Act 2004</w:t>
      </w:r>
      <w:r w:rsidR="002C3FB9" w:rsidRPr="006D2720">
        <w:rPr>
          <w:rFonts w:ascii="Times New Roman" w:hAnsi="Times New Roman" w:cs="Times New Roman"/>
        </w:rPr>
        <w:t xml:space="preserve"> (Tas) (</w:t>
      </w:r>
      <w:r w:rsidR="002C3FB9" w:rsidRPr="006D2720">
        <w:rPr>
          <w:rFonts w:ascii="Times New Roman" w:hAnsi="Times New Roman" w:cs="Times New Roman"/>
          <w:i/>
          <w:iCs/>
        </w:rPr>
        <w:t>‘</w:t>
      </w:r>
      <w:r w:rsidRPr="006D2720">
        <w:rPr>
          <w:rFonts w:ascii="Times New Roman" w:hAnsi="Times New Roman" w:cs="Times New Roman"/>
        </w:rPr>
        <w:t>PIPA</w:t>
      </w:r>
      <w:r w:rsidR="002C3FB9" w:rsidRPr="006D2720">
        <w:rPr>
          <w:rFonts w:ascii="Times New Roman" w:hAnsi="Times New Roman" w:cs="Times New Roman"/>
        </w:rPr>
        <w:t>’)</w:t>
      </w:r>
      <w:r w:rsidRPr="006D2720">
        <w:rPr>
          <w:rFonts w:ascii="Times New Roman" w:hAnsi="Times New Roman" w:cs="Times New Roman"/>
        </w:rPr>
        <w:t xml:space="preserve"> at other </w:t>
      </w:r>
      <w:r w:rsidR="00002F23" w:rsidRPr="006D2720">
        <w:rPr>
          <w:rFonts w:ascii="Times New Roman" w:hAnsi="Times New Roman" w:cs="Times New Roman"/>
        </w:rPr>
        <w:t>legislative provisions</w:t>
      </w:r>
      <w:r w:rsidRPr="006D2720">
        <w:rPr>
          <w:rFonts w:ascii="Times New Roman" w:hAnsi="Times New Roman" w:cs="Times New Roman"/>
        </w:rPr>
        <w:t xml:space="preserve"> that impact the privacy of such information. It discusses situations where </w:t>
      </w:r>
      <w:r w:rsidR="0020448A" w:rsidRPr="006D2720">
        <w:rPr>
          <w:rFonts w:ascii="Times New Roman" w:hAnsi="Times New Roman" w:cs="Times New Roman"/>
        </w:rPr>
        <w:t xml:space="preserve">legislation may override </w:t>
      </w:r>
      <w:r w:rsidRPr="006D2720">
        <w:rPr>
          <w:rFonts w:ascii="Times New Roman" w:hAnsi="Times New Roman" w:cs="Times New Roman"/>
        </w:rPr>
        <w:t>the privacy protections in the PIPA (</w:t>
      </w:r>
      <w:r w:rsidR="009642A3" w:rsidRPr="006D2720">
        <w:rPr>
          <w:rFonts w:ascii="Times New Roman" w:hAnsi="Times New Roman" w:cs="Times New Roman"/>
        </w:rPr>
        <w:t>[</w:t>
      </w:r>
      <w:r w:rsidR="009642A3" w:rsidRPr="006D2720">
        <w:rPr>
          <w:rFonts w:ascii="Times New Roman" w:hAnsi="Times New Roman" w:cs="Times New Roman"/>
        </w:rPr>
        <w:fldChar w:fldCharType="begin"/>
      </w:r>
      <w:r w:rsidR="009642A3" w:rsidRPr="006D2720">
        <w:rPr>
          <w:rFonts w:ascii="Times New Roman" w:hAnsi="Times New Roman" w:cs="Times New Roman"/>
        </w:rPr>
        <w:instrText xml:space="preserve"> REF _Ref129294541 \r \h </w:instrText>
      </w:r>
      <w:r w:rsidR="006D2720">
        <w:rPr>
          <w:rFonts w:ascii="Times New Roman" w:hAnsi="Times New Roman" w:cs="Times New Roman"/>
        </w:rPr>
        <w:instrText xml:space="preserve"> \* MERGEFORMAT </w:instrText>
      </w:r>
      <w:r w:rsidR="009642A3" w:rsidRPr="006D2720">
        <w:rPr>
          <w:rFonts w:ascii="Times New Roman" w:hAnsi="Times New Roman" w:cs="Times New Roman"/>
        </w:rPr>
      </w:r>
      <w:r w:rsidR="009642A3" w:rsidRPr="006D2720">
        <w:rPr>
          <w:rFonts w:ascii="Times New Roman" w:hAnsi="Times New Roman" w:cs="Times New Roman"/>
        </w:rPr>
        <w:fldChar w:fldCharType="separate"/>
      </w:r>
      <w:r w:rsidR="00E66B60">
        <w:rPr>
          <w:rFonts w:ascii="Times New Roman" w:hAnsi="Times New Roman" w:cs="Times New Roman"/>
        </w:rPr>
        <w:t>3.2</w:t>
      </w:r>
      <w:r w:rsidR="009642A3" w:rsidRPr="006D2720">
        <w:rPr>
          <w:rFonts w:ascii="Times New Roman" w:hAnsi="Times New Roman" w:cs="Times New Roman"/>
        </w:rPr>
        <w:fldChar w:fldCharType="end"/>
      </w:r>
      <w:r w:rsidR="009642A3" w:rsidRPr="006D2720">
        <w:rPr>
          <w:rFonts w:ascii="Times New Roman" w:hAnsi="Times New Roman" w:cs="Times New Roman"/>
        </w:rPr>
        <w:t>]</w:t>
      </w:r>
      <w:r w:rsidRPr="006D2720">
        <w:rPr>
          <w:rFonts w:ascii="Times New Roman" w:hAnsi="Times New Roman" w:cs="Times New Roman"/>
        </w:rPr>
        <w:t>)</w:t>
      </w:r>
      <w:r w:rsidR="00F171F6" w:rsidRPr="006D2720">
        <w:rPr>
          <w:rFonts w:ascii="Times New Roman" w:hAnsi="Times New Roman" w:cs="Times New Roman"/>
        </w:rPr>
        <w:t>;</w:t>
      </w:r>
      <w:r w:rsidRPr="006D2720">
        <w:rPr>
          <w:rFonts w:ascii="Times New Roman" w:hAnsi="Times New Roman" w:cs="Times New Roman"/>
        </w:rPr>
        <w:t xml:space="preserve"> where legislation may impose secrecy obligations that can serve as privacy protections (</w:t>
      </w:r>
      <w:r w:rsidR="009642A3" w:rsidRPr="006D2720">
        <w:rPr>
          <w:rFonts w:ascii="Times New Roman" w:hAnsi="Times New Roman" w:cs="Times New Roman"/>
        </w:rPr>
        <w:t>[</w:t>
      </w:r>
      <w:r w:rsidR="009642A3" w:rsidRPr="006D2720">
        <w:rPr>
          <w:rFonts w:ascii="Times New Roman" w:hAnsi="Times New Roman" w:cs="Times New Roman"/>
        </w:rPr>
        <w:fldChar w:fldCharType="begin"/>
      </w:r>
      <w:r w:rsidR="009642A3" w:rsidRPr="006D2720">
        <w:rPr>
          <w:rFonts w:ascii="Times New Roman" w:hAnsi="Times New Roman" w:cs="Times New Roman"/>
        </w:rPr>
        <w:instrText xml:space="preserve"> REF _Ref91319976 \r \h </w:instrText>
      </w:r>
      <w:r w:rsidR="006D2720">
        <w:rPr>
          <w:rFonts w:ascii="Times New Roman" w:hAnsi="Times New Roman" w:cs="Times New Roman"/>
        </w:rPr>
        <w:instrText xml:space="preserve"> \* MERGEFORMAT </w:instrText>
      </w:r>
      <w:r w:rsidR="009642A3" w:rsidRPr="006D2720">
        <w:rPr>
          <w:rFonts w:ascii="Times New Roman" w:hAnsi="Times New Roman" w:cs="Times New Roman"/>
        </w:rPr>
      </w:r>
      <w:r w:rsidR="009642A3" w:rsidRPr="006D2720">
        <w:rPr>
          <w:rFonts w:ascii="Times New Roman" w:hAnsi="Times New Roman" w:cs="Times New Roman"/>
        </w:rPr>
        <w:fldChar w:fldCharType="separate"/>
      </w:r>
      <w:r w:rsidR="00E66B60">
        <w:rPr>
          <w:rFonts w:ascii="Times New Roman" w:hAnsi="Times New Roman" w:cs="Times New Roman"/>
        </w:rPr>
        <w:t>3.3</w:t>
      </w:r>
      <w:r w:rsidR="009642A3" w:rsidRPr="006D2720">
        <w:rPr>
          <w:rFonts w:ascii="Times New Roman" w:hAnsi="Times New Roman" w:cs="Times New Roman"/>
        </w:rPr>
        <w:fldChar w:fldCharType="end"/>
      </w:r>
      <w:r w:rsidR="009642A3" w:rsidRPr="006D2720">
        <w:rPr>
          <w:rFonts w:ascii="Times New Roman" w:hAnsi="Times New Roman" w:cs="Times New Roman"/>
        </w:rPr>
        <w:t>]</w:t>
      </w:r>
      <w:r w:rsidRPr="006D2720">
        <w:rPr>
          <w:rFonts w:ascii="Times New Roman" w:hAnsi="Times New Roman" w:cs="Times New Roman"/>
        </w:rPr>
        <w:t>)</w:t>
      </w:r>
      <w:r w:rsidR="00F171F6" w:rsidRPr="006D2720">
        <w:rPr>
          <w:rFonts w:ascii="Times New Roman" w:hAnsi="Times New Roman" w:cs="Times New Roman"/>
        </w:rPr>
        <w:t>; and</w:t>
      </w:r>
      <w:r w:rsidRPr="006D2720">
        <w:rPr>
          <w:rFonts w:ascii="Times New Roman" w:hAnsi="Times New Roman" w:cs="Times New Roman"/>
        </w:rPr>
        <w:t xml:space="preserve"> where legislation provides for the gathering of personal information </w:t>
      </w:r>
      <w:r w:rsidRPr="006D2720">
        <w:rPr>
          <w:rFonts w:ascii="Times New Roman" w:hAnsi="Times New Roman" w:cs="Times New Roman"/>
          <w:i/>
          <w:iCs/>
        </w:rPr>
        <w:t>without</w:t>
      </w:r>
      <w:r w:rsidRPr="006D2720">
        <w:rPr>
          <w:rFonts w:ascii="Times New Roman" w:hAnsi="Times New Roman" w:cs="Times New Roman"/>
        </w:rPr>
        <w:t xml:space="preserve"> specifically </w:t>
      </w:r>
      <w:r w:rsidR="007F32B6" w:rsidRPr="006D2720">
        <w:rPr>
          <w:rFonts w:ascii="Times New Roman" w:hAnsi="Times New Roman" w:cs="Times New Roman"/>
        </w:rPr>
        <w:t>setting</w:t>
      </w:r>
      <w:r w:rsidRPr="006D2720">
        <w:rPr>
          <w:rFonts w:ascii="Times New Roman" w:hAnsi="Times New Roman" w:cs="Times New Roman"/>
        </w:rPr>
        <w:t xml:space="preserve"> </w:t>
      </w:r>
      <w:r w:rsidR="007F32B6" w:rsidRPr="006D2720">
        <w:rPr>
          <w:rFonts w:ascii="Times New Roman" w:hAnsi="Times New Roman" w:cs="Times New Roman"/>
        </w:rPr>
        <w:t xml:space="preserve">limits </w:t>
      </w:r>
      <w:r w:rsidRPr="006D2720">
        <w:rPr>
          <w:rFonts w:ascii="Times New Roman" w:hAnsi="Times New Roman" w:cs="Times New Roman"/>
        </w:rPr>
        <w:t>on its use or sharing</w:t>
      </w:r>
      <w:r w:rsidR="0020448A" w:rsidRPr="006D2720">
        <w:rPr>
          <w:rFonts w:ascii="Times New Roman" w:hAnsi="Times New Roman" w:cs="Times New Roman"/>
        </w:rPr>
        <w:t>, focusing on the context of sharing information within and between government agencies</w:t>
      </w:r>
      <w:r w:rsidR="007F32B6" w:rsidRPr="006D2720">
        <w:rPr>
          <w:rFonts w:ascii="Times New Roman" w:hAnsi="Times New Roman" w:cs="Times New Roman"/>
        </w:rPr>
        <w:t xml:space="preserve"> (</w:t>
      </w:r>
      <w:r w:rsidR="009642A3" w:rsidRPr="006D2720">
        <w:rPr>
          <w:rFonts w:ascii="Times New Roman" w:hAnsi="Times New Roman" w:cs="Times New Roman"/>
        </w:rPr>
        <w:t>[</w:t>
      </w:r>
      <w:r w:rsidR="009642A3" w:rsidRPr="006D2720">
        <w:rPr>
          <w:rFonts w:ascii="Times New Roman" w:hAnsi="Times New Roman" w:cs="Times New Roman"/>
        </w:rPr>
        <w:fldChar w:fldCharType="begin"/>
      </w:r>
      <w:r w:rsidR="009642A3" w:rsidRPr="006D2720">
        <w:rPr>
          <w:rFonts w:ascii="Times New Roman" w:hAnsi="Times New Roman" w:cs="Times New Roman"/>
        </w:rPr>
        <w:instrText xml:space="preserve"> REF _Ref91685494 \r \h </w:instrText>
      </w:r>
      <w:r w:rsidR="006D2720">
        <w:rPr>
          <w:rFonts w:ascii="Times New Roman" w:hAnsi="Times New Roman" w:cs="Times New Roman"/>
        </w:rPr>
        <w:instrText xml:space="preserve"> \* MERGEFORMAT </w:instrText>
      </w:r>
      <w:r w:rsidR="009642A3" w:rsidRPr="006D2720">
        <w:rPr>
          <w:rFonts w:ascii="Times New Roman" w:hAnsi="Times New Roman" w:cs="Times New Roman"/>
        </w:rPr>
      </w:r>
      <w:r w:rsidR="009642A3" w:rsidRPr="006D2720">
        <w:rPr>
          <w:rFonts w:ascii="Times New Roman" w:hAnsi="Times New Roman" w:cs="Times New Roman"/>
        </w:rPr>
        <w:fldChar w:fldCharType="separate"/>
      </w:r>
      <w:r w:rsidR="00E66B60">
        <w:rPr>
          <w:rFonts w:ascii="Times New Roman" w:hAnsi="Times New Roman" w:cs="Times New Roman"/>
        </w:rPr>
        <w:t>3.4</w:t>
      </w:r>
      <w:r w:rsidR="009642A3" w:rsidRPr="006D2720">
        <w:rPr>
          <w:rFonts w:ascii="Times New Roman" w:hAnsi="Times New Roman" w:cs="Times New Roman"/>
        </w:rPr>
        <w:fldChar w:fldCharType="end"/>
      </w:r>
      <w:r w:rsidR="009642A3" w:rsidRPr="006D2720">
        <w:rPr>
          <w:rFonts w:ascii="Times New Roman" w:hAnsi="Times New Roman" w:cs="Times New Roman"/>
        </w:rPr>
        <w:t>]</w:t>
      </w:r>
      <w:r w:rsidR="007F32B6" w:rsidRPr="006D2720">
        <w:rPr>
          <w:rFonts w:ascii="Times New Roman" w:hAnsi="Times New Roman" w:cs="Times New Roman"/>
        </w:rPr>
        <w:t>)</w:t>
      </w:r>
      <w:r w:rsidRPr="006D2720">
        <w:rPr>
          <w:rFonts w:ascii="Times New Roman" w:hAnsi="Times New Roman" w:cs="Times New Roman"/>
        </w:rPr>
        <w:t>.</w:t>
      </w:r>
    </w:p>
    <w:p w14:paraId="0A4DA3CC" w14:textId="75A054EF" w:rsidR="001359FF" w:rsidRPr="006D2720" w:rsidRDefault="00DA606A" w:rsidP="007A1712">
      <w:pPr>
        <w:pStyle w:val="Heading2"/>
        <w:rPr>
          <w:rFonts w:ascii="Times New Roman" w:hAnsi="Times New Roman" w:cs="Times New Roman"/>
        </w:rPr>
      </w:pPr>
      <w:bookmarkStart w:id="344" w:name="_Toc91832010"/>
      <w:bookmarkStart w:id="345" w:name="_Ref129294541"/>
      <w:bookmarkStart w:id="346" w:name="_Toc130540445"/>
      <w:r w:rsidRPr="006D2720">
        <w:rPr>
          <w:rFonts w:ascii="Times New Roman" w:hAnsi="Times New Roman" w:cs="Times New Roman"/>
        </w:rPr>
        <w:t>Legislation which may override the PIPA</w:t>
      </w:r>
      <w:bookmarkStart w:id="347" w:name="_Ref91319938"/>
      <w:bookmarkEnd w:id="344"/>
      <w:bookmarkEnd w:id="345"/>
      <w:bookmarkEnd w:id="346"/>
      <w:r w:rsidRPr="006D2720">
        <w:rPr>
          <w:rFonts w:ascii="Times New Roman" w:hAnsi="Times New Roman" w:cs="Times New Roman"/>
        </w:rPr>
        <w:t xml:space="preserve"> </w:t>
      </w:r>
      <w:r w:rsidR="00051816" w:rsidRPr="006D2720">
        <w:rPr>
          <w:rFonts w:ascii="Times New Roman" w:hAnsi="Times New Roman" w:cs="Times New Roman"/>
        </w:rPr>
        <w:t xml:space="preserve"> </w:t>
      </w:r>
      <w:bookmarkEnd w:id="347"/>
    </w:p>
    <w:p w14:paraId="58B29B07" w14:textId="5290A91A" w:rsidR="00A36FED" w:rsidRPr="006D2720" w:rsidRDefault="0064050C" w:rsidP="0066337D">
      <w:pPr>
        <w:pStyle w:val="Heading3"/>
        <w:rPr>
          <w:rFonts w:ascii="Times New Roman" w:hAnsi="Times New Roman" w:cs="Times New Roman"/>
        </w:rPr>
      </w:pPr>
      <w:bookmarkStart w:id="348" w:name="Five"/>
      <w:bookmarkEnd w:id="348"/>
      <w:r w:rsidRPr="006D2720">
        <w:rPr>
          <w:rFonts w:ascii="Times New Roman" w:hAnsi="Times New Roman" w:cs="Times New Roman"/>
        </w:rPr>
        <w:t xml:space="preserve">The </w:t>
      </w:r>
      <w:r w:rsidR="005F07F4" w:rsidRPr="006D2720">
        <w:rPr>
          <w:rFonts w:ascii="Times New Roman" w:hAnsi="Times New Roman" w:cs="Times New Roman"/>
        </w:rPr>
        <w:t xml:space="preserve">privacy </w:t>
      </w:r>
      <w:r w:rsidRPr="006D2720">
        <w:rPr>
          <w:rFonts w:ascii="Times New Roman" w:hAnsi="Times New Roman" w:cs="Times New Roman"/>
        </w:rPr>
        <w:t xml:space="preserve">protections </w:t>
      </w:r>
      <w:r w:rsidR="005F07F4" w:rsidRPr="006D2720">
        <w:rPr>
          <w:rFonts w:ascii="Times New Roman" w:hAnsi="Times New Roman" w:cs="Times New Roman"/>
        </w:rPr>
        <w:t>offered by the</w:t>
      </w:r>
      <w:r w:rsidRPr="006D2720">
        <w:rPr>
          <w:rFonts w:ascii="Times New Roman" w:hAnsi="Times New Roman" w:cs="Times New Roman"/>
        </w:rPr>
        <w:t xml:space="preserve"> PIPA </w:t>
      </w:r>
      <w:r w:rsidR="00D56820" w:rsidRPr="006D2720">
        <w:rPr>
          <w:rFonts w:ascii="Times New Roman" w:hAnsi="Times New Roman" w:cs="Times New Roman"/>
        </w:rPr>
        <w:t xml:space="preserve">can be overridden by </w:t>
      </w:r>
      <w:r w:rsidR="00A50CE9" w:rsidRPr="006D2720">
        <w:rPr>
          <w:rFonts w:ascii="Times New Roman" w:hAnsi="Times New Roman" w:cs="Times New Roman"/>
        </w:rPr>
        <w:t xml:space="preserve">any </w:t>
      </w:r>
      <w:r w:rsidRPr="006D2720">
        <w:rPr>
          <w:rFonts w:ascii="Times New Roman" w:hAnsi="Times New Roman" w:cs="Times New Roman"/>
        </w:rPr>
        <w:t>inconsistent provisions in other legislation.</w:t>
      </w:r>
      <w:r w:rsidRPr="006D2720">
        <w:rPr>
          <w:rStyle w:val="FootnoteReference"/>
          <w:rFonts w:ascii="Times New Roman" w:hAnsi="Times New Roman" w:cs="Times New Roman"/>
        </w:rPr>
        <w:footnoteReference w:id="281"/>
      </w:r>
      <w:r w:rsidR="005F07F4" w:rsidRPr="006D2720">
        <w:rPr>
          <w:rFonts w:ascii="Times New Roman" w:hAnsi="Times New Roman" w:cs="Times New Roman"/>
        </w:rPr>
        <w:t xml:space="preserve"> Therefore, where</w:t>
      </w:r>
      <w:r w:rsidRPr="006D2720">
        <w:rPr>
          <w:rFonts w:ascii="Times New Roman" w:hAnsi="Times New Roman" w:cs="Times New Roman"/>
        </w:rPr>
        <w:t xml:space="preserve"> </w:t>
      </w:r>
      <w:r w:rsidR="005F07F4" w:rsidRPr="006D2720">
        <w:rPr>
          <w:rFonts w:ascii="Times New Roman" w:hAnsi="Times New Roman" w:cs="Times New Roman"/>
        </w:rPr>
        <w:t>other legislation authorises the collection, use</w:t>
      </w:r>
      <w:r w:rsidR="005D7F61" w:rsidRPr="006D2720">
        <w:rPr>
          <w:rFonts w:ascii="Times New Roman" w:hAnsi="Times New Roman" w:cs="Times New Roman"/>
        </w:rPr>
        <w:t>,</w:t>
      </w:r>
      <w:r w:rsidR="005F07F4" w:rsidRPr="006D2720">
        <w:rPr>
          <w:rFonts w:ascii="Times New Roman" w:hAnsi="Times New Roman" w:cs="Times New Roman"/>
        </w:rPr>
        <w:t xml:space="preserve"> or disclos</w:t>
      </w:r>
      <w:r w:rsidR="002B33F4" w:rsidRPr="006D2720">
        <w:rPr>
          <w:rFonts w:ascii="Times New Roman" w:hAnsi="Times New Roman" w:cs="Times New Roman"/>
        </w:rPr>
        <w:t>ure</w:t>
      </w:r>
      <w:r w:rsidR="005F07F4" w:rsidRPr="006D2720">
        <w:rPr>
          <w:rFonts w:ascii="Times New Roman" w:hAnsi="Times New Roman" w:cs="Times New Roman"/>
        </w:rPr>
        <w:t xml:space="preserve"> of personal information in a manner that would breach the PIPA, </w:t>
      </w:r>
      <w:r w:rsidR="002B33F4" w:rsidRPr="006D2720">
        <w:rPr>
          <w:rFonts w:ascii="Times New Roman" w:hAnsi="Times New Roman" w:cs="Times New Roman"/>
        </w:rPr>
        <w:t>its</w:t>
      </w:r>
      <w:r w:rsidR="005F07F4" w:rsidRPr="006D2720">
        <w:rPr>
          <w:rFonts w:ascii="Times New Roman" w:hAnsi="Times New Roman" w:cs="Times New Roman"/>
        </w:rPr>
        <w:t xml:space="preserve"> </w:t>
      </w:r>
      <w:r w:rsidR="00EF6FCA" w:rsidRPr="006D2720">
        <w:rPr>
          <w:rFonts w:ascii="Times New Roman" w:hAnsi="Times New Roman" w:cs="Times New Roman"/>
        </w:rPr>
        <w:t xml:space="preserve">requirements </w:t>
      </w:r>
      <w:r w:rsidR="005F07F4" w:rsidRPr="006D2720">
        <w:rPr>
          <w:rFonts w:ascii="Times New Roman" w:hAnsi="Times New Roman" w:cs="Times New Roman"/>
        </w:rPr>
        <w:t>will</w:t>
      </w:r>
      <w:r w:rsidR="00D56820" w:rsidRPr="006D2720">
        <w:rPr>
          <w:rFonts w:ascii="Times New Roman" w:hAnsi="Times New Roman" w:cs="Times New Roman"/>
        </w:rPr>
        <w:t xml:space="preserve"> </w:t>
      </w:r>
      <w:r w:rsidR="00EF6FCA" w:rsidRPr="006D2720">
        <w:rPr>
          <w:rFonts w:ascii="Times New Roman" w:hAnsi="Times New Roman" w:cs="Times New Roman"/>
        </w:rPr>
        <w:t>not apply</w:t>
      </w:r>
      <w:r w:rsidRPr="006D2720">
        <w:rPr>
          <w:rFonts w:ascii="Times New Roman" w:hAnsi="Times New Roman" w:cs="Times New Roman"/>
        </w:rPr>
        <w:t xml:space="preserve">. </w:t>
      </w:r>
      <w:r w:rsidR="00D56820" w:rsidRPr="006D2720">
        <w:rPr>
          <w:rFonts w:ascii="Times New Roman" w:hAnsi="Times New Roman" w:cs="Times New Roman"/>
        </w:rPr>
        <w:t>However, it may not always be clear whether other legislation is inconsistent</w:t>
      </w:r>
      <w:r w:rsidR="003D7A39" w:rsidRPr="006D2720">
        <w:rPr>
          <w:rFonts w:ascii="Times New Roman" w:hAnsi="Times New Roman" w:cs="Times New Roman"/>
        </w:rPr>
        <w:t xml:space="preserve"> such as to </w:t>
      </w:r>
      <w:r w:rsidR="005D7F61" w:rsidRPr="006D2720">
        <w:rPr>
          <w:rFonts w:ascii="Times New Roman" w:hAnsi="Times New Roman" w:cs="Times New Roman"/>
        </w:rPr>
        <w:t>override</w:t>
      </w:r>
      <w:r w:rsidR="003D7A39" w:rsidRPr="006D2720">
        <w:rPr>
          <w:rFonts w:ascii="Times New Roman" w:hAnsi="Times New Roman" w:cs="Times New Roman"/>
        </w:rPr>
        <w:t xml:space="preserve"> the PIPA</w:t>
      </w:r>
      <w:r w:rsidR="00D56820" w:rsidRPr="006D2720">
        <w:rPr>
          <w:rFonts w:ascii="Times New Roman" w:hAnsi="Times New Roman" w:cs="Times New Roman"/>
        </w:rPr>
        <w:t xml:space="preserve">. </w:t>
      </w:r>
      <w:r w:rsidR="0078035F" w:rsidRPr="006D2720">
        <w:rPr>
          <w:rFonts w:ascii="Times New Roman" w:hAnsi="Times New Roman" w:cs="Times New Roman"/>
        </w:rPr>
        <w:t>L</w:t>
      </w:r>
      <w:r w:rsidR="00D56820" w:rsidRPr="006D2720">
        <w:rPr>
          <w:rFonts w:ascii="Times New Roman" w:hAnsi="Times New Roman" w:cs="Times New Roman"/>
        </w:rPr>
        <w:t xml:space="preserve">egislation may </w:t>
      </w:r>
      <w:r w:rsidR="005F72CD" w:rsidRPr="006D2720">
        <w:rPr>
          <w:rFonts w:ascii="Times New Roman" w:hAnsi="Times New Roman" w:cs="Times New Roman"/>
        </w:rPr>
        <w:t>authorise</w:t>
      </w:r>
      <w:r w:rsidR="00D56820" w:rsidRPr="006D2720">
        <w:rPr>
          <w:rFonts w:ascii="Times New Roman" w:hAnsi="Times New Roman" w:cs="Times New Roman"/>
        </w:rPr>
        <w:t xml:space="preserve"> </w:t>
      </w:r>
      <w:r w:rsidR="005F72CD" w:rsidRPr="006D2720">
        <w:rPr>
          <w:rFonts w:ascii="Times New Roman" w:hAnsi="Times New Roman" w:cs="Times New Roman"/>
        </w:rPr>
        <w:t xml:space="preserve">the </w:t>
      </w:r>
      <w:r w:rsidR="00D56820" w:rsidRPr="006D2720">
        <w:rPr>
          <w:rFonts w:ascii="Times New Roman" w:hAnsi="Times New Roman" w:cs="Times New Roman"/>
        </w:rPr>
        <w:t>collect</w:t>
      </w:r>
      <w:r w:rsidR="005F72CD" w:rsidRPr="006D2720">
        <w:rPr>
          <w:rFonts w:ascii="Times New Roman" w:hAnsi="Times New Roman" w:cs="Times New Roman"/>
        </w:rPr>
        <w:t xml:space="preserve">ion of </w:t>
      </w:r>
      <w:r w:rsidR="00D56820" w:rsidRPr="006D2720">
        <w:rPr>
          <w:rFonts w:ascii="Times New Roman" w:hAnsi="Times New Roman" w:cs="Times New Roman"/>
        </w:rPr>
        <w:t xml:space="preserve">certain types of information without specifying </w:t>
      </w:r>
      <w:r w:rsidR="00D56820" w:rsidRPr="006D2720">
        <w:rPr>
          <w:rFonts w:ascii="Times New Roman" w:hAnsi="Times New Roman" w:cs="Times New Roman"/>
          <w:i/>
          <w:iCs/>
        </w:rPr>
        <w:t>how</w:t>
      </w:r>
      <w:r w:rsidR="00D56820" w:rsidRPr="006D2720">
        <w:rPr>
          <w:rFonts w:ascii="Times New Roman" w:hAnsi="Times New Roman" w:cs="Times New Roman"/>
        </w:rPr>
        <w:t xml:space="preserve"> it can be collected or used. </w:t>
      </w:r>
      <w:r w:rsidR="005F72CD" w:rsidRPr="006D2720">
        <w:rPr>
          <w:rFonts w:ascii="Times New Roman" w:hAnsi="Times New Roman" w:cs="Times New Roman"/>
        </w:rPr>
        <w:t>Alternatively, l</w:t>
      </w:r>
      <w:r w:rsidR="00A36FED" w:rsidRPr="006D2720">
        <w:rPr>
          <w:rFonts w:ascii="Times New Roman" w:hAnsi="Times New Roman" w:cs="Times New Roman"/>
        </w:rPr>
        <w:t xml:space="preserve">egislation may provide for restrictions which differ slightly from those in </w:t>
      </w:r>
      <w:r w:rsidR="005F72CD" w:rsidRPr="006D2720">
        <w:rPr>
          <w:rFonts w:ascii="Times New Roman" w:hAnsi="Times New Roman" w:cs="Times New Roman"/>
        </w:rPr>
        <w:t xml:space="preserve">the </w:t>
      </w:r>
      <w:r w:rsidR="00A36FED" w:rsidRPr="006D2720">
        <w:rPr>
          <w:rFonts w:ascii="Times New Roman" w:hAnsi="Times New Roman" w:cs="Times New Roman"/>
        </w:rPr>
        <w:t xml:space="preserve">PIPA. </w:t>
      </w:r>
    </w:p>
    <w:p w14:paraId="076CA0CE" w14:textId="3A5F8BDA" w:rsidR="00CB2A2F" w:rsidRPr="006D2720" w:rsidRDefault="00F22389" w:rsidP="00CB2A2F">
      <w:pPr>
        <w:pStyle w:val="Heading3"/>
        <w:rPr>
          <w:rFonts w:ascii="Times New Roman" w:hAnsi="Times New Roman" w:cs="Times New Roman"/>
        </w:rPr>
      </w:pPr>
      <w:r w:rsidRPr="006D2720">
        <w:rPr>
          <w:rFonts w:ascii="Times New Roman" w:hAnsi="Times New Roman" w:cs="Times New Roman"/>
        </w:rPr>
        <w:t>For example, t</w:t>
      </w:r>
      <w:r w:rsidR="0064050C" w:rsidRPr="006D2720">
        <w:rPr>
          <w:rFonts w:ascii="Times New Roman" w:hAnsi="Times New Roman" w:cs="Times New Roman"/>
        </w:rPr>
        <w:t xml:space="preserve">he </w:t>
      </w:r>
      <w:r w:rsidR="0064050C" w:rsidRPr="006D2720">
        <w:rPr>
          <w:rFonts w:ascii="Times New Roman" w:hAnsi="Times New Roman" w:cs="Times New Roman"/>
          <w:i/>
        </w:rPr>
        <w:t xml:space="preserve">Right to Information Act 2009 </w:t>
      </w:r>
      <w:r w:rsidR="0064050C" w:rsidRPr="006D2720">
        <w:rPr>
          <w:rFonts w:ascii="Times New Roman" w:hAnsi="Times New Roman" w:cs="Times New Roman"/>
          <w:iCs/>
        </w:rPr>
        <w:t>(Tas)</w:t>
      </w:r>
      <w:r w:rsidR="0064050C" w:rsidRPr="006D2720">
        <w:rPr>
          <w:rFonts w:ascii="Times New Roman" w:hAnsi="Times New Roman" w:cs="Times New Roman"/>
        </w:rPr>
        <w:t xml:space="preserve"> provides a legally enforceable right to be provided with information </w:t>
      </w:r>
      <w:r w:rsidR="005D7F61" w:rsidRPr="006D2720">
        <w:rPr>
          <w:rFonts w:ascii="Times New Roman" w:hAnsi="Times New Roman" w:cs="Times New Roman"/>
        </w:rPr>
        <w:t>possessed</w:t>
      </w:r>
      <w:r w:rsidR="0064050C" w:rsidRPr="006D2720">
        <w:rPr>
          <w:rFonts w:ascii="Times New Roman" w:hAnsi="Times New Roman" w:cs="Times New Roman"/>
        </w:rPr>
        <w:t xml:space="preserve"> </w:t>
      </w:r>
      <w:r w:rsidR="005D7F61" w:rsidRPr="006D2720">
        <w:rPr>
          <w:rFonts w:ascii="Times New Roman" w:hAnsi="Times New Roman" w:cs="Times New Roman"/>
        </w:rPr>
        <w:t xml:space="preserve">by </w:t>
      </w:r>
      <w:r w:rsidR="0064050C" w:rsidRPr="006D2720">
        <w:rPr>
          <w:rFonts w:ascii="Times New Roman" w:hAnsi="Times New Roman" w:cs="Times New Roman"/>
        </w:rPr>
        <w:t>a public authority or a Minister.</w:t>
      </w:r>
      <w:r w:rsidR="0064050C" w:rsidRPr="006D2720">
        <w:rPr>
          <w:rStyle w:val="FootnoteReference"/>
          <w:rFonts w:ascii="Times New Roman" w:hAnsi="Times New Roman" w:cs="Times New Roman"/>
          <w:iCs/>
        </w:rPr>
        <w:footnoteReference w:id="282"/>
      </w:r>
      <w:r w:rsidR="0064050C" w:rsidRPr="006D2720">
        <w:rPr>
          <w:rFonts w:ascii="Times New Roman" w:hAnsi="Times New Roman" w:cs="Times New Roman"/>
        </w:rPr>
        <w:t xml:space="preserve"> This is subject to various exemptions</w:t>
      </w:r>
      <w:r w:rsidR="008C14F1" w:rsidRPr="006D2720">
        <w:rPr>
          <w:rFonts w:ascii="Times New Roman" w:hAnsi="Times New Roman" w:cs="Times New Roman"/>
        </w:rPr>
        <w:t xml:space="preserve"> that allow information to be withheld</w:t>
      </w:r>
      <w:r w:rsidR="0078035F" w:rsidRPr="006D2720">
        <w:rPr>
          <w:rFonts w:ascii="Times New Roman" w:hAnsi="Times New Roman" w:cs="Times New Roman"/>
        </w:rPr>
        <w:t xml:space="preserve">. </w:t>
      </w:r>
      <w:r w:rsidR="00FD0875" w:rsidRPr="006D2720">
        <w:rPr>
          <w:rFonts w:ascii="Times New Roman" w:hAnsi="Times New Roman" w:cs="Times New Roman"/>
        </w:rPr>
        <w:t xml:space="preserve">For example, information can be withheld if </w:t>
      </w:r>
      <w:r w:rsidR="0064050C" w:rsidRPr="006D2720">
        <w:rPr>
          <w:rFonts w:ascii="Times New Roman" w:hAnsi="Times New Roman" w:cs="Times New Roman"/>
        </w:rPr>
        <w:t xml:space="preserve">disclosure would include </w:t>
      </w:r>
      <w:r w:rsidR="003E5C89" w:rsidRPr="006D2720">
        <w:rPr>
          <w:rFonts w:ascii="Times New Roman" w:hAnsi="Times New Roman" w:cs="Times New Roman"/>
        </w:rPr>
        <w:t>a third party’s</w:t>
      </w:r>
      <w:r w:rsidR="0064050C" w:rsidRPr="006D2720">
        <w:rPr>
          <w:rFonts w:ascii="Times New Roman" w:hAnsi="Times New Roman" w:cs="Times New Roman"/>
        </w:rPr>
        <w:t xml:space="preserve"> personal information and is contrary to the public interest.</w:t>
      </w:r>
      <w:r w:rsidR="0064050C" w:rsidRPr="006D2720">
        <w:rPr>
          <w:rStyle w:val="FootnoteReference"/>
          <w:rFonts w:ascii="Times New Roman" w:hAnsi="Times New Roman" w:cs="Times New Roman"/>
          <w:iCs/>
        </w:rPr>
        <w:footnoteReference w:id="283"/>
      </w:r>
      <w:r w:rsidR="0064050C" w:rsidRPr="006D2720">
        <w:rPr>
          <w:rFonts w:ascii="Times New Roman" w:hAnsi="Times New Roman" w:cs="Times New Roman"/>
        </w:rPr>
        <w:t xml:space="preserve"> </w:t>
      </w:r>
      <w:r w:rsidR="00FD0875" w:rsidRPr="006D2720">
        <w:rPr>
          <w:rFonts w:ascii="Times New Roman" w:hAnsi="Times New Roman" w:cs="Times New Roman"/>
        </w:rPr>
        <w:t xml:space="preserve">While the public interest could nevertheless weigh in favour of disclosure, the third party </w:t>
      </w:r>
      <w:r w:rsidR="00A36FED" w:rsidRPr="006D2720">
        <w:rPr>
          <w:rFonts w:ascii="Times New Roman" w:hAnsi="Times New Roman" w:cs="Times New Roman"/>
        </w:rPr>
        <w:t xml:space="preserve">should </w:t>
      </w:r>
      <w:r w:rsidR="00C21887" w:rsidRPr="006D2720">
        <w:rPr>
          <w:rFonts w:ascii="Times New Roman" w:hAnsi="Times New Roman" w:cs="Times New Roman"/>
        </w:rPr>
        <w:t xml:space="preserve">first </w:t>
      </w:r>
      <w:r w:rsidR="00A36FED" w:rsidRPr="006D2720">
        <w:rPr>
          <w:rFonts w:ascii="Times New Roman" w:hAnsi="Times New Roman" w:cs="Times New Roman"/>
        </w:rPr>
        <w:t xml:space="preserve">be </w:t>
      </w:r>
      <w:r w:rsidR="0064050C" w:rsidRPr="006D2720">
        <w:rPr>
          <w:rFonts w:ascii="Times New Roman" w:hAnsi="Times New Roman" w:cs="Times New Roman"/>
        </w:rPr>
        <w:t xml:space="preserve">consulted and </w:t>
      </w:r>
      <w:r w:rsidR="00A36FED" w:rsidRPr="006D2720">
        <w:rPr>
          <w:rFonts w:ascii="Times New Roman" w:hAnsi="Times New Roman" w:cs="Times New Roman"/>
        </w:rPr>
        <w:t xml:space="preserve">may </w:t>
      </w:r>
      <w:r w:rsidR="0064050C" w:rsidRPr="006D2720">
        <w:rPr>
          <w:rFonts w:ascii="Times New Roman" w:hAnsi="Times New Roman" w:cs="Times New Roman"/>
        </w:rPr>
        <w:t xml:space="preserve">apply for review of any </w:t>
      </w:r>
      <w:r w:rsidR="00A36FED" w:rsidRPr="006D2720">
        <w:rPr>
          <w:rFonts w:ascii="Times New Roman" w:hAnsi="Times New Roman" w:cs="Times New Roman"/>
        </w:rPr>
        <w:t xml:space="preserve">decision </w:t>
      </w:r>
      <w:r w:rsidR="0064050C" w:rsidRPr="006D2720">
        <w:rPr>
          <w:rFonts w:ascii="Times New Roman" w:hAnsi="Times New Roman" w:cs="Times New Roman"/>
        </w:rPr>
        <w:t>to disclose the</w:t>
      </w:r>
      <w:r w:rsidR="00A36FED" w:rsidRPr="006D2720">
        <w:rPr>
          <w:rFonts w:ascii="Times New Roman" w:hAnsi="Times New Roman" w:cs="Times New Roman"/>
        </w:rPr>
        <w:t>ir</w:t>
      </w:r>
      <w:r w:rsidR="0064050C" w:rsidRPr="006D2720">
        <w:rPr>
          <w:rFonts w:ascii="Times New Roman" w:hAnsi="Times New Roman" w:cs="Times New Roman"/>
        </w:rPr>
        <w:t xml:space="preserve"> information</w:t>
      </w:r>
      <w:r w:rsidR="00A36FED" w:rsidRPr="006D2720">
        <w:rPr>
          <w:rFonts w:ascii="Times New Roman" w:hAnsi="Times New Roman" w:cs="Times New Roman"/>
        </w:rPr>
        <w:t xml:space="preserve">. </w:t>
      </w:r>
    </w:p>
    <w:p w14:paraId="17058E1D" w14:textId="5FF8A17C" w:rsidR="0064050C" w:rsidRPr="006D2720" w:rsidRDefault="00CB2A2F" w:rsidP="0066337D">
      <w:pPr>
        <w:pStyle w:val="Heading3"/>
        <w:rPr>
          <w:rFonts w:ascii="Times New Roman" w:hAnsi="Times New Roman" w:cs="Times New Roman"/>
        </w:rPr>
      </w:pPr>
      <w:r w:rsidRPr="006D2720">
        <w:rPr>
          <w:rFonts w:ascii="Times New Roman" w:hAnsi="Times New Roman" w:cs="Times New Roman"/>
        </w:rPr>
        <w:t xml:space="preserve">As for whether there is inconsistency </w:t>
      </w:r>
      <w:r w:rsidR="00E003A3" w:rsidRPr="006D2720">
        <w:rPr>
          <w:rFonts w:ascii="Times New Roman" w:hAnsi="Times New Roman" w:cs="Times New Roman"/>
        </w:rPr>
        <w:t>with</w:t>
      </w:r>
      <w:r w:rsidR="00CB4DD8" w:rsidRPr="006D2720">
        <w:rPr>
          <w:rFonts w:ascii="Times New Roman" w:hAnsi="Times New Roman" w:cs="Times New Roman"/>
        </w:rPr>
        <w:t xml:space="preserve"> </w:t>
      </w:r>
      <w:r w:rsidRPr="006D2720">
        <w:rPr>
          <w:rFonts w:ascii="Times New Roman" w:hAnsi="Times New Roman" w:cs="Times New Roman"/>
        </w:rPr>
        <w:t xml:space="preserve">the PIPPs, </w:t>
      </w:r>
      <w:r w:rsidR="00DF6C75" w:rsidRPr="006D2720">
        <w:rPr>
          <w:rFonts w:ascii="Times New Roman" w:hAnsi="Times New Roman" w:cs="Times New Roman"/>
        </w:rPr>
        <w:t xml:space="preserve">it is unclear </w:t>
      </w:r>
      <w:r w:rsidR="00531873" w:rsidRPr="006D2720">
        <w:rPr>
          <w:rFonts w:ascii="Times New Roman" w:hAnsi="Times New Roman" w:cs="Times New Roman"/>
        </w:rPr>
        <w:t>whether the</w:t>
      </w:r>
      <w:r w:rsidR="00A36FED" w:rsidRPr="006D2720">
        <w:rPr>
          <w:rFonts w:ascii="Times New Roman" w:hAnsi="Times New Roman" w:cs="Times New Roman"/>
        </w:rPr>
        <w:t xml:space="preserve"> reference to </w:t>
      </w:r>
      <w:r w:rsidR="00531873" w:rsidRPr="006D2720">
        <w:rPr>
          <w:rFonts w:ascii="Times New Roman" w:hAnsi="Times New Roman" w:cs="Times New Roman"/>
        </w:rPr>
        <w:t>‘</w:t>
      </w:r>
      <w:r w:rsidR="00A36FED" w:rsidRPr="006D2720">
        <w:rPr>
          <w:rFonts w:ascii="Times New Roman" w:hAnsi="Times New Roman" w:cs="Times New Roman"/>
        </w:rPr>
        <w:t>public interest</w:t>
      </w:r>
      <w:r w:rsidR="00531873" w:rsidRPr="006D2720">
        <w:rPr>
          <w:rFonts w:ascii="Times New Roman" w:hAnsi="Times New Roman" w:cs="Times New Roman"/>
        </w:rPr>
        <w:t>’</w:t>
      </w:r>
      <w:r w:rsidR="00A36FED" w:rsidRPr="006D2720">
        <w:rPr>
          <w:rFonts w:ascii="Times New Roman" w:hAnsi="Times New Roman" w:cs="Times New Roman"/>
        </w:rPr>
        <w:t xml:space="preserve"> would</w:t>
      </w:r>
      <w:r w:rsidR="00564874" w:rsidRPr="006D2720">
        <w:rPr>
          <w:rFonts w:ascii="Times New Roman" w:hAnsi="Times New Roman" w:cs="Times New Roman"/>
        </w:rPr>
        <w:t xml:space="preserve"> limit disclosure to the </w:t>
      </w:r>
      <w:r w:rsidR="00A36FED" w:rsidRPr="006D2720">
        <w:rPr>
          <w:rFonts w:ascii="Times New Roman" w:hAnsi="Times New Roman" w:cs="Times New Roman"/>
        </w:rPr>
        <w:t xml:space="preserve">various circumstances where disclosure is permitted under the PIPPs. </w:t>
      </w:r>
      <w:r w:rsidR="003E5C89" w:rsidRPr="006D2720">
        <w:rPr>
          <w:rFonts w:ascii="Times New Roman" w:hAnsi="Times New Roman" w:cs="Times New Roman"/>
        </w:rPr>
        <w:t xml:space="preserve">In other words, it is unclear whether disclosure that </w:t>
      </w:r>
      <w:r w:rsidR="00B211D8" w:rsidRPr="006D2720">
        <w:rPr>
          <w:rFonts w:ascii="Times New Roman" w:hAnsi="Times New Roman" w:cs="Times New Roman"/>
        </w:rPr>
        <w:t>would breach</w:t>
      </w:r>
      <w:r w:rsidR="003E5C89" w:rsidRPr="006D2720">
        <w:rPr>
          <w:rFonts w:ascii="Times New Roman" w:hAnsi="Times New Roman" w:cs="Times New Roman"/>
        </w:rPr>
        <w:t xml:space="preserve"> the PIPPs</w:t>
      </w:r>
      <w:r w:rsidR="00540060" w:rsidRPr="006D2720">
        <w:rPr>
          <w:rFonts w:ascii="Times New Roman" w:hAnsi="Times New Roman" w:cs="Times New Roman"/>
        </w:rPr>
        <w:t xml:space="preserve"> </w:t>
      </w:r>
      <w:r w:rsidR="009A07E0" w:rsidRPr="006D2720">
        <w:rPr>
          <w:rFonts w:ascii="Times New Roman" w:hAnsi="Times New Roman" w:cs="Times New Roman"/>
        </w:rPr>
        <w:t>would</w:t>
      </w:r>
      <w:r w:rsidR="00540060" w:rsidRPr="006D2720">
        <w:rPr>
          <w:rFonts w:ascii="Times New Roman" w:hAnsi="Times New Roman" w:cs="Times New Roman"/>
        </w:rPr>
        <w:t xml:space="preserve"> be</w:t>
      </w:r>
      <w:r w:rsidR="003E5C89" w:rsidRPr="006D2720">
        <w:rPr>
          <w:rFonts w:ascii="Times New Roman" w:hAnsi="Times New Roman" w:cs="Times New Roman"/>
        </w:rPr>
        <w:t xml:space="preserve"> </w:t>
      </w:r>
      <w:r w:rsidR="00CB4DD8" w:rsidRPr="006D2720">
        <w:rPr>
          <w:rFonts w:ascii="Times New Roman" w:hAnsi="Times New Roman" w:cs="Times New Roman"/>
        </w:rPr>
        <w:t xml:space="preserve">deemed </w:t>
      </w:r>
      <w:r w:rsidR="00C26B0A" w:rsidRPr="006D2720">
        <w:rPr>
          <w:rFonts w:ascii="Times New Roman" w:hAnsi="Times New Roman" w:cs="Times New Roman"/>
          <w:i/>
          <w:iCs/>
        </w:rPr>
        <w:t xml:space="preserve">against </w:t>
      </w:r>
      <w:r w:rsidR="003E5C89" w:rsidRPr="006D2720">
        <w:rPr>
          <w:rFonts w:ascii="Times New Roman" w:hAnsi="Times New Roman" w:cs="Times New Roman"/>
        </w:rPr>
        <w:t>the public interest</w:t>
      </w:r>
      <w:r w:rsidR="00CB4DD8" w:rsidRPr="006D2720">
        <w:rPr>
          <w:rFonts w:ascii="Times New Roman" w:hAnsi="Times New Roman" w:cs="Times New Roman"/>
        </w:rPr>
        <w:t xml:space="preserve"> under the </w:t>
      </w:r>
      <w:r w:rsidR="00CB4DD8" w:rsidRPr="006D2720">
        <w:rPr>
          <w:rFonts w:ascii="Times New Roman" w:hAnsi="Times New Roman" w:cs="Times New Roman"/>
          <w:i/>
          <w:iCs/>
        </w:rPr>
        <w:t>Right to Information Act 2009</w:t>
      </w:r>
      <w:r w:rsidR="002B33F4" w:rsidRPr="006D2720">
        <w:rPr>
          <w:rFonts w:ascii="Times New Roman" w:hAnsi="Times New Roman" w:cs="Times New Roman"/>
        </w:rPr>
        <w:t xml:space="preserve"> (Tas)</w:t>
      </w:r>
      <w:r w:rsidR="003E5C89" w:rsidRPr="006D2720">
        <w:rPr>
          <w:rFonts w:ascii="Times New Roman" w:hAnsi="Times New Roman" w:cs="Times New Roman"/>
        </w:rPr>
        <w:t>.</w:t>
      </w:r>
    </w:p>
    <w:p w14:paraId="4BB86B3D" w14:textId="77777777" w:rsidR="000A2BA3" w:rsidRDefault="0078035F" w:rsidP="0066337D">
      <w:pPr>
        <w:pStyle w:val="Heading3"/>
        <w:rPr>
          <w:rFonts w:ascii="Times New Roman" w:hAnsi="Times New Roman" w:cs="Times New Roman"/>
        </w:rPr>
        <w:sectPr w:rsidR="000A2BA3" w:rsidSect="00AD1632">
          <w:headerReference w:type="even" r:id="rId28"/>
          <w:headerReference w:type="default" r:id="rId29"/>
          <w:pgSz w:w="11906" w:h="16838"/>
          <w:pgMar w:top="1440" w:right="1440" w:bottom="1440" w:left="1440" w:header="708" w:footer="708" w:gutter="0"/>
          <w:cols w:space="708"/>
          <w:docGrid w:linePitch="360"/>
        </w:sectPr>
      </w:pPr>
      <w:r w:rsidRPr="006D2720">
        <w:rPr>
          <w:rFonts w:ascii="Times New Roman" w:hAnsi="Times New Roman" w:cs="Times New Roman"/>
        </w:rPr>
        <w:t xml:space="preserve">On the other hand, a </w:t>
      </w:r>
      <w:r w:rsidR="0065324B" w:rsidRPr="006D2720">
        <w:rPr>
          <w:rFonts w:ascii="Times New Roman" w:hAnsi="Times New Roman" w:cs="Times New Roman"/>
        </w:rPr>
        <w:t>clear and direct</w:t>
      </w:r>
      <w:r w:rsidRPr="006D2720">
        <w:rPr>
          <w:rFonts w:ascii="Times New Roman" w:hAnsi="Times New Roman" w:cs="Times New Roman"/>
        </w:rPr>
        <w:t xml:space="preserve"> example of </w:t>
      </w:r>
      <w:r w:rsidR="00A36FED" w:rsidRPr="006D2720">
        <w:rPr>
          <w:rFonts w:ascii="Times New Roman" w:hAnsi="Times New Roman" w:cs="Times New Roman"/>
        </w:rPr>
        <w:t xml:space="preserve">inconsistency </w:t>
      </w:r>
      <w:r w:rsidR="004B200F" w:rsidRPr="006D2720">
        <w:rPr>
          <w:rFonts w:ascii="Times New Roman" w:hAnsi="Times New Roman" w:cs="Times New Roman"/>
        </w:rPr>
        <w:t xml:space="preserve">is found </w:t>
      </w:r>
      <w:r w:rsidR="0064050C" w:rsidRPr="006D2720">
        <w:rPr>
          <w:rFonts w:ascii="Times New Roman" w:hAnsi="Times New Roman" w:cs="Times New Roman"/>
        </w:rPr>
        <w:t xml:space="preserve">in </w:t>
      </w:r>
      <w:r w:rsidR="00AF7DC6" w:rsidRPr="006D2720">
        <w:rPr>
          <w:rFonts w:ascii="Times New Roman" w:hAnsi="Times New Roman" w:cs="Times New Roman"/>
        </w:rPr>
        <w:t xml:space="preserve">legislation relating to </w:t>
      </w:r>
      <w:r w:rsidR="0064050C" w:rsidRPr="006D2720">
        <w:rPr>
          <w:rFonts w:ascii="Times New Roman" w:hAnsi="Times New Roman" w:cs="Times New Roman"/>
        </w:rPr>
        <w:t>Stolen Generation investigations</w:t>
      </w:r>
      <w:r w:rsidR="004B200F" w:rsidRPr="006D2720">
        <w:rPr>
          <w:rFonts w:ascii="Times New Roman" w:hAnsi="Times New Roman" w:cs="Times New Roman"/>
        </w:rPr>
        <w:t>.</w:t>
      </w:r>
      <w:r w:rsidR="0064050C" w:rsidRPr="006D2720">
        <w:rPr>
          <w:rFonts w:ascii="Times New Roman" w:hAnsi="Times New Roman" w:cs="Times New Roman"/>
        </w:rPr>
        <w:t xml:space="preserve"> </w:t>
      </w:r>
      <w:r w:rsidR="00DB3C48" w:rsidRPr="006D2720">
        <w:rPr>
          <w:rFonts w:ascii="Times New Roman" w:hAnsi="Times New Roman" w:cs="Times New Roman"/>
        </w:rPr>
        <w:t>The law expressly provides that</w:t>
      </w:r>
      <w:r w:rsidR="00980675" w:rsidRPr="006D2720">
        <w:rPr>
          <w:rFonts w:ascii="Times New Roman" w:hAnsi="Times New Roman" w:cs="Times New Roman"/>
        </w:rPr>
        <w:t xml:space="preserve"> t</w:t>
      </w:r>
      <w:r w:rsidR="004B200F" w:rsidRPr="006D2720">
        <w:rPr>
          <w:rFonts w:ascii="Times New Roman" w:hAnsi="Times New Roman" w:cs="Times New Roman"/>
        </w:rPr>
        <w:t xml:space="preserve">he </w:t>
      </w:r>
      <w:r w:rsidR="0064050C" w:rsidRPr="006D2720">
        <w:rPr>
          <w:rFonts w:ascii="Times New Roman" w:hAnsi="Times New Roman" w:cs="Times New Roman"/>
        </w:rPr>
        <w:t>Stolen Generations Assessor</w:t>
      </w:r>
      <w:r w:rsidRPr="006D2720">
        <w:rPr>
          <w:rFonts w:ascii="Times New Roman" w:hAnsi="Times New Roman" w:cs="Times New Roman"/>
        </w:rPr>
        <w:t xml:space="preserve"> (responsible for assessing information relevant to the investigations)</w:t>
      </w:r>
      <w:r w:rsidR="0064050C" w:rsidRPr="006D2720">
        <w:rPr>
          <w:rFonts w:ascii="Times New Roman" w:hAnsi="Times New Roman" w:cs="Times New Roman"/>
        </w:rPr>
        <w:t xml:space="preserve"> is empowered to exercise </w:t>
      </w:r>
      <w:r w:rsidR="000C04E0" w:rsidRPr="006D2720">
        <w:rPr>
          <w:rFonts w:ascii="Times New Roman" w:hAnsi="Times New Roman" w:cs="Times New Roman"/>
        </w:rPr>
        <w:t xml:space="preserve">their </w:t>
      </w:r>
      <w:r w:rsidR="0064050C" w:rsidRPr="006D2720">
        <w:rPr>
          <w:rFonts w:ascii="Times New Roman" w:hAnsi="Times New Roman" w:cs="Times New Roman"/>
        </w:rPr>
        <w:t>powers notwithstanding legislative protections of confidentiality or privacy.</w:t>
      </w:r>
      <w:r w:rsidR="0064050C" w:rsidRPr="006D2720">
        <w:rPr>
          <w:rStyle w:val="FootnoteReference"/>
          <w:rFonts w:ascii="Times New Roman" w:hAnsi="Times New Roman" w:cs="Times New Roman"/>
        </w:rPr>
        <w:footnoteReference w:id="284"/>
      </w:r>
      <w:r w:rsidR="0064050C" w:rsidRPr="006D2720">
        <w:rPr>
          <w:rFonts w:ascii="Times New Roman" w:hAnsi="Times New Roman" w:cs="Times New Roman"/>
        </w:rPr>
        <w:t xml:space="preserve"> </w:t>
      </w:r>
    </w:p>
    <w:p w14:paraId="5D6F9C47" w14:textId="3056888B" w:rsidR="0064050C" w:rsidRPr="006D2720" w:rsidRDefault="00DA606A" w:rsidP="00A453AE">
      <w:pPr>
        <w:pStyle w:val="Heading2"/>
        <w:rPr>
          <w:rFonts w:ascii="Times New Roman" w:hAnsi="Times New Roman" w:cs="Times New Roman"/>
        </w:rPr>
      </w:pPr>
      <w:bookmarkStart w:id="349" w:name="_Ref91319976"/>
      <w:bookmarkStart w:id="350" w:name="_Toc91832011"/>
      <w:bookmarkStart w:id="351" w:name="_Toc130540446"/>
      <w:r w:rsidRPr="006D2720">
        <w:rPr>
          <w:rFonts w:ascii="Times New Roman" w:hAnsi="Times New Roman" w:cs="Times New Roman"/>
        </w:rPr>
        <w:t xml:space="preserve">Legislation that restricts </w:t>
      </w:r>
      <w:r w:rsidR="00933FDF" w:rsidRPr="006D2720">
        <w:rPr>
          <w:rFonts w:ascii="Times New Roman" w:hAnsi="Times New Roman" w:cs="Times New Roman"/>
        </w:rPr>
        <w:t xml:space="preserve">the </w:t>
      </w:r>
      <w:r w:rsidR="0064050C" w:rsidRPr="006D2720">
        <w:rPr>
          <w:rFonts w:ascii="Times New Roman" w:hAnsi="Times New Roman" w:cs="Times New Roman"/>
        </w:rPr>
        <w:t>sharing of government-held information</w:t>
      </w:r>
      <w:bookmarkEnd w:id="349"/>
      <w:bookmarkEnd w:id="350"/>
      <w:bookmarkEnd w:id="351"/>
    </w:p>
    <w:p w14:paraId="3212F9CF" w14:textId="5D701C10" w:rsidR="006C1901" w:rsidRPr="006D2720" w:rsidRDefault="00DB1A38" w:rsidP="00A13B59">
      <w:pPr>
        <w:pStyle w:val="Heading3"/>
        <w:rPr>
          <w:rFonts w:ascii="Times New Roman" w:hAnsi="Times New Roman" w:cs="Times New Roman"/>
        </w:rPr>
      </w:pPr>
      <w:r w:rsidRPr="006D2720">
        <w:rPr>
          <w:rFonts w:ascii="Times New Roman" w:hAnsi="Times New Roman" w:cs="Times New Roman"/>
        </w:rPr>
        <w:t xml:space="preserve">While </w:t>
      </w:r>
      <w:r w:rsidR="00051302" w:rsidRPr="006D2720">
        <w:rPr>
          <w:rFonts w:ascii="Times New Roman" w:hAnsi="Times New Roman" w:cs="Times New Roman"/>
        </w:rPr>
        <w:t xml:space="preserve">certain </w:t>
      </w:r>
      <w:r w:rsidR="00A441B0" w:rsidRPr="006D2720">
        <w:rPr>
          <w:rFonts w:ascii="Times New Roman" w:hAnsi="Times New Roman" w:cs="Times New Roman"/>
        </w:rPr>
        <w:t xml:space="preserve">legislation may override </w:t>
      </w:r>
      <w:r w:rsidRPr="006D2720">
        <w:rPr>
          <w:rFonts w:ascii="Times New Roman" w:hAnsi="Times New Roman" w:cs="Times New Roman"/>
        </w:rPr>
        <w:t>privacy protections in the</w:t>
      </w:r>
      <w:r w:rsidR="00A441B0" w:rsidRPr="006D2720">
        <w:rPr>
          <w:rFonts w:ascii="Times New Roman" w:hAnsi="Times New Roman" w:cs="Times New Roman"/>
        </w:rPr>
        <w:t xml:space="preserve"> PIPA, </w:t>
      </w:r>
      <w:r w:rsidR="001143C1" w:rsidRPr="006D2720">
        <w:rPr>
          <w:rFonts w:ascii="Times New Roman" w:hAnsi="Times New Roman" w:cs="Times New Roman"/>
        </w:rPr>
        <w:t xml:space="preserve">legislation </w:t>
      </w:r>
      <w:r w:rsidR="00051302" w:rsidRPr="006D2720">
        <w:rPr>
          <w:rFonts w:ascii="Times New Roman" w:hAnsi="Times New Roman" w:cs="Times New Roman"/>
        </w:rPr>
        <w:t xml:space="preserve">can </w:t>
      </w:r>
      <w:r w:rsidR="00A441B0" w:rsidRPr="006D2720">
        <w:rPr>
          <w:rFonts w:ascii="Times New Roman" w:hAnsi="Times New Roman" w:cs="Times New Roman"/>
        </w:rPr>
        <w:t xml:space="preserve">also provide </w:t>
      </w:r>
      <w:r w:rsidR="001143C1" w:rsidRPr="006D2720">
        <w:rPr>
          <w:rFonts w:ascii="Times New Roman" w:hAnsi="Times New Roman" w:cs="Times New Roman"/>
        </w:rPr>
        <w:t xml:space="preserve">for secrecy of information </w:t>
      </w:r>
      <w:r w:rsidR="00EC79CD" w:rsidRPr="006D2720">
        <w:rPr>
          <w:rFonts w:ascii="Times New Roman" w:hAnsi="Times New Roman" w:cs="Times New Roman"/>
        </w:rPr>
        <w:t>in a way that</w:t>
      </w:r>
      <w:r w:rsidR="001143C1" w:rsidRPr="006D2720">
        <w:rPr>
          <w:rFonts w:ascii="Times New Roman" w:hAnsi="Times New Roman" w:cs="Times New Roman"/>
        </w:rPr>
        <w:t xml:space="preserve"> may protect </w:t>
      </w:r>
      <w:r w:rsidR="00B31A29" w:rsidRPr="006D2720">
        <w:rPr>
          <w:rFonts w:ascii="Times New Roman" w:hAnsi="Times New Roman" w:cs="Times New Roman"/>
        </w:rPr>
        <w:t>private information from</w:t>
      </w:r>
      <w:r w:rsidR="001143C1" w:rsidRPr="006D2720">
        <w:rPr>
          <w:rFonts w:ascii="Times New Roman" w:hAnsi="Times New Roman" w:cs="Times New Roman"/>
        </w:rPr>
        <w:t xml:space="preserve"> various forms of disclosure</w:t>
      </w:r>
      <w:r w:rsidR="0064050C" w:rsidRPr="006D2720">
        <w:rPr>
          <w:rFonts w:ascii="Times New Roman" w:hAnsi="Times New Roman" w:cs="Times New Roman"/>
        </w:rPr>
        <w:t xml:space="preserve">. Typically, these provisions </w:t>
      </w:r>
      <w:r w:rsidR="00830AD0" w:rsidRPr="006D2720">
        <w:rPr>
          <w:rFonts w:ascii="Times New Roman" w:hAnsi="Times New Roman" w:cs="Times New Roman"/>
        </w:rPr>
        <w:t xml:space="preserve">apply to government officials or agents whose roles involve collecting or using private information, </w:t>
      </w:r>
      <w:r w:rsidR="00051302" w:rsidRPr="006D2720">
        <w:rPr>
          <w:rFonts w:ascii="Times New Roman" w:hAnsi="Times New Roman" w:cs="Times New Roman"/>
        </w:rPr>
        <w:t>to</w:t>
      </w:r>
      <w:r w:rsidR="00830AD0" w:rsidRPr="006D2720">
        <w:rPr>
          <w:rFonts w:ascii="Times New Roman" w:hAnsi="Times New Roman" w:cs="Times New Roman"/>
        </w:rPr>
        <w:t xml:space="preserve"> prevent them </w:t>
      </w:r>
      <w:r w:rsidR="001143C1" w:rsidRPr="006D2720">
        <w:rPr>
          <w:rFonts w:ascii="Times New Roman" w:hAnsi="Times New Roman" w:cs="Times New Roman"/>
        </w:rPr>
        <w:t xml:space="preserve">from </w:t>
      </w:r>
      <w:r w:rsidR="0064050C" w:rsidRPr="006D2720">
        <w:rPr>
          <w:rFonts w:ascii="Times New Roman" w:hAnsi="Times New Roman" w:cs="Times New Roman"/>
        </w:rPr>
        <w:t xml:space="preserve">using or disclosing information </w:t>
      </w:r>
      <w:r w:rsidR="001143C1" w:rsidRPr="006D2720">
        <w:rPr>
          <w:rFonts w:ascii="Times New Roman" w:hAnsi="Times New Roman" w:cs="Times New Roman"/>
        </w:rPr>
        <w:t>in an unauthorised way.</w:t>
      </w:r>
      <w:r w:rsidR="006C1901" w:rsidRPr="006D2720">
        <w:rPr>
          <w:rFonts w:ascii="Times New Roman" w:hAnsi="Times New Roman" w:cs="Times New Roman"/>
        </w:rPr>
        <w:t xml:space="preserve"> Unauthorised disclosure may be subject to penalties.</w:t>
      </w:r>
      <w:r w:rsidR="006C1901" w:rsidRPr="006D2720">
        <w:rPr>
          <w:rStyle w:val="FootnoteReference"/>
          <w:rFonts w:ascii="Times New Roman" w:hAnsi="Times New Roman" w:cs="Times New Roman"/>
        </w:rPr>
        <w:footnoteReference w:id="285"/>
      </w:r>
      <w:r w:rsidR="006C1901" w:rsidRPr="006D2720">
        <w:rPr>
          <w:rFonts w:ascii="Times New Roman" w:hAnsi="Times New Roman" w:cs="Times New Roman"/>
        </w:rPr>
        <w:t xml:space="preserve"> </w:t>
      </w:r>
    </w:p>
    <w:p w14:paraId="1836AB18" w14:textId="09EEE5A1" w:rsidR="007D54ED" w:rsidRPr="006D2720" w:rsidRDefault="0064050C" w:rsidP="00830AD0">
      <w:pPr>
        <w:pStyle w:val="Heading3"/>
        <w:rPr>
          <w:rFonts w:ascii="Times New Roman" w:hAnsi="Times New Roman" w:cs="Times New Roman"/>
        </w:rPr>
      </w:pPr>
      <w:r w:rsidRPr="006D2720">
        <w:rPr>
          <w:rFonts w:ascii="Times New Roman" w:hAnsi="Times New Roman" w:cs="Times New Roman"/>
        </w:rPr>
        <w:t>For example, there are secrecy obligations on</w:t>
      </w:r>
      <w:r w:rsidR="007D54ED" w:rsidRPr="006D2720">
        <w:rPr>
          <w:rFonts w:ascii="Times New Roman" w:hAnsi="Times New Roman" w:cs="Times New Roman"/>
        </w:rPr>
        <w:t>:</w:t>
      </w:r>
    </w:p>
    <w:p w14:paraId="72ADFC10" w14:textId="779271DD" w:rsidR="007D54ED" w:rsidRPr="006D2720" w:rsidRDefault="0064050C" w:rsidP="007D54ED">
      <w:pPr>
        <w:pStyle w:val="Dotpointlist"/>
        <w:rPr>
          <w:rFonts w:ascii="Times New Roman" w:hAnsi="Times New Roman" w:cs="Times New Roman"/>
        </w:rPr>
      </w:pPr>
      <w:r w:rsidRPr="006D2720">
        <w:rPr>
          <w:rFonts w:ascii="Times New Roman" w:hAnsi="Times New Roman" w:cs="Times New Roman"/>
        </w:rPr>
        <w:t>law enforcement officers in the context of financial reporting</w:t>
      </w:r>
      <w:r w:rsidR="007D54ED" w:rsidRPr="006D2720">
        <w:rPr>
          <w:rFonts w:ascii="Times New Roman" w:hAnsi="Times New Roman" w:cs="Times New Roman"/>
        </w:rPr>
        <w:t>;</w:t>
      </w:r>
      <w:r w:rsidRPr="006D2720">
        <w:rPr>
          <w:rStyle w:val="FootnoteReference"/>
          <w:rFonts w:ascii="Times New Roman" w:hAnsi="Times New Roman" w:cs="Times New Roman"/>
          <w:bCs/>
          <w:szCs w:val="21"/>
        </w:rPr>
        <w:footnoteReference w:id="286"/>
      </w:r>
      <w:r w:rsidRPr="006D2720">
        <w:rPr>
          <w:rFonts w:ascii="Times New Roman" w:hAnsi="Times New Roman" w:cs="Times New Roman"/>
        </w:rPr>
        <w:t xml:space="preserve"> </w:t>
      </w:r>
    </w:p>
    <w:p w14:paraId="569848FD" w14:textId="455DEC89" w:rsidR="007D54ED" w:rsidRPr="006D2720" w:rsidRDefault="0064050C" w:rsidP="007D54ED">
      <w:pPr>
        <w:pStyle w:val="Dotpointlist"/>
        <w:rPr>
          <w:rFonts w:ascii="Times New Roman" w:hAnsi="Times New Roman" w:cs="Times New Roman"/>
        </w:rPr>
      </w:pPr>
      <w:r w:rsidRPr="006D2720">
        <w:rPr>
          <w:rFonts w:ascii="Times New Roman" w:hAnsi="Times New Roman" w:cs="Times New Roman"/>
        </w:rPr>
        <w:t>individuals administrating the first home owner grant scheme</w:t>
      </w:r>
      <w:r w:rsidR="007D54ED" w:rsidRPr="006D2720">
        <w:rPr>
          <w:rFonts w:ascii="Times New Roman" w:hAnsi="Times New Roman" w:cs="Times New Roman"/>
        </w:rPr>
        <w:t>;</w:t>
      </w:r>
      <w:r w:rsidR="007D54ED" w:rsidRPr="006D2720">
        <w:rPr>
          <w:rStyle w:val="FootnoteReference"/>
          <w:rFonts w:ascii="Times New Roman" w:hAnsi="Times New Roman" w:cs="Times New Roman"/>
          <w:bCs/>
          <w:szCs w:val="21"/>
        </w:rPr>
        <w:footnoteReference w:id="287"/>
      </w:r>
      <w:r w:rsidR="007D54ED" w:rsidRPr="006D2720">
        <w:rPr>
          <w:rFonts w:ascii="Times New Roman" w:hAnsi="Times New Roman" w:cs="Times New Roman"/>
        </w:rPr>
        <w:t xml:space="preserve"> </w:t>
      </w:r>
    </w:p>
    <w:p w14:paraId="6EFFAFBE" w14:textId="30F17026" w:rsidR="007D54ED" w:rsidRPr="006D2720" w:rsidRDefault="00051302" w:rsidP="007D54ED">
      <w:pPr>
        <w:pStyle w:val="Dotpointlist"/>
        <w:rPr>
          <w:rFonts w:ascii="Times New Roman" w:hAnsi="Times New Roman" w:cs="Times New Roman"/>
        </w:rPr>
      </w:pPr>
      <w:r w:rsidRPr="006D2720">
        <w:rPr>
          <w:rFonts w:ascii="Times New Roman" w:hAnsi="Times New Roman" w:cs="Times New Roman"/>
        </w:rPr>
        <w:t>individuals</w:t>
      </w:r>
      <w:r w:rsidR="0064050C" w:rsidRPr="006D2720">
        <w:rPr>
          <w:rFonts w:ascii="Times New Roman" w:hAnsi="Times New Roman" w:cs="Times New Roman"/>
        </w:rPr>
        <w:t xml:space="preserve"> dealing with occupational licensing</w:t>
      </w:r>
      <w:r w:rsidR="007D54ED" w:rsidRPr="006D2720">
        <w:rPr>
          <w:rFonts w:ascii="Times New Roman" w:hAnsi="Times New Roman" w:cs="Times New Roman"/>
        </w:rPr>
        <w:t>;</w:t>
      </w:r>
      <w:r w:rsidR="007D54ED" w:rsidRPr="006D2720">
        <w:rPr>
          <w:rStyle w:val="FootnoteReference"/>
          <w:rFonts w:ascii="Times New Roman" w:hAnsi="Times New Roman" w:cs="Times New Roman"/>
          <w:bCs/>
          <w:szCs w:val="21"/>
        </w:rPr>
        <w:footnoteReference w:id="288"/>
      </w:r>
      <w:r w:rsidR="007D54ED" w:rsidRPr="006D2720">
        <w:rPr>
          <w:rFonts w:ascii="Times New Roman" w:hAnsi="Times New Roman" w:cs="Times New Roman"/>
        </w:rPr>
        <w:t xml:space="preserve"> </w:t>
      </w:r>
    </w:p>
    <w:p w14:paraId="574BBC90" w14:textId="17C43B23" w:rsidR="007D54ED" w:rsidRPr="006D2720" w:rsidRDefault="0064050C" w:rsidP="007D54ED">
      <w:pPr>
        <w:pStyle w:val="Dotpointlist"/>
        <w:rPr>
          <w:rFonts w:ascii="Times New Roman" w:hAnsi="Times New Roman" w:cs="Times New Roman"/>
        </w:rPr>
      </w:pPr>
      <w:r w:rsidRPr="006D2720">
        <w:rPr>
          <w:rFonts w:ascii="Times New Roman" w:hAnsi="Times New Roman" w:cs="Times New Roman"/>
        </w:rPr>
        <w:t xml:space="preserve">officers dealing with </w:t>
      </w:r>
      <w:r w:rsidR="000D0346" w:rsidRPr="006D2720">
        <w:rPr>
          <w:rFonts w:ascii="Times New Roman" w:hAnsi="Times New Roman" w:cs="Times New Roman"/>
        </w:rPr>
        <w:t xml:space="preserve">the </w:t>
      </w:r>
      <w:r w:rsidRPr="006D2720">
        <w:rPr>
          <w:rFonts w:ascii="Times New Roman" w:hAnsi="Times New Roman" w:cs="Times New Roman"/>
        </w:rPr>
        <w:t xml:space="preserve">registration of </w:t>
      </w:r>
      <w:r w:rsidR="000D0346" w:rsidRPr="006D2720">
        <w:rPr>
          <w:rFonts w:ascii="Times New Roman" w:hAnsi="Times New Roman" w:cs="Times New Roman"/>
        </w:rPr>
        <w:t xml:space="preserve">those authorised to </w:t>
      </w:r>
      <w:r w:rsidRPr="006D2720">
        <w:rPr>
          <w:rFonts w:ascii="Times New Roman" w:hAnsi="Times New Roman" w:cs="Times New Roman"/>
        </w:rPr>
        <w:t>work with vulnerable people</w:t>
      </w:r>
      <w:r w:rsidR="007D54ED" w:rsidRPr="006D2720">
        <w:rPr>
          <w:rFonts w:ascii="Times New Roman" w:hAnsi="Times New Roman" w:cs="Times New Roman"/>
        </w:rPr>
        <w:t>;</w:t>
      </w:r>
      <w:r w:rsidR="007D54ED" w:rsidRPr="006D2720">
        <w:rPr>
          <w:rStyle w:val="FootnoteReference"/>
          <w:rFonts w:ascii="Times New Roman" w:hAnsi="Times New Roman" w:cs="Times New Roman"/>
          <w:bCs/>
          <w:szCs w:val="21"/>
        </w:rPr>
        <w:footnoteReference w:id="289"/>
      </w:r>
      <w:r w:rsidR="007D54ED" w:rsidRPr="006D2720">
        <w:rPr>
          <w:rFonts w:ascii="Times New Roman" w:hAnsi="Times New Roman" w:cs="Times New Roman"/>
        </w:rPr>
        <w:t xml:space="preserve"> </w:t>
      </w:r>
    </w:p>
    <w:p w14:paraId="09E906AF" w14:textId="2BCC9C71" w:rsidR="007D54ED" w:rsidRPr="006D2720" w:rsidRDefault="0064050C" w:rsidP="007D54ED">
      <w:pPr>
        <w:pStyle w:val="Dotpointlist"/>
        <w:rPr>
          <w:rFonts w:ascii="Times New Roman" w:hAnsi="Times New Roman" w:cs="Times New Roman"/>
        </w:rPr>
      </w:pPr>
      <w:r w:rsidRPr="006D2720">
        <w:rPr>
          <w:rFonts w:ascii="Times New Roman" w:hAnsi="Times New Roman" w:cs="Times New Roman"/>
        </w:rPr>
        <w:t>individuals involved in the governance of the Australian Crime Commission,</w:t>
      </w:r>
      <w:r w:rsidRPr="006D2720">
        <w:rPr>
          <w:rStyle w:val="FootnoteReference"/>
          <w:rFonts w:ascii="Times New Roman" w:hAnsi="Times New Roman" w:cs="Times New Roman"/>
          <w:bCs/>
          <w:szCs w:val="21"/>
        </w:rPr>
        <w:footnoteReference w:id="290"/>
      </w:r>
      <w:r w:rsidRPr="006D2720">
        <w:rPr>
          <w:rFonts w:ascii="Times New Roman" w:hAnsi="Times New Roman" w:cs="Times New Roman"/>
        </w:rPr>
        <w:t xml:space="preserve"> Corporate Affairs,</w:t>
      </w:r>
      <w:r w:rsidRPr="006D2720">
        <w:rPr>
          <w:rStyle w:val="FootnoteReference"/>
          <w:rFonts w:ascii="Times New Roman" w:hAnsi="Times New Roman" w:cs="Times New Roman"/>
          <w:bCs/>
          <w:szCs w:val="21"/>
        </w:rPr>
        <w:footnoteReference w:id="291"/>
      </w:r>
      <w:r w:rsidRPr="006D2720">
        <w:rPr>
          <w:rFonts w:ascii="Times New Roman" w:hAnsi="Times New Roman" w:cs="Times New Roman"/>
        </w:rPr>
        <w:t xml:space="preserve"> and Consumer Affairs</w:t>
      </w:r>
      <w:r w:rsidR="007D54ED" w:rsidRPr="006D2720">
        <w:rPr>
          <w:rFonts w:ascii="Times New Roman" w:hAnsi="Times New Roman" w:cs="Times New Roman"/>
        </w:rPr>
        <w:t>;</w:t>
      </w:r>
      <w:r w:rsidRPr="006D2720">
        <w:rPr>
          <w:rStyle w:val="FootnoteReference"/>
          <w:rFonts w:ascii="Times New Roman" w:hAnsi="Times New Roman" w:cs="Times New Roman"/>
          <w:bCs/>
          <w:szCs w:val="21"/>
        </w:rPr>
        <w:footnoteReference w:id="292"/>
      </w:r>
      <w:r w:rsidRPr="006D2720">
        <w:rPr>
          <w:rFonts w:ascii="Times New Roman" w:hAnsi="Times New Roman" w:cs="Times New Roman"/>
        </w:rPr>
        <w:t xml:space="preserve"> and </w:t>
      </w:r>
    </w:p>
    <w:p w14:paraId="30CFAD29" w14:textId="39682F95" w:rsidR="0064050C" w:rsidRPr="006D2720" w:rsidRDefault="00051302" w:rsidP="0066337D">
      <w:pPr>
        <w:pStyle w:val="Dotpointlist"/>
        <w:rPr>
          <w:rFonts w:ascii="Times New Roman" w:hAnsi="Times New Roman" w:cs="Times New Roman"/>
        </w:rPr>
      </w:pPr>
      <w:r w:rsidRPr="006D2720">
        <w:rPr>
          <w:rFonts w:ascii="Times New Roman" w:hAnsi="Times New Roman" w:cs="Times New Roman"/>
        </w:rPr>
        <w:t>individuals</w:t>
      </w:r>
      <w:r w:rsidR="0064050C" w:rsidRPr="006D2720">
        <w:rPr>
          <w:rFonts w:ascii="Times New Roman" w:hAnsi="Times New Roman" w:cs="Times New Roman"/>
        </w:rPr>
        <w:t xml:space="preserve"> involved in processing workers’ rehabilitation and compensation</w:t>
      </w:r>
      <w:r w:rsidR="00D87F31" w:rsidRPr="006D2720">
        <w:rPr>
          <w:rFonts w:ascii="Times New Roman" w:hAnsi="Times New Roman" w:cs="Times New Roman"/>
        </w:rPr>
        <w:t xml:space="preserve"> claims</w:t>
      </w:r>
      <w:r w:rsidR="0064050C" w:rsidRPr="006D2720">
        <w:rPr>
          <w:rFonts w:ascii="Times New Roman" w:hAnsi="Times New Roman" w:cs="Times New Roman"/>
        </w:rPr>
        <w:t>.</w:t>
      </w:r>
      <w:r w:rsidR="0064050C" w:rsidRPr="006D2720">
        <w:rPr>
          <w:rStyle w:val="FootnoteReference"/>
          <w:rFonts w:ascii="Times New Roman" w:hAnsi="Times New Roman" w:cs="Times New Roman"/>
          <w:bCs/>
          <w:szCs w:val="21"/>
        </w:rPr>
        <w:footnoteReference w:id="293"/>
      </w:r>
    </w:p>
    <w:p w14:paraId="3E066949" w14:textId="6CF62F6F" w:rsidR="0064050C" w:rsidRPr="006D2720" w:rsidRDefault="007B2565" w:rsidP="0066337D">
      <w:pPr>
        <w:pStyle w:val="Heading3"/>
        <w:rPr>
          <w:rFonts w:ascii="Times New Roman" w:hAnsi="Times New Roman" w:cs="Times New Roman"/>
        </w:rPr>
      </w:pPr>
      <w:r w:rsidRPr="006D2720">
        <w:rPr>
          <w:rFonts w:ascii="Times New Roman" w:hAnsi="Times New Roman" w:cs="Times New Roman"/>
        </w:rPr>
        <w:t>However, these provisions are not necessarily a guarantee against disclosure in all circumstances. First, the</w:t>
      </w:r>
      <w:r w:rsidR="00181910" w:rsidRPr="006D2720">
        <w:rPr>
          <w:rFonts w:ascii="Times New Roman" w:hAnsi="Times New Roman" w:cs="Times New Roman"/>
        </w:rPr>
        <w:t xml:space="preserve"> provisions vary in the </w:t>
      </w:r>
      <w:r w:rsidRPr="006D2720">
        <w:rPr>
          <w:rFonts w:ascii="Times New Roman" w:hAnsi="Times New Roman" w:cs="Times New Roman"/>
        </w:rPr>
        <w:t xml:space="preserve">degree of privacy protection </w:t>
      </w:r>
      <w:r w:rsidR="00181910" w:rsidRPr="006D2720">
        <w:rPr>
          <w:rFonts w:ascii="Times New Roman" w:hAnsi="Times New Roman" w:cs="Times New Roman"/>
        </w:rPr>
        <w:t>they afford</w:t>
      </w:r>
      <w:r w:rsidRPr="006D2720">
        <w:rPr>
          <w:rFonts w:ascii="Times New Roman" w:hAnsi="Times New Roman" w:cs="Times New Roman"/>
        </w:rPr>
        <w:t>.</w:t>
      </w:r>
      <w:r w:rsidR="00181910" w:rsidRPr="006D2720">
        <w:rPr>
          <w:rFonts w:ascii="Times New Roman" w:hAnsi="Times New Roman" w:cs="Times New Roman"/>
        </w:rPr>
        <w:t xml:space="preserve"> </w:t>
      </w:r>
      <w:r w:rsidR="00181910" w:rsidRPr="006D2720">
        <w:rPr>
          <w:rFonts w:ascii="Times New Roman" w:hAnsi="Times New Roman" w:cs="Times New Roman"/>
          <w:color w:val="000000" w:themeColor="text1"/>
        </w:rPr>
        <w:t xml:space="preserve">Second, </w:t>
      </w:r>
      <w:r w:rsidR="00051302" w:rsidRPr="006D2720">
        <w:rPr>
          <w:rFonts w:ascii="Times New Roman" w:hAnsi="Times New Roman" w:cs="Times New Roman"/>
          <w:color w:val="000000" w:themeColor="text1"/>
        </w:rPr>
        <w:t xml:space="preserve">as found </w:t>
      </w:r>
      <w:r w:rsidR="00BB1C92" w:rsidRPr="006D2720">
        <w:rPr>
          <w:rFonts w:ascii="Times New Roman" w:hAnsi="Times New Roman" w:cs="Times New Roman"/>
          <w:color w:val="000000" w:themeColor="text1"/>
        </w:rPr>
        <w:t xml:space="preserve">under the PIPA, </w:t>
      </w:r>
      <w:r w:rsidR="00642F73" w:rsidRPr="006D2720">
        <w:rPr>
          <w:rFonts w:ascii="Times New Roman" w:hAnsi="Times New Roman" w:cs="Times New Roman"/>
          <w:color w:val="000000" w:themeColor="text1"/>
        </w:rPr>
        <w:t>there are exceptions for when information can nevertheless be disclosed.</w:t>
      </w:r>
      <w:r w:rsidR="0064050C" w:rsidRPr="006D2720">
        <w:rPr>
          <w:rStyle w:val="FootnoteReference"/>
          <w:rFonts w:ascii="Times New Roman" w:hAnsi="Times New Roman" w:cs="Times New Roman"/>
          <w:color w:val="000000" w:themeColor="text1"/>
        </w:rPr>
        <w:footnoteReference w:id="294"/>
      </w:r>
      <w:r w:rsidR="0064050C" w:rsidRPr="006D2720">
        <w:rPr>
          <w:rFonts w:ascii="Times New Roman" w:hAnsi="Times New Roman" w:cs="Times New Roman"/>
          <w:color w:val="000000" w:themeColor="text1"/>
        </w:rPr>
        <w:t xml:space="preserve"> </w:t>
      </w:r>
      <w:r w:rsidR="00B02C16" w:rsidRPr="006D2720">
        <w:rPr>
          <w:rFonts w:ascii="Times New Roman" w:hAnsi="Times New Roman" w:cs="Times New Roman"/>
        </w:rPr>
        <w:t xml:space="preserve">While a </w:t>
      </w:r>
      <w:r w:rsidR="0064050C" w:rsidRPr="006D2720">
        <w:rPr>
          <w:rFonts w:ascii="Times New Roman" w:hAnsi="Times New Roman" w:cs="Times New Roman"/>
        </w:rPr>
        <w:t xml:space="preserve">variety of approaches </w:t>
      </w:r>
      <w:r w:rsidR="00B02C16" w:rsidRPr="006D2720">
        <w:rPr>
          <w:rFonts w:ascii="Times New Roman" w:hAnsi="Times New Roman" w:cs="Times New Roman"/>
        </w:rPr>
        <w:t xml:space="preserve">are taken, </w:t>
      </w:r>
      <w:r w:rsidR="00A5480D" w:rsidRPr="006D2720">
        <w:rPr>
          <w:rFonts w:ascii="Times New Roman" w:hAnsi="Times New Roman" w:cs="Times New Roman"/>
        </w:rPr>
        <w:t xml:space="preserve">typical </w:t>
      </w:r>
      <w:r w:rsidR="00A8595F" w:rsidRPr="006D2720">
        <w:rPr>
          <w:rFonts w:ascii="Times New Roman" w:hAnsi="Times New Roman" w:cs="Times New Roman"/>
        </w:rPr>
        <w:t>exceptions</w:t>
      </w:r>
      <w:r w:rsidR="00A5480D" w:rsidRPr="006D2720">
        <w:rPr>
          <w:rFonts w:ascii="Times New Roman" w:hAnsi="Times New Roman" w:cs="Times New Roman"/>
        </w:rPr>
        <w:t xml:space="preserve"> </w:t>
      </w:r>
      <w:r w:rsidR="0064050C" w:rsidRPr="006D2720">
        <w:rPr>
          <w:rFonts w:ascii="Times New Roman" w:hAnsi="Times New Roman" w:cs="Times New Roman"/>
        </w:rPr>
        <w:t>include</w:t>
      </w:r>
      <w:r w:rsidR="001143C1" w:rsidRPr="006D2720">
        <w:rPr>
          <w:rFonts w:ascii="Times New Roman" w:hAnsi="Times New Roman" w:cs="Times New Roman"/>
        </w:rPr>
        <w:t xml:space="preserve"> where the disclosure is</w:t>
      </w:r>
      <w:r w:rsidR="0064050C" w:rsidRPr="006D2720">
        <w:rPr>
          <w:rFonts w:ascii="Times New Roman" w:hAnsi="Times New Roman" w:cs="Times New Roman"/>
        </w:rPr>
        <w:t>:</w:t>
      </w:r>
    </w:p>
    <w:p w14:paraId="2D7E68DC" w14:textId="0264F100" w:rsidR="0064050C" w:rsidRPr="006D2720" w:rsidRDefault="001143C1">
      <w:pPr>
        <w:numPr>
          <w:ilvl w:val="0"/>
          <w:numId w:val="5"/>
        </w:numPr>
        <w:rPr>
          <w:rFonts w:ascii="Times New Roman" w:hAnsi="Times New Roman" w:cs="Times New Roman"/>
        </w:rPr>
      </w:pPr>
      <w:r w:rsidRPr="006D2720">
        <w:rPr>
          <w:rFonts w:ascii="Times New Roman" w:hAnsi="Times New Roman" w:cs="Times New Roman"/>
        </w:rPr>
        <w:t xml:space="preserve">in relation to </w:t>
      </w:r>
      <w:r w:rsidR="0064050C" w:rsidRPr="006D2720">
        <w:rPr>
          <w:rFonts w:ascii="Times New Roman" w:hAnsi="Times New Roman" w:cs="Times New Roman"/>
        </w:rPr>
        <w:t xml:space="preserve">the enforcement of laws of the </w:t>
      </w:r>
      <w:r w:rsidR="00051302" w:rsidRPr="006D2720">
        <w:rPr>
          <w:rFonts w:ascii="Times New Roman" w:hAnsi="Times New Roman" w:cs="Times New Roman"/>
        </w:rPr>
        <w:t>s</w:t>
      </w:r>
      <w:r w:rsidR="0064050C" w:rsidRPr="006D2720">
        <w:rPr>
          <w:rFonts w:ascii="Times New Roman" w:hAnsi="Times New Roman" w:cs="Times New Roman"/>
        </w:rPr>
        <w:t>tate, C</w:t>
      </w:r>
      <w:r w:rsidR="006C787D" w:rsidRPr="006D2720">
        <w:rPr>
          <w:rFonts w:ascii="Times New Roman" w:hAnsi="Times New Roman" w:cs="Times New Roman"/>
        </w:rPr>
        <w:t>ommonwealth</w:t>
      </w:r>
      <w:r w:rsidR="00862E2A" w:rsidRPr="006D2720">
        <w:rPr>
          <w:rFonts w:ascii="Times New Roman" w:hAnsi="Times New Roman" w:cs="Times New Roman"/>
        </w:rPr>
        <w:t>,</w:t>
      </w:r>
      <w:r w:rsidR="0064050C" w:rsidRPr="006D2720">
        <w:rPr>
          <w:rFonts w:ascii="Times New Roman" w:hAnsi="Times New Roman" w:cs="Times New Roman"/>
        </w:rPr>
        <w:t xml:space="preserve"> or another </w:t>
      </w:r>
      <w:r w:rsidR="00051302" w:rsidRPr="006D2720">
        <w:rPr>
          <w:rFonts w:ascii="Times New Roman" w:hAnsi="Times New Roman" w:cs="Times New Roman"/>
        </w:rPr>
        <w:t>s</w:t>
      </w:r>
      <w:r w:rsidR="0064050C" w:rsidRPr="006D2720">
        <w:rPr>
          <w:rFonts w:ascii="Times New Roman" w:hAnsi="Times New Roman" w:cs="Times New Roman"/>
        </w:rPr>
        <w:t xml:space="preserve">tate or </w:t>
      </w:r>
      <w:r w:rsidR="00051302" w:rsidRPr="006D2720">
        <w:rPr>
          <w:rFonts w:ascii="Times New Roman" w:hAnsi="Times New Roman" w:cs="Times New Roman"/>
        </w:rPr>
        <w:t>t</w:t>
      </w:r>
      <w:r w:rsidR="0064050C" w:rsidRPr="006D2720">
        <w:rPr>
          <w:rFonts w:ascii="Times New Roman" w:hAnsi="Times New Roman" w:cs="Times New Roman"/>
        </w:rPr>
        <w:t>erritory</w:t>
      </w:r>
      <w:r w:rsidR="00CF7878" w:rsidRPr="006D2720">
        <w:rPr>
          <w:rFonts w:ascii="Times New Roman" w:hAnsi="Times New Roman" w:cs="Times New Roman"/>
        </w:rPr>
        <w:t>;</w:t>
      </w:r>
      <w:r w:rsidR="0064050C" w:rsidRPr="006D2720">
        <w:rPr>
          <w:rStyle w:val="FootnoteReference"/>
          <w:rFonts w:ascii="Times New Roman" w:hAnsi="Times New Roman" w:cs="Times New Roman"/>
          <w:bCs/>
          <w:szCs w:val="21"/>
        </w:rPr>
        <w:footnoteReference w:id="295"/>
      </w:r>
    </w:p>
    <w:p w14:paraId="598B9327" w14:textId="5B6A2E2D" w:rsidR="0064050C" w:rsidRPr="006D2720" w:rsidRDefault="001143C1">
      <w:pPr>
        <w:numPr>
          <w:ilvl w:val="0"/>
          <w:numId w:val="5"/>
        </w:numPr>
        <w:rPr>
          <w:rFonts w:ascii="Times New Roman" w:hAnsi="Times New Roman" w:cs="Times New Roman"/>
        </w:rPr>
      </w:pPr>
      <w:r w:rsidRPr="006D2720">
        <w:rPr>
          <w:rFonts w:ascii="Times New Roman" w:hAnsi="Times New Roman" w:cs="Times New Roman"/>
        </w:rPr>
        <w:t>in relation to c</w:t>
      </w:r>
      <w:r w:rsidR="0064050C" w:rsidRPr="006D2720">
        <w:rPr>
          <w:rFonts w:ascii="Times New Roman" w:hAnsi="Times New Roman" w:cs="Times New Roman"/>
        </w:rPr>
        <w:t xml:space="preserve">arrying out functions under </w:t>
      </w:r>
      <w:r w:rsidR="00AD5BDC" w:rsidRPr="006D2720">
        <w:rPr>
          <w:rFonts w:ascii="Times New Roman" w:hAnsi="Times New Roman" w:cs="Times New Roman"/>
        </w:rPr>
        <w:t xml:space="preserve">or in administration of </w:t>
      </w:r>
      <w:r w:rsidR="00CF7878" w:rsidRPr="006D2720">
        <w:rPr>
          <w:rFonts w:ascii="Times New Roman" w:hAnsi="Times New Roman" w:cs="Times New Roman"/>
        </w:rPr>
        <w:t xml:space="preserve">the </w:t>
      </w:r>
      <w:r w:rsidR="0064050C" w:rsidRPr="006D2720">
        <w:rPr>
          <w:rFonts w:ascii="Times New Roman" w:hAnsi="Times New Roman" w:cs="Times New Roman"/>
        </w:rPr>
        <w:t>legislation</w:t>
      </w:r>
      <w:r w:rsidR="00CF7878" w:rsidRPr="006D2720">
        <w:rPr>
          <w:rFonts w:ascii="Times New Roman" w:hAnsi="Times New Roman" w:cs="Times New Roman"/>
        </w:rPr>
        <w:t xml:space="preserve"> in question;</w:t>
      </w:r>
      <w:r w:rsidR="0064050C" w:rsidRPr="006D2720">
        <w:rPr>
          <w:rStyle w:val="FootnoteReference"/>
          <w:rFonts w:ascii="Times New Roman" w:hAnsi="Times New Roman" w:cs="Times New Roman"/>
          <w:bCs/>
          <w:szCs w:val="21"/>
        </w:rPr>
        <w:footnoteReference w:id="296"/>
      </w:r>
    </w:p>
    <w:p w14:paraId="218FE55B" w14:textId="137A6D36" w:rsidR="0064050C" w:rsidRPr="006D2720" w:rsidRDefault="0064050C">
      <w:pPr>
        <w:numPr>
          <w:ilvl w:val="0"/>
          <w:numId w:val="5"/>
        </w:numPr>
        <w:rPr>
          <w:rFonts w:ascii="Times New Roman" w:hAnsi="Times New Roman" w:cs="Times New Roman"/>
        </w:rPr>
      </w:pPr>
      <w:r w:rsidRPr="006D2720">
        <w:rPr>
          <w:rFonts w:ascii="Times New Roman" w:hAnsi="Times New Roman" w:cs="Times New Roman"/>
        </w:rPr>
        <w:t>considered necessary or appropriate in the public interest</w:t>
      </w:r>
      <w:r w:rsidR="002A72DB" w:rsidRPr="006D2720">
        <w:rPr>
          <w:rFonts w:ascii="Times New Roman" w:hAnsi="Times New Roman" w:cs="Times New Roman"/>
        </w:rPr>
        <w:t xml:space="preserve"> generally</w:t>
      </w:r>
      <w:r w:rsidR="00CF7878" w:rsidRPr="006D2720">
        <w:rPr>
          <w:rFonts w:ascii="Times New Roman" w:hAnsi="Times New Roman" w:cs="Times New Roman"/>
        </w:rPr>
        <w:t>;</w:t>
      </w:r>
      <w:r w:rsidRPr="006D2720">
        <w:rPr>
          <w:rStyle w:val="FootnoteReference"/>
          <w:rFonts w:ascii="Times New Roman" w:hAnsi="Times New Roman" w:cs="Times New Roman"/>
          <w:bCs/>
          <w:szCs w:val="21"/>
        </w:rPr>
        <w:footnoteReference w:id="297"/>
      </w:r>
    </w:p>
    <w:p w14:paraId="7A0EEC7C" w14:textId="4B9FF67C" w:rsidR="005774F4" w:rsidRPr="006D2720" w:rsidRDefault="002A72DB">
      <w:pPr>
        <w:numPr>
          <w:ilvl w:val="0"/>
          <w:numId w:val="5"/>
        </w:numPr>
        <w:rPr>
          <w:rFonts w:ascii="Times New Roman" w:hAnsi="Times New Roman" w:cs="Times New Roman"/>
        </w:rPr>
      </w:pPr>
      <w:r w:rsidRPr="006D2720">
        <w:rPr>
          <w:rFonts w:ascii="Times New Roman" w:hAnsi="Times New Roman" w:cs="Times New Roman"/>
        </w:rPr>
        <w:t xml:space="preserve">related to </w:t>
      </w:r>
      <w:r w:rsidR="005774F4" w:rsidRPr="006D2720">
        <w:rPr>
          <w:rFonts w:ascii="Times New Roman" w:hAnsi="Times New Roman" w:cs="Times New Roman"/>
        </w:rPr>
        <w:t>legal proceedings</w:t>
      </w:r>
      <w:r w:rsidR="009C45C1" w:rsidRPr="006D2720">
        <w:rPr>
          <w:rFonts w:ascii="Times New Roman" w:hAnsi="Times New Roman" w:cs="Times New Roman"/>
        </w:rPr>
        <w:t>;</w:t>
      </w:r>
      <w:r w:rsidR="005774F4" w:rsidRPr="006D2720">
        <w:rPr>
          <w:rStyle w:val="FootnoteReference"/>
          <w:rFonts w:ascii="Times New Roman" w:hAnsi="Times New Roman" w:cs="Times New Roman"/>
          <w:bCs/>
          <w:szCs w:val="21"/>
        </w:rPr>
        <w:footnoteReference w:id="298"/>
      </w:r>
    </w:p>
    <w:p w14:paraId="43810D4D" w14:textId="2101CAB6" w:rsidR="007735A9" w:rsidRPr="006D2720" w:rsidRDefault="002A72DB">
      <w:pPr>
        <w:numPr>
          <w:ilvl w:val="0"/>
          <w:numId w:val="5"/>
        </w:numPr>
        <w:rPr>
          <w:rFonts w:ascii="Times New Roman" w:hAnsi="Times New Roman" w:cs="Times New Roman"/>
        </w:rPr>
      </w:pPr>
      <w:r w:rsidRPr="006D2720">
        <w:rPr>
          <w:rFonts w:ascii="Times New Roman" w:hAnsi="Times New Roman" w:cs="Times New Roman"/>
        </w:rPr>
        <w:t xml:space="preserve">related to </w:t>
      </w:r>
      <w:r w:rsidR="00EE03AA" w:rsidRPr="006D2720">
        <w:rPr>
          <w:rFonts w:ascii="Times New Roman" w:hAnsi="Times New Roman" w:cs="Times New Roman"/>
        </w:rPr>
        <w:t>research or statistical analysis purposes</w:t>
      </w:r>
      <w:r w:rsidR="006E5135" w:rsidRPr="006D2720">
        <w:rPr>
          <w:rFonts w:ascii="Times New Roman" w:hAnsi="Times New Roman" w:cs="Times New Roman"/>
        </w:rPr>
        <w:t>;</w:t>
      </w:r>
      <w:r w:rsidR="006E5135" w:rsidRPr="006D2720">
        <w:rPr>
          <w:rStyle w:val="FootnoteReference"/>
          <w:rFonts w:ascii="Times New Roman" w:hAnsi="Times New Roman" w:cs="Times New Roman"/>
          <w:bCs/>
          <w:szCs w:val="21"/>
        </w:rPr>
        <w:footnoteReference w:id="299"/>
      </w:r>
      <w:r w:rsidR="00862E2A" w:rsidRPr="006D2720">
        <w:rPr>
          <w:rFonts w:ascii="Times New Roman" w:hAnsi="Times New Roman" w:cs="Times New Roman"/>
        </w:rPr>
        <w:t xml:space="preserve"> or</w:t>
      </w:r>
    </w:p>
    <w:p w14:paraId="7AB2C491" w14:textId="44DA10EA" w:rsidR="009C45C1" w:rsidRPr="006D2720" w:rsidRDefault="002A72DB">
      <w:pPr>
        <w:numPr>
          <w:ilvl w:val="0"/>
          <w:numId w:val="5"/>
        </w:numPr>
        <w:rPr>
          <w:rFonts w:ascii="Times New Roman" w:hAnsi="Times New Roman" w:cs="Times New Roman"/>
        </w:rPr>
      </w:pPr>
      <w:r w:rsidRPr="006D2720">
        <w:rPr>
          <w:rFonts w:ascii="Times New Roman" w:hAnsi="Times New Roman" w:cs="Times New Roman"/>
        </w:rPr>
        <w:t>only</w:t>
      </w:r>
      <w:r w:rsidR="00734EA2" w:rsidRPr="006D2720">
        <w:rPr>
          <w:rFonts w:ascii="Times New Roman" w:hAnsi="Times New Roman" w:cs="Times New Roman"/>
        </w:rPr>
        <w:t xml:space="preserve"> </w:t>
      </w:r>
      <w:r w:rsidR="002D6017" w:rsidRPr="006D2720">
        <w:rPr>
          <w:rFonts w:ascii="Times New Roman" w:hAnsi="Times New Roman" w:cs="Times New Roman"/>
        </w:rPr>
        <w:t xml:space="preserve">to </w:t>
      </w:r>
      <w:r w:rsidR="00734EA2" w:rsidRPr="006D2720">
        <w:rPr>
          <w:rFonts w:ascii="Times New Roman" w:hAnsi="Times New Roman" w:cs="Times New Roman"/>
        </w:rPr>
        <w:t xml:space="preserve">specified </w:t>
      </w:r>
      <w:r w:rsidR="006E245F" w:rsidRPr="006D2720">
        <w:rPr>
          <w:rFonts w:ascii="Times New Roman" w:hAnsi="Times New Roman" w:cs="Times New Roman"/>
        </w:rPr>
        <w:t xml:space="preserve">agencies </w:t>
      </w:r>
      <w:r w:rsidR="00734EA2" w:rsidRPr="006D2720">
        <w:rPr>
          <w:rFonts w:ascii="Times New Roman" w:hAnsi="Times New Roman" w:cs="Times New Roman"/>
        </w:rPr>
        <w:t>or officers</w:t>
      </w:r>
      <w:r w:rsidRPr="006D2720">
        <w:rPr>
          <w:rFonts w:ascii="Times New Roman" w:hAnsi="Times New Roman" w:cs="Times New Roman"/>
        </w:rPr>
        <w:t>, who may, but may not, be subject to restrictions on the handling of the information in question</w:t>
      </w:r>
      <w:r w:rsidR="00734EA2" w:rsidRPr="006D2720">
        <w:rPr>
          <w:rFonts w:ascii="Times New Roman" w:hAnsi="Times New Roman" w:cs="Times New Roman"/>
        </w:rPr>
        <w:t>.</w:t>
      </w:r>
      <w:r w:rsidR="00734EA2" w:rsidRPr="006D2720">
        <w:rPr>
          <w:rStyle w:val="FootnoteReference"/>
          <w:rFonts w:ascii="Times New Roman" w:hAnsi="Times New Roman" w:cs="Times New Roman"/>
          <w:bCs/>
          <w:szCs w:val="21"/>
        </w:rPr>
        <w:footnoteReference w:id="300"/>
      </w:r>
    </w:p>
    <w:p w14:paraId="5756395C" w14:textId="44FF93A9" w:rsidR="002A72DB" w:rsidRPr="006D2720" w:rsidRDefault="0064050C" w:rsidP="008512AD">
      <w:pPr>
        <w:pStyle w:val="Heading3"/>
        <w:rPr>
          <w:rFonts w:ascii="Times New Roman" w:hAnsi="Times New Roman" w:cs="Times New Roman"/>
        </w:rPr>
      </w:pPr>
      <w:r w:rsidRPr="006D2720">
        <w:rPr>
          <w:rFonts w:ascii="Times New Roman" w:hAnsi="Times New Roman" w:cs="Times New Roman"/>
        </w:rPr>
        <w:t>In some cases</w:t>
      </w:r>
      <w:r w:rsidR="008A2949" w:rsidRPr="006D2720">
        <w:rPr>
          <w:rFonts w:ascii="Times New Roman" w:hAnsi="Times New Roman" w:cs="Times New Roman"/>
        </w:rPr>
        <w:t>,</w:t>
      </w:r>
      <w:r w:rsidRPr="006D2720">
        <w:rPr>
          <w:rFonts w:ascii="Times New Roman" w:hAnsi="Times New Roman" w:cs="Times New Roman"/>
        </w:rPr>
        <w:t xml:space="preserve"> these restrictions may be considered proportionate to the</w:t>
      </w:r>
      <w:r w:rsidR="001559FF" w:rsidRPr="006D2720">
        <w:rPr>
          <w:rFonts w:ascii="Times New Roman" w:hAnsi="Times New Roman" w:cs="Times New Roman"/>
        </w:rPr>
        <w:t>ir</w:t>
      </w:r>
      <w:r w:rsidRPr="006D2720">
        <w:rPr>
          <w:rFonts w:ascii="Times New Roman" w:hAnsi="Times New Roman" w:cs="Times New Roman"/>
        </w:rPr>
        <w:t xml:space="preserve"> potential impact</w:t>
      </w:r>
      <w:r w:rsidR="001559FF" w:rsidRPr="006D2720">
        <w:rPr>
          <w:rFonts w:ascii="Times New Roman" w:hAnsi="Times New Roman" w:cs="Times New Roman"/>
        </w:rPr>
        <w:t>s</w:t>
      </w:r>
      <w:r w:rsidRPr="006D2720">
        <w:rPr>
          <w:rFonts w:ascii="Times New Roman" w:hAnsi="Times New Roman" w:cs="Times New Roman"/>
        </w:rPr>
        <w:t xml:space="preserve"> on privacy. However</w:t>
      </w:r>
      <w:r w:rsidR="00051302" w:rsidRPr="006D2720">
        <w:rPr>
          <w:rFonts w:ascii="Times New Roman" w:hAnsi="Times New Roman" w:cs="Times New Roman"/>
        </w:rPr>
        <w:t>,</w:t>
      </w:r>
      <w:r w:rsidR="006403F7" w:rsidRPr="006D2720">
        <w:rPr>
          <w:rFonts w:ascii="Times New Roman" w:hAnsi="Times New Roman" w:cs="Times New Roman"/>
        </w:rPr>
        <w:t xml:space="preserve"> </w:t>
      </w:r>
      <w:r w:rsidR="002A72DB" w:rsidRPr="006D2720">
        <w:rPr>
          <w:rFonts w:ascii="Times New Roman" w:hAnsi="Times New Roman" w:cs="Times New Roman"/>
        </w:rPr>
        <w:t>th</w:t>
      </w:r>
      <w:r w:rsidR="001559FF" w:rsidRPr="006D2720">
        <w:rPr>
          <w:rFonts w:ascii="Times New Roman" w:hAnsi="Times New Roman" w:cs="Times New Roman"/>
        </w:rPr>
        <w:t>ere is a lack of</w:t>
      </w:r>
      <w:r w:rsidRPr="006D2720">
        <w:rPr>
          <w:rFonts w:ascii="Times New Roman" w:hAnsi="Times New Roman" w:cs="Times New Roman"/>
        </w:rPr>
        <w:t xml:space="preserve"> consisten</w:t>
      </w:r>
      <w:r w:rsidR="001559FF" w:rsidRPr="006D2720">
        <w:rPr>
          <w:rFonts w:ascii="Times New Roman" w:hAnsi="Times New Roman" w:cs="Times New Roman"/>
        </w:rPr>
        <w:t>cy in</w:t>
      </w:r>
      <w:r w:rsidRPr="006D2720">
        <w:rPr>
          <w:rFonts w:ascii="Times New Roman" w:hAnsi="Times New Roman" w:cs="Times New Roman"/>
        </w:rPr>
        <w:t xml:space="preserve"> approach</w:t>
      </w:r>
      <w:r w:rsidR="002A72DB" w:rsidRPr="006D2720">
        <w:rPr>
          <w:rFonts w:ascii="Times New Roman" w:hAnsi="Times New Roman" w:cs="Times New Roman"/>
        </w:rPr>
        <w:t xml:space="preserve">. </w:t>
      </w:r>
      <w:r w:rsidR="001559FF" w:rsidRPr="006D2720">
        <w:rPr>
          <w:rFonts w:ascii="Times New Roman" w:hAnsi="Times New Roman" w:cs="Times New Roman"/>
        </w:rPr>
        <w:t>The restrictions</w:t>
      </w:r>
      <w:r w:rsidR="006403F7" w:rsidRPr="006D2720">
        <w:rPr>
          <w:rFonts w:ascii="Times New Roman" w:hAnsi="Times New Roman" w:cs="Times New Roman"/>
        </w:rPr>
        <w:t xml:space="preserve"> may </w:t>
      </w:r>
      <w:r w:rsidR="00665AC5" w:rsidRPr="006D2720">
        <w:rPr>
          <w:rFonts w:ascii="Times New Roman" w:hAnsi="Times New Roman" w:cs="Times New Roman"/>
        </w:rPr>
        <w:t xml:space="preserve">also </w:t>
      </w:r>
      <w:r w:rsidR="006403F7" w:rsidRPr="006D2720">
        <w:rPr>
          <w:rFonts w:ascii="Times New Roman" w:hAnsi="Times New Roman" w:cs="Times New Roman"/>
        </w:rPr>
        <w:t xml:space="preserve">be drafted in </w:t>
      </w:r>
      <w:r w:rsidR="002A72DB" w:rsidRPr="006D2720">
        <w:rPr>
          <w:rFonts w:ascii="Times New Roman" w:hAnsi="Times New Roman" w:cs="Times New Roman"/>
        </w:rPr>
        <w:t>general terms</w:t>
      </w:r>
      <w:r w:rsidR="006403F7" w:rsidRPr="006D2720">
        <w:rPr>
          <w:rFonts w:ascii="Times New Roman" w:hAnsi="Times New Roman" w:cs="Times New Roman"/>
        </w:rPr>
        <w:t xml:space="preserve">, which </w:t>
      </w:r>
      <w:r w:rsidR="009048B7" w:rsidRPr="006D2720">
        <w:rPr>
          <w:rFonts w:ascii="Times New Roman" w:hAnsi="Times New Roman" w:cs="Times New Roman"/>
        </w:rPr>
        <w:t xml:space="preserve">can cause </w:t>
      </w:r>
      <w:r w:rsidR="002A72DB" w:rsidRPr="006D2720">
        <w:rPr>
          <w:rFonts w:ascii="Times New Roman" w:hAnsi="Times New Roman" w:cs="Times New Roman"/>
        </w:rPr>
        <w:t xml:space="preserve">uncertainty over the extent to which they are inconsistent with the </w:t>
      </w:r>
      <w:r w:rsidR="001559FF" w:rsidRPr="006D2720">
        <w:rPr>
          <w:rFonts w:ascii="Times New Roman" w:hAnsi="Times New Roman" w:cs="Times New Roman"/>
        </w:rPr>
        <w:t xml:space="preserve">PIPA </w:t>
      </w:r>
      <w:r w:rsidR="002A72DB" w:rsidRPr="006D2720">
        <w:rPr>
          <w:rFonts w:ascii="Times New Roman" w:hAnsi="Times New Roman" w:cs="Times New Roman"/>
        </w:rPr>
        <w:t xml:space="preserve">obligations or </w:t>
      </w:r>
      <w:r w:rsidR="00CF1C83" w:rsidRPr="006D2720">
        <w:rPr>
          <w:rFonts w:ascii="Times New Roman" w:hAnsi="Times New Roman" w:cs="Times New Roman"/>
        </w:rPr>
        <w:t xml:space="preserve">the extent to which </w:t>
      </w:r>
      <w:r w:rsidR="002A72DB" w:rsidRPr="006D2720">
        <w:rPr>
          <w:rFonts w:ascii="Times New Roman" w:hAnsi="Times New Roman" w:cs="Times New Roman"/>
        </w:rPr>
        <w:t xml:space="preserve">privacy considerations </w:t>
      </w:r>
      <w:r w:rsidR="00CF1C83" w:rsidRPr="006D2720">
        <w:rPr>
          <w:rFonts w:ascii="Times New Roman" w:hAnsi="Times New Roman" w:cs="Times New Roman"/>
        </w:rPr>
        <w:t xml:space="preserve">must </w:t>
      </w:r>
      <w:r w:rsidR="002A72DB" w:rsidRPr="006D2720">
        <w:rPr>
          <w:rFonts w:ascii="Times New Roman" w:hAnsi="Times New Roman" w:cs="Times New Roman"/>
        </w:rPr>
        <w:t xml:space="preserve">be taken into account </w:t>
      </w:r>
      <w:r w:rsidRPr="006D2720">
        <w:rPr>
          <w:rFonts w:ascii="Times New Roman" w:hAnsi="Times New Roman" w:cs="Times New Roman"/>
        </w:rPr>
        <w:t xml:space="preserve">in decisions to </w:t>
      </w:r>
      <w:r w:rsidR="00D76224" w:rsidRPr="006D2720">
        <w:rPr>
          <w:rFonts w:ascii="Times New Roman" w:hAnsi="Times New Roman" w:cs="Times New Roman"/>
        </w:rPr>
        <w:t>share</w:t>
      </w:r>
      <w:r w:rsidRPr="006D2720">
        <w:rPr>
          <w:rFonts w:ascii="Times New Roman" w:hAnsi="Times New Roman" w:cs="Times New Roman"/>
        </w:rPr>
        <w:t xml:space="preserve"> information. </w:t>
      </w:r>
    </w:p>
    <w:p w14:paraId="5D92FB3C" w14:textId="580A5D5A" w:rsidR="002215FC" w:rsidRPr="006D2720" w:rsidRDefault="00C11426" w:rsidP="00CA1A69">
      <w:pPr>
        <w:pStyle w:val="Heading2"/>
        <w:rPr>
          <w:rFonts w:ascii="Times New Roman" w:hAnsi="Times New Roman" w:cs="Times New Roman"/>
        </w:rPr>
      </w:pPr>
      <w:bookmarkStart w:id="352" w:name="_Sharing_information_within"/>
      <w:bookmarkStart w:id="353" w:name="_Ref91685494"/>
      <w:bookmarkStart w:id="354" w:name="_Toc91832012"/>
      <w:bookmarkStart w:id="355" w:name="_Toc130540447"/>
      <w:bookmarkEnd w:id="352"/>
      <w:r w:rsidRPr="006D2720">
        <w:rPr>
          <w:rFonts w:ascii="Times New Roman" w:hAnsi="Times New Roman" w:cs="Times New Roman"/>
        </w:rPr>
        <w:t xml:space="preserve">Legislation that </w:t>
      </w:r>
      <w:r w:rsidR="00E003A3" w:rsidRPr="006D2720">
        <w:rPr>
          <w:rFonts w:ascii="Times New Roman" w:hAnsi="Times New Roman" w:cs="Times New Roman"/>
        </w:rPr>
        <w:t>facilitates</w:t>
      </w:r>
      <w:r w:rsidRPr="006D2720">
        <w:rPr>
          <w:rFonts w:ascii="Times New Roman" w:hAnsi="Times New Roman" w:cs="Times New Roman"/>
        </w:rPr>
        <w:t xml:space="preserve"> </w:t>
      </w:r>
      <w:r w:rsidR="003711C9" w:rsidRPr="006D2720">
        <w:rPr>
          <w:rFonts w:ascii="Times New Roman" w:hAnsi="Times New Roman" w:cs="Times New Roman"/>
        </w:rPr>
        <w:t xml:space="preserve">the </w:t>
      </w:r>
      <w:r w:rsidRPr="006D2720">
        <w:rPr>
          <w:rFonts w:ascii="Times New Roman" w:hAnsi="Times New Roman" w:cs="Times New Roman"/>
        </w:rPr>
        <w:t>s</w:t>
      </w:r>
      <w:r w:rsidR="00532344" w:rsidRPr="006D2720">
        <w:rPr>
          <w:rFonts w:ascii="Times New Roman" w:hAnsi="Times New Roman" w:cs="Times New Roman"/>
        </w:rPr>
        <w:t xml:space="preserve">haring </w:t>
      </w:r>
      <w:r w:rsidR="003711C9" w:rsidRPr="006D2720">
        <w:rPr>
          <w:rFonts w:ascii="Times New Roman" w:hAnsi="Times New Roman" w:cs="Times New Roman"/>
        </w:rPr>
        <w:t xml:space="preserve">of information </w:t>
      </w:r>
      <w:r w:rsidR="00E47BC3" w:rsidRPr="006D2720">
        <w:rPr>
          <w:rFonts w:ascii="Times New Roman" w:hAnsi="Times New Roman" w:cs="Times New Roman"/>
        </w:rPr>
        <w:t xml:space="preserve">within and </w:t>
      </w:r>
      <w:r w:rsidR="00532344" w:rsidRPr="006D2720">
        <w:rPr>
          <w:rFonts w:ascii="Times New Roman" w:hAnsi="Times New Roman" w:cs="Times New Roman"/>
        </w:rPr>
        <w:t>between government agencies</w:t>
      </w:r>
      <w:bookmarkEnd w:id="353"/>
      <w:bookmarkEnd w:id="354"/>
      <w:bookmarkEnd w:id="355"/>
    </w:p>
    <w:p w14:paraId="22A42E99" w14:textId="63A0C9B1" w:rsidR="002215FC" w:rsidRPr="006D2720" w:rsidRDefault="00F537ED" w:rsidP="00E2254D">
      <w:pPr>
        <w:pStyle w:val="Heading3"/>
        <w:rPr>
          <w:rFonts w:ascii="Times New Roman" w:hAnsi="Times New Roman" w:cs="Times New Roman"/>
        </w:rPr>
      </w:pPr>
      <w:r w:rsidRPr="006D2720">
        <w:rPr>
          <w:rFonts w:ascii="Times New Roman" w:hAnsi="Times New Roman" w:cs="Times New Roman"/>
        </w:rPr>
        <w:t>Legislative provisions</w:t>
      </w:r>
      <w:r w:rsidR="0064050C" w:rsidRPr="006D2720">
        <w:rPr>
          <w:rFonts w:ascii="Times New Roman" w:hAnsi="Times New Roman" w:cs="Times New Roman"/>
        </w:rPr>
        <w:t xml:space="preserve"> </w:t>
      </w:r>
      <w:r w:rsidR="00E003A3" w:rsidRPr="006D2720">
        <w:rPr>
          <w:rFonts w:ascii="Times New Roman" w:hAnsi="Times New Roman" w:cs="Times New Roman"/>
        </w:rPr>
        <w:t xml:space="preserve">may </w:t>
      </w:r>
      <w:r w:rsidR="002A72DB" w:rsidRPr="006D2720">
        <w:rPr>
          <w:rFonts w:ascii="Times New Roman" w:hAnsi="Times New Roman" w:cs="Times New Roman"/>
        </w:rPr>
        <w:t xml:space="preserve">provide </w:t>
      </w:r>
      <w:r w:rsidR="0064050C" w:rsidRPr="006D2720">
        <w:rPr>
          <w:rFonts w:ascii="Times New Roman" w:hAnsi="Times New Roman" w:cs="Times New Roman"/>
        </w:rPr>
        <w:t xml:space="preserve">for the gathering of personal information </w:t>
      </w:r>
      <w:r w:rsidR="0064050C" w:rsidRPr="006D2720">
        <w:rPr>
          <w:rFonts w:ascii="Times New Roman" w:hAnsi="Times New Roman" w:cs="Times New Roman"/>
          <w:i/>
          <w:iCs/>
        </w:rPr>
        <w:t>without</w:t>
      </w:r>
      <w:r w:rsidR="0064050C" w:rsidRPr="006D2720">
        <w:rPr>
          <w:rFonts w:ascii="Times New Roman" w:hAnsi="Times New Roman" w:cs="Times New Roman"/>
        </w:rPr>
        <w:t xml:space="preserve"> specifically providing for limitations on </w:t>
      </w:r>
      <w:r w:rsidR="00EA2333" w:rsidRPr="006D2720">
        <w:rPr>
          <w:rFonts w:ascii="Times New Roman" w:hAnsi="Times New Roman" w:cs="Times New Roman"/>
        </w:rPr>
        <w:t xml:space="preserve">its </w:t>
      </w:r>
      <w:r w:rsidR="0064050C" w:rsidRPr="006D2720">
        <w:rPr>
          <w:rFonts w:ascii="Times New Roman" w:hAnsi="Times New Roman" w:cs="Times New Roman"/>
        </w:rPr>
        <w:t xml:space="preserve">use or sharing. </w:t>
      </w:r>
      <w:r w:rsidR="00E317B9" w:rsidRPr="006D2720">
        <w:rPr>
          <w:rFonts w:ascii="Times New Roman" w:hAnsi="Times New Roman" w:cs="Times New Roman"/>
        </w:rPr>
        <w:t>This can jeopardise information privacy.</w:t>
      </w:r>
      <w:r w:rsidR="002215FC" w:rsidRPr="006D2720">
        <w:rPr>
          <w:rFonts w:ascii="Times New Roman" w:hAnsi="Times New Roman" w:cs="Times New Roman"/>
        </w:rPr>
        <w:t xml:space="preserve"> </w:t>
      </w:r>
      <w:r w:rsidR="001559FF" w:rsidRPr="006D2720">
        <w:rPr>
          <w:rFonts w:ascii="Times New Roman" w:hAnsi="Times New Roman" w:cs="Times New Roman"/>
        </w:rPr>
        <w:t xml:space="preserve">An </w:t>
      </w:r>
      <w:r w:rsidR="00122D7D" w:rsidRPr="006D2720">
        <w:rPr>
          <w:rFonts w:ascii="Times New Roman" w:hAnsi="Times New Roman" w:cs="Times New Roman"/>
        </w:rPr>
        <w:t xml:space="preserve">example </w:t>
      </w:r>
      <w:r w:rsidR="00887A69" w:rsidRPr="006D2720">
        <w:rPr>
          <w:rFonts w:ascii="Times New Roman" w:hAnsi="Times New Roman" w:cs="Times New Roman"/>
        </w:rPr>
        <w:t xml:space="preserve">is </w:t>
      </w:r>
      <w:r w:rsidR="001559FF" w:rsidRPr="006D2720">
        <w:rPr>
          <w:rFonts w:ascii="Times New Roman" w:hAnsi="Times New Roman" w:cs="Times New Roman"/>
        </w:rPr>
        <w:t xml:space="preserve">legislation that </w:t>
      </w:r>
      <w:r w:rsidR="00092506" w:rsidRPr="006D2720">
        <w:rPr>
          <w:rFonts w:ascii="Times New Roman" w:hAnsi="Times New Roman" w:cs="Times New Roman"/>
        </w:rPr>
        <w:t>facilitates information sharing within and between government-agencies.</w:t>
      </w:r>
    </w:p>
    <w:p w14:paraId="15B29E3B" w14:textId="0B6AC4F6" w:rsidR="002215FC" w:rsidRPr="006D2720" w:rsidRDefault="00B33151" w:rsidP="00CA1A69">
      <w:pPr>
        <w:rPr>
          <w:rFonts w:ascii="Times New Roman" w:hAnsi="Times New Roman" w:cs="Times New Roman"/>
          <w:b/>
          <w:i/>
          <w:iCs/>
        </w:rPr>
      </w:pPr>
      <w:r w:rsidRPr="006D2720">
        <w:rPr>
          <w:rFonts w:ascii="Times New Roman" w:hAnsi="Times New Roman" w:cs="Times New Roman"/>
          <w:b/>
          <w:bCs/>
          <w:i/>
          <w:iCs/>
        </w:rPr>
        <w:t>Tasmania</w:t>
      </w:r>
    </w:p>
    <w:p w14:paraId="6D737AD7" w14:textId="0D199DB6" w:rsidR="0064050C" w:rsidRPr="006D2720" w:rsidRDefault="00002F23" w:rsidP="00AE38CB">
      <w:pPr>
        <w:pStyle w:val="Heading3"/>
        <w:rPr>
          <w:rFonts w:ascii="Times New Roman" w:hAnsi="Times New Roman" w:cs="Times New Roman"/>
        </w:rPr>
      </w:pPr>
      <w:r w:rsidRPr="006D2720">
        <w:rPr>
          <w:rFonts w:ascii="Times New Roman" w:hAnsi="Times New Roman" w:cs="Times New Roman"/>
        </w:rPr>
        <w:t>T</w:t>
      </w:r>
      <w:r w:rsidR="00B33151" w:rsidRPr="006D2720">
        <w:rPr>
          <w:rFonts w:ascii="Times New Roman" w:hAnsi="Times New Roman" w:cs="Times New Roman"/>
        </w:rPr>
        <w:t>he sharing of ‘basic personal information’</w:t>
      </w:r>
      <w:r w:rsidR="00B33151" w:rsidRPr="006D2720">
        <w:rPr>
          <w:rStyle w:val="FootnoteReference"/>
          <w:rFonts w:ascii="Times New Roman" w:hAnsi="Times New Roman" w:cs="Times New Roman"/>
        </w:rPr>
        <w:footnoteReference w:id="301"/>
      </w:r>
      <w:r w:rsidR="00B33151" w:rsidRPr="006D2720">
        <w:rPr>
          <w:rFonts w:ascii="Times New Roman" w:hAnsi="Times New Roman" w:cs="Times New Roman"/>
        </w:rPr>
        <w:t xml:space="preserve"> with public authorities</w:t>
      </w:r>
      <w:r w:rsidRPr="006D2720">
        <w:rPr>
          <w:rFonts w:ascii="Times New Roman" w:hAnsi="Times New Roman" w:cs="Times New Roman"/>
        </w:rPr>
        <w:t xml:space="preserve"> represents a potential gap in protection under the PIPA</w:t>
      </w:r>
      <w:r w:rsidR="00B33151" w:rsidRPr="006D2720">
        <w:rPr>
          <w:rFonts w:ascii="Times New Roman" w:hAnsi="Times New Roman" w:cs="Times New Roman"/>
        </w:rPr>
        <w:t>.</w:t>
      </w:r>
      <w:r w:rsidR="00551BDF" w:rsidRPr="006D2720">
        <w:rPr>
          <w:rFonts w:ascii="Times New Roman" w:hAnsi="Times New Roman" w:cs="Times New Roman"/>
        </w:rPr>
        <w:t xml:space="preserve"> </w:t>
      </w:r>
      <w:r w:rsidR="00274D3B" w:rsidRPr="006D2720">
        <w:rPr>
          <w:rFonts w:ascii="Times New Roman" w:hAnsi="Times New Roman" w:cs="Times New Roman"/>
        </w:rPr>
        <w:t>As discussed above</w:t>
      </w:r>
      <w:r w:rsidR="009122F7" w:rsidRPr="006D2720">
        <w:rPr>
          <w:rFonts w:ascii="Times New Roman" w:hAnsi="Times New Roman" w:cs="Times New Roman"/>
        </w:rPr>
        <w:t xml:space="preserve"> at </w:t>
      </w:r>
      <w:r w:rsidR="00D332F8" w:rsidRPr="006D2720">
        <w:rPr>
          <w:rFonts w:ascii="Times New Roman" w:hAnsi="Times New Roman" w:cs="Times New Roman"/>
        </w:rPr>
        <w:t>[</w:t>
      </w:r>
      <w:r w:rsidR="00E2254D" w:rsidRPr="006D2720">
        <w:rPr>
          <w:rFonts w:ascii="Times New Roman" w:hAnsi="Times New Roman" w:cs="Times New Roman"/>
        </w:rPr>
        <w:fldChar w:fldCharType="begin"/>
      </w:r>
      <w:r w:rsidR="00E2254D" w:rsidRPr="006D2720">
        <w:rPr>
          <w:rFonts w:ascii="Times New Roman" w:hAnsi="Times New Roman" w:cs="Times New Roman"/>
        </w:rPr>
        <w:instrText xml:space="preserve"> REF _Ref91322283 \r \h </w:instrText>
      </w:r>
      <w:r w:rsidR="00A660A0" w:rsidRPr="006D2720">
        <w:rPr>
          <w:rFonts w:ascii="Times New Roman" w:hAnsi="Times New Roman" w:cs="Times New Roman"/>
        </w:rPr>
        <w:instrText xml:space="preserve"> \* MERGEFORMAT </w:instrText>
      </w:r>
      <w:r w:rsidR="00E2254D" w:rsidRPr="006D2720">
        <w:rPr>
          <w:rFonts w:ascii="Times New Roman" w:hAnsi="Times New Roman" w:cs="Times New Roman"/>
        </w:rPr>
      </w:r>
      <w:r w:rsidR="00E2254D" w:rsidRPr="006D2720">
        <w:rPr>
          <w:rFonts w:ascii="Times New Roman" w:hAnsi="Times New Roman" w:cs="Times New Roman"/>
        </w:rPr>
        <w:fldChar w:fldCharType="separate"/>
      </w:r>
      <w:r w:rsidR="00E66B60">
        <w:rPr>
          <w:rFonts w:ascii="Times New Roman" w:hAnsi="Times New Roman" w:cs="Times New Roman"/>
        </w:rPr>
        <w:t>2.2.53</w:t>
      </w:r>
      <w:r w:rsidR="00E2254D" w:rsidRPr="006D2720">
        <w:rPr>
          <w:rFonts w:ascii="Times New Roman" w:hAnsi="Times New Roman" w:cs="Times New Roman"/>
        </w:rPr>
        <w:fldChar w:fldCharType="end"/>
      </w:r>
      <w:r w:rsidR="00D332F8" w:rsidRPr="006D2720">
        <w:rPr>
          <w:rFonts w:ascii="Times New Roman" w:hAnsi="Times New Roman" w:cs="Times New Roman"/>
        </w:rPr>
        <w:t>]</w:t>
      </w:r>
      <w:r w:rsidR="00E2254D" w:rsidRPr="006D2720">
        <w:rPr>
          <w:rFonts w:ascii="Times New Roman" w:hAnsi="Times New Roman" w:cs="Times New Roman"/>
        </w:rPr>
        <w:t>–</w:t>
      </w:r>
      <w:r w:rsidR="00D332F8" w:rsidRPr="006D2720">
        <w:rPr>
          <w:rFonts w:ascii="Times New Roman" w:hAnsi="Times New Roman" w:cs="Times New Roman"/>
        </w:rPr>
        <w:t>[</w:t>
      </w:r>
      <w:r w:rsidR="00E2254D" w:rsidRPr="006D2720">
        <w:rPr>
          <w:rFonts w:ascii="Times New Roman" w:hAnsi="Times New Roman" w:cs="Times New Roman"/>
        </w:rPr>
        <w:fldChar w:fldCharType="begin"/>
      </w:r>
      <w:r w:rsidR="00E2254D" w:rsidRPr="006D2720">
        <w:rPr>
          <w:rFonts w:ascii="Times New Roman" w:hAnsi="Times New Roman" w:cs="Times New Roman"/>
        </w:rPr>
        <w:instrText xml:space="preserve"> REF _Ref91322288 \r \h </w:instrText>
      </w:r>
      <w:r w:rsidR="00A660A0" w:rsidRPr="006D2720">
        <w:rPr>
          <w:rFonts w:ascii="Times New Roman" w:hAnsi="Times New Roman" w:cs="Times New Roman"/>
        </w:rPr>
        <w:instrText xml:space="preserve"> \* MERGEFORMAT </w:instrText>
      </w:r>
      <w:r w:rsidR="00E2254D" w:rsidRPr="006D2720">
        <w:rPr>
          <w:rFonts w:ascii="Times New Roman" w:hAnsi="Times New Roman" w:cs="Times New Roman"/>
        </w:rPr>
      </w:r>
      <w:r w:rsidR="00E2254D" w:rsidRPr="006D2720">
        <w:rPr>
          <w:rFonts w:ascii="Times New Roman" w:hAnsi="Times New Roman" w:cs="Times New Roman"/>
        </w:rPr>
        <w:fldChar w:fldCharType="separate"/>
      </w:r>
      <w:r w:rsidR="00E66B60">
        <w:rPr>
          <w:rFonts w:ascii="Times New Roman" w:hAnsi="Times New Roman" w:cs="Times New Roman"/>
        </w:rPr>
        <w:t>2.2.55</w:t>
      </w:r>
      <w:r w:rsidR="00E2254D" w:rsidRPr="006D2720">
        <w:rPr>
          <w:rFonts w:ascii="Times New Roman" w:hAnsi="Times New Roman" w:cs="Times New Roman"/>
        </w:rPr>
        <w:fldChar w:fldCharType="end"/>
      </w:r>
      <w:r w:rsidR="00D332F8" w:rsidRPr="006D2720">
        <w:rPr>
          <w:rFonts w:ascii="Times New Roman" w:hAnsi="Times New Roman" w:cs="Times New Roman"/>
        </w:rPr>
        <w:t>]</w:t>
      </w:r>
      <w:r w:rsidR="00E2254D" w:rsidRPr="006D2720">
        <w:rPr>
          <w:rFonts w:ascii="Times New Roman" w:hAnsi="Times New Roman" w:cs="Times New Roman"/>
        </w:rPr>
        <w:t xml:space="preserve">, </w:t>
      </w:r>
      <w:r w:rsidR="00CF0653" w:rsidRPr="006D2720">
        <w:rPr>
          <w:rFonts w:ascii="Times New Roman" w:hAnsi="Times New Roman" w:cs="Times New Roman"/>
        </w:rPr>
        <w:t xml:space="preserve">the PIPA allows </w:t>
      </w:r>
      <w:r w:rsidR="00B1535D" w:rsidRPr="006D2720">
        <w:rPr>
          <w:rFonts w:ascii="Times New Roman" w:hAnsi="Times New Roman" w:cs="Times New Roman"/>
        </w:rPr>
        <w:t xml:space="preserve">personal information custodians </w:t>
      </w:r>
      <w:r w:rsidR="00CF0653" w:rsidRPr="006D2720">
        <w:rPr>
          <w:rFonts w:ascii="Times New Roman" w:hAnsi="Times New Roman" w:cs="Times New Roman"/>
        </w:rPr>
        <w:t>to share</w:t>
      </w:r>
      <w:r w:rsidR="00B1535D" w:rsidRPr="006D2720">
        <w:rPr>
          <w:rFonts w:ascii="Times New Roman" w:hAnsi="Times New Roman" w:cs="Times New Roman"/>
        </w:rPr>
        <w:t xml:space="preserve"> </w:t>
      </w:r>
      <w:r w:rsidR="005979C5" w:rsidRPr="006D2720">
        <w:rPr>
          <w:rFonts w:ascii="Times New Roman" w:hAnsi="Times New Roman" w:cs="Times New Roman"/>
        </w:rPr>
        <w:t xml:space="preserve">this type of information </w:t>
      </w:r>
      <w:r w:rsidR="008E5DA0" w:rsidRPr="006D2720">
        <w:rPr>
          <w:rFonts w:ascii="Times New Roman" w:hAnsi="Times New Roman" w:cs="Times New Roman"/>
        </w:rPr>
        <w:t>with other public authorities</w:t>
      </w:r>
      <w:r w:rsidR="000F4C8C" w:rsidRPr="006D2720">
        <w:rPr>
          <w:rFonts w:ascii="Times New Roman" w:hAnsi="Times New Roman" w:cs="Times New Roman"/>
        </w:rPr>
        <w:t xml:space="preserve"> where the use or disclosure is reasonably necessary for the efficient storage and use of that information.</w:t>
      </w:r>
      <w:r w:rsidR="002A72DB" w:rsidRPr="006D2720">
        <w:rPr>
          <w:rFonts w:ascii="Times New Roman" w:hAnsi="Times New Roman" w:cs="Times New Roman"/>
        </w:rPr>
        <w:t xml:space="preserve"> There may therefore be considerable scope for Tasmanian government agencies to share </w:t>
      </w:r>
      <w:r w:rsidR="00E128AD" w:rsidRPr="006D2720">
        <w:rPr>
          <w:rFonts w:ascii="Times New Roman" w:hAnsi="Times New Roman" w:cs="Times New Roman"/>
        </w:rPr>
        <w:t xml:space="preserve">certain </w:t>
      </w:r>
      <w:r w:rsidR="002A72DB" w:rsidRPr="006D2720">
        <w:rPr>
          <w:rFonts w:ascii="Times New Roman" w:hAnsi="Times New Roman" w:cs="Times New Roman"/>
        </w:rPr>
        <w:t xml:space="preserve">information without being </w:t>
      </w:r>
      <w:r w:rsidR="00B17C8C" w:rsidRPr="006D2720">
        <w:rPr>
          <w:rFonts w:ascii="Times New Roman" w:hAnsi="Times New Roman" w:cs="Times New Roman"/>
        </w:rPr>
        <w:t xml:space="preserve">restricted by </w:t>
      </w:r>
      <w:r w:rsidR="002A72DB" w:rsidRPr="006D2720">
        <w:rPr>
          <w:rFonts w:ascii="Times New Roman" w:hAnsi="Times New Roman" w:cs="Times New Roman"/>
        </w:rPr>
        <w:t xml:space="preserve">obligations under </w:t>
      </w:r>
      <w:r w:rsidR="002F2A16" w:rsidRPr="006D2720">
        <w:rPr>
          <w:rFonts w:ascii="Times New Roman" w:hAnsi="Times New Roman" w:cs="Times New Roman"/>
        </w:rPr>
        <w:t xml:space="preserve">the </w:t>
      </w:r>
      <w:r w:rsidR="002A72DB" w:rsidRPr="006D2720">
        <w:rPr>
          <w:rFonts w:ascii="Times New Roman" w:hAnsi="Times New Roman" w:cs="Times New Roman"/>
        </w:rPr>
        <w:t xml:space="preserve">PIPA or </w:t>
      </w:r>
      <w:r w:rsidR="00B17C8C" w:rsidRPr="006D2720">
        <w:rPr>
          <w:rFonts w:ascii="Times New Roman" w:hAnsi="Times New Roman" w:cs="Times New Roman"/>
        </w:rPr>
        <w:t xml:space="preserve">by other </w:t>
      </w:r>
      <w:r w:rsidR="002A72DB" w:rsidRPr="006D2720">
        <w:rPr>
          <w:rFonts w:ascii="Times New Roman" w:hAnsi="Times New Roman" w:cs="Times New Roman"/>
        </w:rPr>
        <w:t>privacy considerations.</w:t>
      </w:r>
    </w:p>
    <w:p w14:paraId="79C9C09F" w14:textId="6CB21D9F" w:rsidR="009A5165" w:rsidRPr="006D2720" w:rsidRDefault="001559FF" w:rsidP="008908F7">
      <w:pPr>
        <w:pStyle w:val="Heading3"/>
        <w:rPr>
          <w:rFonts w:ascii="Times New Roman" w:hAnsi="Times New Roman" w:cs="Times New Roman"/>
        </w:rPr>
      </w:pPr>
      <w:bookmarkStart w:id="356" w:name="_Toc91536706"/>
      <w:bookmarkEnd w:id="356"/>
      <w:r w:rsidRPr="006D2720">
        <w:rPr>
          <w:rFonts w:ascii="Times New Roman" w:hAnsi="Times New Roman" w:cs="Times New Roman"/>
        </w:rPr>
        <w:t>I</w:t>
      </w:r>
      <w:r w:rsidR="00493FF7" w:rsidRPr="006D2720">
        <w:rPr>
          <w:rFonts w:ascii="Times New Roman" w:hAnsi="Times New Roman" w:cs="Times New Roman"/>
        </w:rPr>
        <w:t>nformation</w:t>
      </w:r>
      <w:r w:rsidR="00843D7F" w:rsidRPr="006D2720">
        <w:rPr>
          <w:rFonts w:ascii="Times New Roman" w:hAnsi="Times New Roman" w:cs="Times New Roman"/>
        </w:rPr>
        <w:t xml:space="preserve"> is vital to good government.</w:t>
      </w:r>
      <w:r w:rsidR="00493FF7" w:rsidRPr="006D2720">
        <w:rPr>
          <w:rFonts w:ascii="Times New Roman" w:hAnsi="Times New Roman" w:cs="Times New Roman"/>
        </w:rPr>
        <w:t xml:space="preserve"> </w:t>
      </w:r>
      <w:r w:rsidR="00843D7F" w:rsidRPr="006D2720">
        <w:rPr>
          <w:rFonts w:ascii="Times New Roman" w:hAnsi="Times New Roman" w:cs="Times New Roman"/>
        </w:rPr>
        <w:t>I</w:t>
      </w:r>
      <w:r w:rsidR="00FD4149" w:rsidRPr="006D2720">
        <w:rPr>
          <w:rFonts w:ascii="Times New Roman" w:hAnsi="Times New Roman" w:cs="Times New Roman"/>
        </w:rPr>
        <w:t>t</w:t>
      </w:r>
      <w:r w:rsidR="00843D7F" w:rsidRPr="006D2720">
        <w:rPr>
          <w:rFonts w:ascii="Times New Roman" w:hAnsi="Times New Roman" w:cs="Times New Roman"/>
        </w:rPr>
        <w:t xml:space="preserve"> </w:t>
      </w:r>
      <w:r w:rsidR="00493FF7" w:rsidRPr="006D2720">
        <w:rPr>
          <w:rFonts w:ascii="Times New Roman" w:hAnsi="Times New Roman" w:cs="Times New Roman"/>
        </w:rPr>
        <w:t>is a</w:t>
      </w:r>
      <w:r w:rsidR="00B55BCF" w:rsidRPr="006D2720">
        <w:rPr>
          <w:rFonts w:ascii="Times New Roman" w:hAnsi="Times New Roman" w:cs="Times New Roman"/>
        </w:rPr>
        <w:t>n</w:t>
      </w:r>
      <w:r w:rsidRPr="006D2720">
        <w:rPr>
          <w:rFonts w:ascii="Times New Roman" w:hAnsi="Times New Roman" w:cs="Times New Roman"/>
        </w:rPr>
        <w:t xml:space="preserve"> asset</w:t>
      </w:r>
      <w:r w:rsidR="00493FF7" w:rsidRPr="006D2720">
        <w:rPr>
          <w:rFonts w:ascii="Times New Roman" w:hAnsi="Times New Roman" w:cs="Times New Roman"/>
        </w:rPr>
        <w:t xml:space="preserve"> </w:t>
      </w:r>
      <w:r w:rsidR="00F85081" w:rsidRPr="006D2720">
        <w:rPr>
          <w:rFonts w:ascii="Times New Roman" w:hAnsi="Times New Roman" w:cs="Times New Roman"/>
        </w:rPr>
        <w:t xml:space="preserve">that is </w:t>
      </w:r>
      <w:r w:rsidR="00493FF7" w:rsidRPr="006D2720">
        <w:rPr>
          <w:rFonts w:ascii="Times New Roman" w:hAnsi="Times New Roman" w:cs="Times New Roman"/>
        </w:rPr>
        <w:t xml:space="preserve">essential for developing informed policy, </w:t>
      </w:r>
      <w:r w:rsidR="00B27AC7" w:rsidRPr="006D2720">
        <w:rPr>
          <w:rFonts w:ascii="Times New Roman" w:hAnsi="Times New Roman" w:cs="Times New Roman"/>
        </w:rPr>
        <w:t xml:space="preserve">and data exchange across agencies provides for better </w:t>
      </w:r>
      <w:r w:rsidR="00F85081" w:rsidRPr="006D2720">
        <w:rPr>
          <w:rFonts w:ascii="Times New Roman" w:hAnsi="Times New Roman" w:cs="Times New Roman"/>
        </w:rPr>
        <w:t xml:space="preserve">government-wide </w:t>
      </w:r>
      <w:r w:rsidR="00B27AC7" w:rsidRPr="006D2720">
        <w:rPr>
          <w:rFonts w:ascii="Times New Roman" w:hAnsi="Times New Roman" w:cs="Times New Roman"/>
        </w:rPr>
        <w:t>statistical capability.</w:t>
      </w:r>
      <w:r w:rsidR="00F903B6" w:rsidRPr="006D2720">
        <w:rPr>
          <w:rFonts w:ascii="Times New Roman" w:hAnsi="Times New Roman" w:cs="Times New Roman"/>
        </w:rPr>
        <w:t xml:space="preserve"> </w:t>
      </w:r>
      <w:r w:rsidR="00F324F0" w:rsidRPr="006D2720">
        <w:rPr>
          <w:rFonts w:ascii="Times New Roman" w:hAnsi="Times New Roman" w:cs="Times New Roman"/>
        </w:rPr>
        <w:t>Therefore</w:t>
      </w:r>
      <w:r w:rsidR="00BE5E65" w:rsidRPr="006D2720">
        <w:rPr>
          <w:rFonts w:ascii="Times New Roman" w:hAnsi="Times New Roman" w:cs="Times New Roman"/>
        </w:rPr>
        <w:t>, t</w:t>
      </w:r>
      <w:r w:rsidR="00820447" w:rsidRPr="006D2720">
        <w:rPr>
          <w:rFonts w:ascii="Times New Roman" w:hAnsi="Times New Roman" w:cs="Times New Roman"/>
        </w:rPr>
        <w:t xml:space="preserve">he Tasmanian </w:t>
      </w:r>
      <w:r w:rsidR="0036674F" w:rsidRPr="006D2720">
        <w:rPr>
          <w:rFonts w:ascii="Times New Roman" w:hAnsi="Times New Roman" w:cs="Times New Roman"/>
        </w:rPr>
        <w:t>G</w:t>
      </w:r>
      <w:r w:rsidR="00820447" w:rsidRPr="006D2720">
        <w:rPr>
          <w:rFonts w:ascii="Times New Roman" w:hAnsi="Times New Roman" w:cs="Times New Roman"/>
        </w:rPr>
        <w:t xml:space="preserve">overnment has adopted </w:t>
      </w:r>
      <w:r w:rsidR="00DC35DD" w:rsidRPr="006D2720">
        <w:rPr>
          <w:rFonts w:ascii="Times New Roman" w:hAnsi="Times New Roman" w:cs="Times New Roman"/>
        </w:rPr>
        <w:t xml:space="preserve">the </w:t>
      </w:r>
      <w:r w:rsidR="00820447" w:rsidRPr="006D2720">
        <w:rPr>
          <w:rFonts w:ascii="Times New Roman" w:hAnsi="Times New Roman" w:cs="Times New Roman"/>
        </w:rPr>
        <w:t>Administrative Data Exchange Protocol for Tasmania (</w:t>
      </w:r>
      <w:r w:rsidR="00F858E1" w:rsidRPr="006D2720">
        <w:rPr>
          <w:rFonts w:ascii="Times New Roman" w:hAnsi="Times New Roman" w:cs="Times New Roman"/>
        </w:rPr>
        <w:t>‘</w:t>
      </w:r>
      <w:r w:rsidR="00820447" w:rsidRPr="006D2720">
        <w:rPr>
          <w:rFonts w:ascii="Times New Roman" w:hAnsi="Times New Roman" w:cs="Times New Roman"/>
        </w:rPr>
        <w:t>ADEPT</w:t>
      </w:r>
      <w:r w:rsidR="00F858E1" w:rsidRPr="006D2720">
        <w:rPr>
          <w:rFonts w:ascii="Times New Roman" w:hAnsi="Times New Roman" w:cs="Times New Roman"/>
        </w:rPr>
        <w:t>’</w:t>
      </w:r>
      <w:r w:rsidR="00820447" w:rsidRPr="006D2720">
        <w:rPr>
          <w:rFonts w:ascii="Times New Roman" w:hAnsi="Times New Roman" w:cs="Times New Roman"/>
        </w:rPr>
        <w:t>)</w:t>
      </w:r>
      <w:r w:rsidR="00D45A89" w:rsidRPr="006D2720">
        <w:rPr>
          <w:rFonts w:ascii="Times New Roman" w:hAnsi="Times New Roman" w:cs="Times New Roman"/>
        </w:rPr>
        <w:t xml:space="preserve">, </w:t>
      </w:r>
      <w:r w:rsidRPr="006D2720">
        <w:rPr>
          <w:rFonts w:ascii="Times New Roman" w:hAnsi="Times New Roman" w:cs="Times New Roman"/>
        </w:rPr>
        <w:t>to</w:t>
      </w:r>
      <w:r w:rsidR="00655EA0" w:rsidRPr="006D2720">
        <w:rPr>
          <w:rFonts w:ascii="Times New Roman" w:hAnsi="Times New Roman" w:cs="Times New Roman"/>
        </w:rPr>
        <w:t xml:space="preserve"> </w:t>
      </w:r>
      <w:r w:rsidR="00D45A89" w:rsidRPr="006D2720">
        <w:rPr>
          <w:rFonts w:ascii="Times New Roman" w:hAnsi="Times New Roman" w:cs="Times New Roman"/>
        </w:rPr>
        <w:t>‘promote and manage cross-Agency information exchange in ways that are open, transparent and secure</w:t>
      </w:r>
      <w:r w:rsidR="00471D6F" w:rsidRPr="006D2720">
        <w:rPr>
          <w:rFonts w:ascii="Times New Roman" w:hAnsi="Times New Roman" w:cs="Times New Roman"/>
        </w:rPr>
        <w:t>’.</w:t>
      </w:r>
      <w:r w:rsidR="00471D6F" w:rsidRPr="006D2720">
        <w:rPr>
          <w:rStyle w:val="FootnoteReference"/>
          <w:rFonts w:ascii="Times New Roman" w:hAnsi="Times New Roman" w:cs="Times New Roman"/>
        </w:rPr>
        <w:footnoteReference w:id="302"/>
      </w:r>
      <w:r w:rsidR="00BB3421" w:rsidRPr="006D2720">
        <w:rPr>
          <w:rFonts w:ascii="Times New Roman" w:hAnsi="Times New Roman" w:cs="Times New Roman"/>
        </w:rPr>
        <w:t xml:space="preserve"> </w:t>
      </w:r>
      <w:r w:rsidR="00266A7C" w:rsidRPr="006D2720">
        <w:rPr>
          <w:rFonts w:ascii="Times New Roman" w:hAnsi="Times New Roman" w:cs="Times New Roman"/>
        </w:rPr>
        <w:t xml:space="preserve"> </w:t>
      </w:r>
    </w:p>
    <w:p w14:paraId="2CD17E20" w14:textId="052B5D41" w:rsidR="00103A64" w:rsidRPr="006D2720" w:rsidRDefault="00751922" w:rsidP="009A5165">
      <w:pPr>
        <w:pStyle w:val="Heading3"/>
        <w:rPr>
          <w:rFonts w:ascii="Times New Roman" w:hAnsi="Times New Roman" w:cs="Times New Roman"/>
        </w:rPr>
      </w:pPr>
      <w:r w:rsidRPr="006D2720">
        <w:rPr>
          <w:rFonts w:ascii="Times New Roman" w:hAnsi="Times New Roman" w:cs="Times New Roman"/>
        </w:rPr>
        <w:t xml:space="preserve">The </w:t>
      </w:r>
      <w:r w:rsidR="00655EA0" w:rsidRPr="006D2720">
        <w:rPr>
          <w:rFonts w:ascii="Times New Roman" w:hAnsi="Times New Roman" w:cs="Times New Roman"/>
        </w:rPr>
        <w:t xml:space="preserve">ADEPT </w:t>
      </w:r>
      <w:r w:rsidR="00663312" w:rsidRPr="006D2720">
        <w:rPr>
          <w:rFonts w:ascii="Times New Roman" w:hAnsi="Times New Roman" w:cs="Times New Roman"/>
        </w:rPr>
        <w:t xml:space="preserve">is intended to be read in conjunction with the PIPA and </w:t>
      </w:r>
      <w:r w:rsidR="00BB3421" w:rsidRPr="006D2720">
        <w:rPr>
          <w:rFonts w:ascii="Times New Roman" w:hAnsi="Times New Roman" w:cs="Times New Roman"/>
        </w:rPr>
        <w:t xml:space="preserve">includes a set of principles and </w:t>
      </w:r>
      <w:r w:rsidR="00AE38CB" w:rsidRPr="006D2720">
        <w:rPr>
          <w:rFonts w:ascii="Times New Roman" w:hAnsi="Times New Roman" w:cs="Times New Roman"/>
        </w:rPr>
        <w:t xml:space="preserve">procedures </w:t>
      </w:r>
      <w:r w:rsidR="00BB3421" w:rsidRPr="006D2720">
        <w:rPr>
          <w:rFonts w:ascii="Times New Roman" w:hAnsi="Times New Roman" w:cs="Times New Roman"/>
        </w:rPr>
        <w:t xml:space="preserve">intended to </w:t>
      </w:r>
      <w:r w:rsidR="00BE09C3" w:rsidRPr="006D2720">
        <w:rPr>
          <w:rFonts w:ascii="Times New Roman" w:hAnsi="Times New Roman" w:cs="Times New Roman"/>
        </w:rPr>
        <w:t xml:space="preserve">ensure </w:t>
      </w:r>
      <w:r w:rsidR="007D2241" w:rsidRPr="006D2720">
        <w:rPr>
          <w:rFonts w:ascii="Times New Roman" w:hAnsi="Times New Roman" w:cs="Times New Roman"/>
        </w:rPr>
        <w:t xml:space="preserve">that proper safeguards are in place when </w:t>
      </w:r>
      <w:r w:rsidR="00874156" w:rsidRPr="006D2720">
        <w:rPr>
          <w:rFonts w:ascii="Times New Roman" w:hAnsi="Times New Roman" w:cs="Times New Roman"/>
        </w:rPr>
        <w:t>exchang</w:t>
      </w:r>
      <w:r w:rsidR="007D2241" w:rsidRPr="006D2720">
        <w:rPr>
          <w:rFonts w:ascii="Times New Roman" w:hAnsi="Times New Roman" w:cs="Times New Roman"/>
        </w:rPr>
        <w:t xml:space="preserve">ing </w:t>
      </w:r>
      <w:r w:rsidR="00874156" w:rsidRPr="006D2720">
        <w:rPr>
          <w:rFonts w:ascii="Times New Roman" w:hAnsi="Times New Roman" w:cs="Times New Roman"/>
        </w:rPr>
        <w:t xml:space="preserve">data </w:t>
      </w:r>
      <w:r w:rsidR="007D2241" w:rsidRPr="006D2720">
        <w:rPr>
          <w:rFonts w:ascii="Times New Roman" w:hAnsi="Times New Roman" w:cs="Times New Roman"/>
        </w:rPr>
        <w:t xml:space="preserve">within and </w:t>
      </w:r>
      <w:r w:rsidR="00874156" w:rsidRPr="006D2720">
        <w:rPr>
          <w:rFonts w:ascii="Times New Roman" w:hAnsi="Times New Roman" w:cs="Times New Roman"/>
        </w:rPr>
        <w:t xml:space="preserve">between agencies in the public interest. </w:t>
      </w:r>
      <w:r w:rsidR="009A5165" w:rsidRPr="006D2720">
        <w:rPr>
          <w:rFonts w:ascii="Times New Roman" w:hAnsi="Times New Roman" w:cs="Times New Roman"/>
        </w:rPr>
        <w:t xml:space="preserve">One principle is safe authorisation, which mandates that provisos of data privacy, confidentiality, security, and intellectual property are respected and protected. This is especially crucial given that, as the ADEPT recognises, </w:t>
      </w:r>
      <w:r w:rsidR="00230A1E" w:rsidRPr="006D2720">
        <w:rPr>
          <w:rFonts w:ascii="Times New Roman" w:hAnsi="Times New Roman" w:cs="Times New Roman"/>
        </w:rPr>
        <w:t>much of ‘data considered essential for population-based research and policy decisions contains personal and often sensitive information’</w:t>
      </w:r>
      <w:r w:rsidR="00532344" w:rsidRPr="006D2720">
        <w:rPr>
          <w:rFonts w:ascii="Times New Roman" w:hAnsi="Times New Roman" w:cs="Times New Roman"/>
        </w:rPr>
        <w:t>.</w:t>
      </w:r>
      <w:r w:rsidR="00230A1E" w:rsidRPr="006D2720">
        <w:rPr>
          <w:rStyle w:val="FootnoteReference"/>
          <w:rFonts w:ascii="Times New Roman" w:hAnsi="Times New Roman" w:cs="Times New Roman"/>
        </w:rPr>
        <w:footnoteReference w:id="303"/>
      </w:r>
      <w:r w:rsidR="00AE38CB" w:rsidRPr="006D2720">
        <w:rPr>
          <w:rFonts w:ascii="Times New Roman" w:hAnsi="Times New Roman" w:cs="Times New Roman"/>
        </w:rPr>
        <w:t xml:space="preserve"> </w:t>
      </w:r>
    </w:p>
    <w:p w14:paraId="4024D83F" w14:textId="20628ACB" w:rsidR="005265F1" w:rsidRPr="006D2720" w:rsidRDefault="00103A64" w:rsidP="00532344">
      <w:pPr>
        <w:pStyle w:val="Heading3"/>
        <w:rPr>
          <w:rFonts w:ascii="Times New Roman" w:hAnsi="Times New Roman" w:cs="Times New Roman"/>
        </w:rPr>
      </w:pPr>
      <w:r w:rsidRPr="006D2720">
        <w:rPr>
          <w:rFonts w:ascii="Times New Roman" w:hAnsi="Times New Roman" w:cs="Times New Roman"/>
        </w:rPr>
        <w:t xml:space="preserve">As part of </w:t>
      </w:r>
      <w:r w:rsidR="00263D30" w:rsidRPr="006D2720">
        <w:rPr>
          <w:rFonts w:ascii="Times New Roman" w:hAnsi="Times New Roman" w:cs="Times New Roman"/>
        </w:rPr>
        <w:t>this</w:t>
      </w:r>
      <w:r w:rsidRPr="006D2720">
        <w:rPr>
          <w:rFonts w:ascii="Times New Roman" w:hAnsi="Times New Roman" w:cs="Times New Roman"/>
        </w:rPr>
        <w:t xml:space="preserve"> principle, </w:t>
      </w:r>
      <w:r w:rsidR="00E45205" w:rsidRPr="006D2720">
        <w:rPr>
          <w:rFonts w:ascii="Times New Roman" w:hAnsi="Times New Roman" w:cs="Times New Roman"/>
        </w:rPr>
        <w:t xml:space="preserve">agencies must </w:t>
      </w:r>
      <w:r w:rsidR="00B12A4A" w:rsidRPr="006D2720">
        <w:rPr>
          <w:rFonts w:ascii="Times New Roman" w:hAnsi="Times New Roman" w:cs="Times New Roman"/>
        </w:rPr>
        <w:t>follow</w:t>
      </w:r>
      <w:r w:rsidR="00E45205" w:rsidRPr="006D2720">
        <w:rPr>
          <w:rFonts w:ascii="Times New Roman" w:hAnsi="Times New Roman" w:cs="Times New Roman"/>
        </w:rPr>
        <w:t xml:space="preserve"> </w:t>
      </w:r>
      <w:r w:rsidR="00D667BF" w:rsidRPr="006D2720">
        <w:rPr>
          <w:rFonts w:ascii="Times New Roman" w:hAnsi="Times New Roman" w:cs="Times New Roman"/>
        </w:rPr>
        <w:t xml:space="preserve">ADEPT </w:t>
      </w:r>
      <w:r w:rsidR="00B55BCF" w:rsidRPr="006D2720">
        <w:rPr>
          <w:rFonts w:ascii="Times New Roman" w:hAnsi="Times New Roman" w:cs="Times New Roman"/>
        </w:rPr>
        <w:t>p</w:t>
      </w:r>
      <w:r w:rsidR="00D667BF" w:rsidRPr="006D2720">
        <w:rPr>
          <w:rFonts w:ascii="Times New Roman" w:hAnsi="Times New Roman" w:cs="Times New Roman"/>
        </w:rPr>
        <w:t xml:space="preserve">rocedures to ensure </w:t>
      </w:r>
      <w:r w:rsidR="00FF7C07" w:rsidRPr="006D2720">
        <w:rPr>
          <w:rFonts w:ascii="Times New Roman" w:hAnsi="Times New Roman" w:cs="Times New Roman"/>
        </w:rPr>
        <w:t xml:space="preserve">the data use and disclosure complies with </w:t>
      </w:r>
      <w:r w:rsidR="00E45205" w:rsidRPr="006D2720">
        <w:rPr>
          <w:rFonts w:ascii="Times New Roman" w:hAnsi="Times New Roman" w:cs="Times New Roman"/>
        </w:rPr>
        <w:t xml:space="preserve">PIPP 2(1)(c) when exchanging data for use in </w:t>
      </w:r>
      <w:r w:rsidR="00842CFA" w:rsidRPr="006D2720">
        <w:rPr>
          <w:rFonts w:ascii="Times New Roman" w:hAnsi="Times New Roman" w:cs="Times New Roman"/>
        </w:rPr>
        <w:t>research or statistical analysis</w:t>
      </w:r>
      <w:r w:rsidR="00E45205" w:rsidRPr="006D2720">
        <w:rPr>
          <w:rFonts w:ascii="Times New Roman" w:hAnsi="Times New Roman" w:cs="Times New Roman"/>
        </w:rPr>
        <w:t xml:space="preserve">. </w:t>
      </w:r>
      <w:r w:rsidR="00842CFA" w:rsidRPr="006D2720">
        <w:rPr>
          <w:rFonts w:ascii="Times New Roman" w:hAnsi="Times New Roman" w:cs="Times New Roman"/>
        </w:rPr>
        <w:t>This allows a custodian to use or disclose information for research or statistical analysis</w:t>
      </w:r>
      <w:r w:rsidR="00532344" w:rsidRPr="006D2720">
        <w:rPr>
          <w:rFonts w:ascii="Times New Roman" w:hAnsi="Times New Roman" w:cs="Times New Roman"/>
        </w:rPr>
        <w:t xml:space="preserve"> purposes (even if this was not the initial purpose for collection)</w:t>
      </w:r>
      <w:r w:rsidR="00842CFA" w:rsidRPr="006D2720">
        <w:rPr>
          <w:rFonts w:ascii="Times New Roman" w:hAnsi="Times New Roman" w:cs="Times New Roman"/>
        </w:rPr>
        <w:t xml:space="preserve">, provided it does not </w:t>
      </w:r>
      <w:r w:rsidR="00532344" w:rsidRPr="006D2720">
        <w:rPr>
          <w:rFonts w:ascii="Times New Roman" w:hAnsi="Times New Roman" w:cs="Times New Roman"/>
        </w:rPr>
        <w:t>identify an individual and either</w:t>
      </w:r>
      <w:r w:rsidR="00B55BCF" w:rsidRPr="006D2720">
        <w:rPr>
          <w:rFonts w:ascii="Times New Roman" w:hAnsi="Times New Roman" w:cs="Times New Roman"/>
        </w:rPr>
        <w:t>:</w:t>
      </w:r>
      <w:r w:rsidR="00532344" w:rsidRPr="006D2720">
        <w:rPr>
          <w:rFonts w:ascii="Times New Roman" w:hAnsi="Times New Roman" w:cs="Times New Roman"/>
        </w:rPr>
        <w:t xml:space="preserve"> 1) </w:t>
      </w:r>
      <w:r w:rsidR="00B55BCF" w:rsidRPr="006D2720">
        <w:rPr>
          <w:rFonts w:ascii="Times New Roman" w:hAnsi="Times New Roman" w:cs="Times New Roman"/>
        </w:rPr>
        <w:t xml:space="preserve">it is </w:t>
      </w:r>
      <w:r w:rsidR="00532344" w:rsidRPr="006D2720">
        <w:rPr>
          <w:rFonts w:ascii="Times New Roman" w:hAnsi="Times New Roman" w:cs="Times New Roman"/>
        </w:rPr>
        <w:t>impracticable to seek the individual’s consent</w:t>
      </w:r>
      <w:r w:rsidR="00B55BCF" w:rsidRPr="006D2720">
        <w:rPr>
          <w:rFonts w:ascii="Times New Roman" w:hAnsi="Times New Roman" w:cs="Times New Roman"/>
        </w:rPr>
        <w:t xml:space="preserve">; </w:t>
      </w:r>
      <w:r w:rsidR="00532344" w:rsidRPr="006D2720">
        <w:rPr>
          <w:rFonts w:ascii="Times New Roman" w:hAnsi="Times New Roman" w:cs="Times New Roman"/>
        </w:rPr>
        <w:t>or 2) the custodian reasonably believes that the recipient is not likely to disclose the information.</w:t>
      </w:r>
    </w:p>
    <w:p w14:paraId="6C2F31B4" w14:textId="2DC5F927" w:rsidR="002215FC" w:rsidRPr="006D2720" w:rsidRDefault="00B55BCF" w:rsidP="002215FC">
      <w:pPr>
        <w:pStyle w:val="Heading3"/>
        <w:rPr>
          <w:rFonts w:ascii="Times New Roman" w:hAnsi="Times New Roman" w:cs="Times New Roman"/>
        </w:rPr>
      </w:pPr>
      <w:bookmarkStart w:id="357" w:name="_Toc91536710"/>
      <w:bookmarkStart w:id="358" w:name="_Toc91536711"/>
      <w:bookmarkEnd w:id="357"/>
      <w:bookmarkEnd w:id="358"/>
      <w:r w:rsidRPr="006D2720">
        <w:rPr>
          <w:rFonts w:ascii="Times New Roman" w:hAnsi="Times New Roman" w:cs="Times New Roman"/>
        </w:rPr>
        <w:t>However, g</w:t>
      </w:r>
      <w:r w:rsidR="009916BC" w:rsidRPr="006D2720">
        <w:rPr>
          <w:rFonts w:ascii="Times New Roman" w:hAnsi="Times New Roman" w:cs="Times New Roman"/>
        </w:rPr>
        <w:t>enerally</w:t>
      </w:r>
      <w:r w:rsidRPr="006D2720">
        <w:rPr>
          <w:rFonts w:ascii="Times New Roman" w:hAnsi="Times New Roman" w:cs="Times New Roman"/>
        </w:rPr>
        <w:t xml:space="preserve"> speaking</w:t>
      </w:r>
      <w:r w:rsidR="009916BC" w:rsidRPr="006D2720">
        <w:rPr>
          <w:rFonts w:ascii="Times New Roman" w:hAnsi="Times New Roman" w:cs="Times New Roman"/>
        </w:rPr>
        <w:t xml:space="preserve">, there are limited </w:t>
      </w:r>
      <w:r w:rsidR="009916BC" w:rsidRPr="006D2720">
        <w:rPr>
          <w:rFonts w:ascii="Times New Roman" w:hAnsi="Times New Roman" w:cs="Times New Roman"/>
          <w:i/>
          <w:iCs/>
        </w:rPr>
        <w:t>additional</w:t>
      </w:r>
      <w:r w:rsidR="009916BC" w:rsidRPr="006D2720">
        <w:rPr>
          <w:rFonts w:ascii="Times New Roman" w:hAnsi="Times New Roman" w:cs="Times New Roman"/>
        </w:rPr>
        <w:t xml:space="preserve"> privacy safeguards included in the ADEPT principles and procedures</w:t>
      </w:r>
      <w:r w:rsidRPr="006D2720">
        <w:rPr>
          <w:rFonts w:ascii="Times New Roman" w:hAnsi="Times New Roman" w:cs="Times New Roman"/>
        </w:rPr>
        <w:t xml:space="preserve">, and </w:t>
      </w:r>
      <w:r w:rsidR="009916BC" w:rsidRPr="006D2720">
        <w:rPr>
          <w:rFonts w:ascii="Times New Roman" w:hAnsi="Times New Roman" w:cs="Times New Roman"/>
        </w:rPr>
        <w:t xml:space="preserve">no independent means to enforce </w:t>
      </w:r>
      <w:r w:rsidRPr="006D2720">
        <w:rPr>
          <w:rFonts w:ascii="Times New Roman" w:hAnsi="Times New Roman" w:cs="Times New Roman"/>
        </w:rPr>
        <w:t xml:space="preserve">the ADEPT </w:t>
      </w:r>
      <w:r w:rsidR="009916BC" w:rsidRPr="006D2720">
        <w:rPr>
          <w:rFonts w:ascii="Times New Roman" w:hAnsi="Times New Roman" w:cs="Times New Roman"/>
        </w:rPr>
        <w:t>requirements.</w:t>
      </w:r>
    </w:p>
    <w:p w14:paraId="6DF7E5DF" w14:textId="0F00CA89" w:rsidR="00B33151" w:rsidRPr="006D2720" w:rsidRDefault="00B33151" w:rsidP="00B33151">
      <w:pPr>
        <w:rPr>
          <w:rFonts w:ascii="Times New Roman" w:hAnsi="Times New Roman" w:cs="Times New Roman"/>
          <w:b/>
          <w:bCs/>
          <w:i/>
          <w:iCs/>
        </w:rPr>
      </w:pPr>
      <w:r w:rsidRPr="006D2720">
        <w:rPr>
          <w:rFonts w:ascii="Times New Roman" w:hAnsi="Times New Roman" w:cs="Times New Roman"/>
          <w:b/>
          <w:bCs/>
          <w:i/>
          <w:iCs/>
        </w:rPr>
        <w:t>Other jurisdictions</w:t>
      </w:r>
    </w:p>
    <w:p w14:paraId="0114BAA2" w14:textId="1EF40E48" w:rsidR="00225364" w:rsidRPr="006D2720" w:rsidRDefault="0050043E" w:rsidP="008512AD">
      <w:pPr>
        <w:pStyle w:val="Heading3"/>
        <w:rPr>
          <w:rFonts w:ascii="Times New Roman" w:hAnsi="Times New Roman" w:cs="Times New Roman"/>
        </w:rPr>
      </w:pPr>
      <w:r w:rsidRPr="006D2720">
        <w:rPr>
          <w:rFonts w:ascii="Times New Roman" w:hAnsi="Times New Roman" w:cs="Times New Roman"/>
        </w:rPr>
        <w:t xml:space="preserve">In contrast, other </w:t>
      </w:r>
      <w:r w:rsidR="0064050C" w:rsidRPr="006D2720">
        <w:rPr>
          <w:rFonts w:ascii="Times New Roman" w:hAnsi="Times New Roman" w:cs="Times New Roman"/>
        </w:rPr>
        <w:t>jurisdictions have taken</w:t>
      </w:r>
      <w:r w:rsidRPr="006D2720">
        <w:rPr>
          <w:rFonts w:ascii="Times New Roman" w:hAnsi="Times New Roman" w:cs="Times New Roman"/>
        </w:rPr>
        <w:t xml:space="preserve"> </w:t>
      </w:r>
      <w:r w:rsidR="0064050C" w:rsidRPr="006D2720">
        <w:rPr>
          <w:rFonts w:ascii="Times New Roman" w:hAnsi="Times New Roman" w:cs="Times New Roman"/>
        </w:rPr>
        <w:t xml:space="preserve">or are </w:t>
      </w:r>
      <w:r w:rsidR="00B55BCF" w:rsidRPr="006D2720">
        <w:rPr>
          <w:rFonts w:ascii="Times New Roman" w:hAnsi="Times New Roman" w:cs="Times New Roman"/>
        </w:rPr>
        <w:t>planning to develop</w:t>
      </w:r>
      <w:r w:rsidR="0064050C" w:rsidRPr="006D2720">
        <w:rPr>
          <w:rFonts w:ascii="Times New Roman" w:hAnsi="Times New Roman" w:cs="Times New Roman"/>
        </w:rPr>
        <w:t xml:space="preserve"> measures to provide for the sharing of government-held information</w:t>
      </w:r>
      <w:r w:rsidR="009A5165" w:rsidRPr="006D2720">
        <w:rPr>
          <w:rFonts w:ascii="Times New Roman" w:hAnsi="Times New Roman" w:cs="Times New Roman"/>
        </w:rPr>
        <w:t xml:space="preserve"> within and between agencies</w:t>
      </w:r>
      <w:r w:rsidR="0064050C" w:rsidRPr="006D2720">
        <w:rPr>
          <w:rFonts w:ascii="Times New Roman" w:hAnsi="Times New Roman" w:cs="Times New Roman"/>
        </w:rPr>
        <w:t xml:space="preserve"> in a way </w:t>
      </w:r>
      <w:r w:rsidRPr="006D2720">
        <w:rPr>
          <w:rFonts w:ascii="Times New Roman" w:hAnsi="Times New Roman" w:cs="Times New Roman"/>
        </w:rPr>
        <w:t xml:space="preserve">that is more consistent, and </w:t>
      </w:r>
      <w:r w:rsidR="0064050C" w:rsidRPr="006D2720">
        <w:rPr>
          <w:rFonts w:ascii="Times New Roman" w:hAnsi="Times New Roman" w:cs="Times New Roman"/>
        </w:rPr>
        <w:t xml:space="preserve">which </w:t>
      </w:r>
      <w:r w:rsidRPr="006D2720">
        <w:rPr>
          <w:rFonts w:ascii="Times New Roman" w:hAnsi="Times New Roman" w:cs="Times New Roman"/>
        </w:rPr>
        <w:t>seeks to</w:t>
      </w:r>
      <w:r w:rsidR="0064050C" w:rsidRPr="006D2720">
        <w:rPr>
          <w:rFonts w:ascii="Times New Roman" w:hAnsi="Times New Roman" w:cs="Times New Roman"/>
        </w:rPr>
        <w:t xml:space="preserve"> preserve privacy protection</w:t>
      </w:r>
      <w:r w:rsidRPr="006D2720">
        <w:rPr>
          <w:rFonts w:ascii="Times New Roman" w:hAnsi="Times New Roman" w:cs="Times New Roman"/>
        </w:rPr>
        <w:t>s</w:t>
      </w:r>
      <w:r w:rsidR="0064050C" w:rsidRPr="006D2720">
        <w:rPr>
          <w:rFonts w:ascii="Times New Roman" w:hAnsi="Times New Roman" w:cs="Times New Roman"/>
        </w:rPr>
        <w:t xml:space="preserve">. </w:t>
      </w:r>
    </w:p>
    <w:p w14:paraId="769D753C" w14:textId="38891CE1" w:rsidR="0064050C" w:rsidRPr="006D2720" w:rsidRDefault="00AE38CB" w:rsidP="0066337D">
      <w:pPr>
        <w:pStyle w:val="Heading3"/>
        <w:rPr>
          <w:rFonts w:ascii="Times New Roman" w:hAnsi="Times New Roman" w:cs="Times New Roman"/>
        </w:rPr>
      </w:pPr>
      <w:r w:rsidRPr="006D2720">
        <w:rPr>
          <w:rFonts w:ascii="Times New Roman" w:hAnsi="Times New Roman" w:cs="Times New Roman"/>
        </w:rPr>
        <w:t xml:space="preserve">In NSW, the </w:t>
      </w:r>
      <w:r w:rsidR="0064050C" w:rsidRPr="006D2720">
        <w:rPr>
          <w:rFonts w:ascii="Times New Roman" w:hAnsi="Times New Roman" w:cs="Times New Roman"/>
          <w:i/>
          <w:iCs/>
        </w:rPr>
        <w:t>Data Sharing (Government Sector) Act 2015</w:t>
      </w:r>
      <w:r w:rsidR="0064050C" w:rsidRPr="006D2720">
        <w:rPr>
          <w:rFonts w:ascii="Times New Roman" w:hAnsi="Times New Roman" w:cs="Times New Roman"/>
        </w:rPr>
        <w:t xml:space="preserve"> (NSW) provides authority for NSW government sector agencies to share information within government for limited purposes</w:t>
      </w:r>
      <w:r w:rsidR="00225364" w:rsidRPr="006D2720">
        <w:rPr>
          <w:rFonts w:ascii="Times New Roman" w:hAnsi="Times New Roman" w:cs="Times New Roman"/>
        </w:rPr>
        <w:t>,</w:t>
      </w:r>
      <w:r w:rsidR="0064050C" w:rsidRPr="006D2720">
        <w:rPr>
          <w:rFonts w:ascii="Times New Roman" w:hAnsi="Times New Roman" w:cs="Times New Roman"/>
        </w:rPr>
        <w:t xml:space="preserve"> including </w:t>
      </w:r>
      <w:r w:rsidR="00225364" w:rsidRPr="006D2720">
        <w:rPr>
          <w:rFonts w:ascii="Times New Roman" w:hAnsi="Times New Roman" w:cs="Times New Roman"/>
        </w:rPr>
        <w:t xml:space="preserve">for efforts </w:t>
      </w:r>
      <w:r w:rsidR="0064050C" w:rsidRPr="006D2720">
        <w:rPr>
          <w:rFonts w:ascii="Times New Roman" w:hAnsi="Times New Roman" w:cs="Times New Roman"/>
        </w:rPr>
        <w:t xml:space="preserve">to improve </w:t>
      </w:r>
      <w:r w:rsidR="00225364" w:rsidRPr="006D2720">
        <w:rPr>
          <w:rFonts w:ascii="Times New Roman" w:hAnsi="Times New Roman" w:cs="Times New Roman"/>
        </w:rPr>
        <w:t xml:space="preserve">government </w:t>
      </w:r>
      <w:r w:rsidR="0064050C" w:rsidRPr="006D2720">
        <w:rPr>
          <w:rFonts w:ascii="Times New Roman" w:hAnsi="Times New Roman" w:cs="Times New Roman"/>
        </w:rPr>
        <w:t>policy making, program management</w:t>
      </w:r>
      <w:r w:rsidR="00225364" w:rsidRPr="006D2720">
        <w:rPr>
          <w:rFonts w:ascii="Times New Roman" w:hAnsi="Times New Roman" w:cs="Times New Roman"/>
        </w:rPr>
        <w:t>,</w:t>
      </w:r>
      <w:r w:rsidR="0064050C" w:rsidRPr="006D2720">
        <w:rPr>
          <w:rFonts w:ascii="Times New Roman" w:hAnsi="Times New Roman" w:cs="Times New Roman"/>
        </w:rPr>
        <w:t xml:space="preserve"> </w:t>
      </w:r>
      <w:r w:rsidR="00225364" w:rsidRPr="006D2720">
        <w:rPr>
          <w:rFonts w:ascii="Times New Roman" w:hAnsi="Times New Roman" w:cs="Times New Roman"/>
        </w:rPr>
        <w:t xml:space="preserve">as well as </w:t>
      </w:r>
      <w:r w:rsidR="0064050C" w:rsidRPr="006D2720">
        <w:rPr>
          <w:rFonts w:ascii="Times New Roman" w:hAnsi="Times New Roman" w:cs="Times New Roman"/>
        </w:rPr>
        <w:t>service planning and delivery.</w:t>
      </w:r>
      <w:r w:rsidR="003B4755" w:rsidRPr="006D2720">
        <w:rPr>
          <w:rStyle w:val="FootnoteReference"/>
          <w:rFonts w:ascii="Times New Roman" w:hAnsi="Times New Roman" w:cs="Times New Roman"/>
        </w:rPr>
        <w:footnoteReference w:id="304"/>
      </w:r>
      <w:r w:rsidR="0064050C" w:rsidRPr="006D2720">
        <w:rPr>
          <w:rFonts w:ascii="Times New Roman" w:hAnsi="Times New Roman" w:cs="Times New Roman"/>
        </w:rPr>
        <w:t xml:space="preserve"> Agencies must comply with NSW privacy legislation</w:t>
      </w:r>
      <w:r w:rsidR="0064050C" w:rsidRPr="006D2720">
        <w:rPr>
          <w:rStyle w:val="FootnoteReference"/>
          <w:rFonts w:ascii="Times New Roman" w:hAnsi="Times New Roman" w:cs="Times New Roman"/>
        </w:rPr>
        <w:footnoteReference w:id="305"/>
      </w:r>
      <w:r w:rsidR="0064050C" w:rsidRPr="006D2720">
        <w:rPr>
          <w:rFonts w:ascii="Times New Roman" w:hAnsi="Times New Roman" w:cs="Times New Roman"/>
        </w:rPr>
        <w:t xml:space="preserve"> and other privacy safeguards, including us</w:t>
      </w:r>
      <w:r w:rsidR="003B4755" w:rsidRPr="006D2720">
        <w:rPr>
          <w:rFonts w:ascii="Times New Roman" w:hAnsi="Times New Roman" w:cs="Times New Roman"/>
        </w:rPr>
        <w:t>ing</w:t>
      </w:r>
      <w:r w:rsidR="0064050C" w:rsidRPr="006D2720">
        <w:rPr>
          <w:rFonts w:ascii="Times New Roman" w:hAnsi="Times New Roman" w:cs="Times New Roman"/>
        </w:rPr>
        <w:t xml:space="preserve"> contractual measures </w:t>
      </w:r>
      <w:r w:rsidR="003B4755" w:rsidRPr="006D2720">
        <w:rPr>
          <w:rFonts w:ascii="Times New Roman" w:hAnsi="Times New Roman" w:cs="Times New Roman"/>
        </w:rPr>
        <w:t xml:space="preserve">to restrict </w:t>
      </w:r>
      <w:r w:rsidR="00225364" w:rsidRPr="006D2720">
        <w:rPr>
          <w:rFonts w:ascii="Times New Roman" w:hAnsi="Times New Roman" w:cs="Times New Roman"/>
        </w:rPr>
        <w:t xml:space="preserve">the </w:t>
      </w:r>
      <w:r w:rsidR="003B4755" w:rsidRPr="006D2720">
        <w:rPr>
          <w:rFonts w:ascii="Times New Roman" w:hAnsi="Times New Roman" w:cs="Times New Roman"/>
        </w:rPr>
        <w:t xml:space="preserve">use of </w:t>
      </w:r>
      <w:r w:rsidR="0064050C" w:rsidRPr="006D2720">
        <w:rPr>
          <w:rFonts w:ascii="Times New Roman" w:hAnsi="Times New Roman" w:cs="Times New Roman"/>
        </w:rPr>
        <w:t>information shared with non-government agencies and reporting potential privacy contraventions.</w:t>
      </w:r>
      <w:r w:rsidR="003B4755" w:rsidRPr="006D2720">
        <w:rPr>
          <w:rStyle w:val="FootnoteReference"/>
          <w:rFonts w:ascii="Times New Roman" w:hAnsi="Times New Roman" w:cs="Times New Roman"/>
        </w:rPr>
        <w:footnoteReference w:id="306"/>
      </w:r>
    </w:p>
    <w:p w14:paraId="10FD9BE1" w14:textId="46571F37" w:rsidR="0064050C" w:rsidRPr="006D2720" w:rsidRDefault="00AE38CB" w:rsidP="0066337D">
      <w:pPr>
        <w:pStyle w:val="Heading3"/>
        <w:rPr>
          <w:rFonts w:ascii="Times New Roman" w:hAnsi="Times New Roman" w:cs="Times New Roman"/>
        </w:rPr>
      </w:pPr>
      <w:r w:rsidRPr="006D2720">
        <w:rPr>
          <w:rFonts w:ascii="Times New Roman" w:hAnsi="Times New Roman" w:cs="Times New Roman"/>
        </w:rPr>
        <w:t xml:space="preserve">At the Commonwealth level, </w:t>
      </w:r>
      <w:r w:rsidR="0064050C" w:rsidRPr="006D2720">
        <w:rPr>
          <w:rFonts w:ascii="Times New Roman" w:hAnsi="Times New Roman" w:cs="Times New Roman"/>
        </w:rPr>
        <w:t>the Data Availability and Transparency Bill 2020</w:t>
      </w:r>
      <w:r w:rsidR="0064050C" w:rsidRPr="006D2720">
        <w:rPr>
          <w:rStyle w:val="FootnoteReference"/>
          <w:rFonts w:ascii="Times New Roman" w:hAnsi="Times New Roman" w:cs="Times New Roman"/>
        </w:rPr>
        <w:footnoteReference w:id="307"/>
      </w:r>
      <w:r w:rsidRPr="006D2720">
        <w:rPr>
          <w:rFonts w:ascii="Times New Roman" w:hAnsi="Times New Roman" w:cs="Times New Roman"/>
        </w:rPr>
        <w:t xml:space="preserve"> has been introduced</w:t>
      </w:r>
      <w:r w:rsidR="002E5294" w:rsidRPr="006D2720">
        <w:rPr>
          <w:rFonts w:ascii="Times New Roman" w:hAnsi="Times New Roman" w:cs="Times New Roman"/>
        </w:rPr>
        <w:t xml:space="preserve"> </w:t>
      </w:r>
      <w:r w:rsidR="0064050C" w:rsidRPr="006D2720">
        <w:rPr>
          <w:rFonts w:ascii="Times New Roman" w:hAnsi="Times New Roman" w:cs="Times New Roman"/>
        </w:rPr>
        <w:t>following</w:t>
      </w:r>
      <w:r w:rsidR="00FE2384" w:rsidRPr="006D2720">
        <w:rPr>
          <w:rFonts w:ascii="Times New Roman" w:hAnsi="Times New Roman" w:cs="Times New Roman"/>
        </w:rPr>
        <w:t xml:space="preserve"> </w:t>
      </w:r>
      <w:r w:rsidR="0064050C" w:rsidRPr="006D2720">
        <w:rPr>
          <w:rFonts w:ascii="Times New Roman" w:hAnsi="Times New Roman" w:cs="Times New Roman"/>
        </w:rPr>
        <w:t>recommendations of the Productivity Commission</w:t>
      </w:r>
      <w:r w:rsidR="00882C65" w:rsidRPr="006D2720">
        <w:rPr>
          <w:rFonts w:ascii="Times New Roman" w:hAnsi="Times New Roman" w:cs="Times New Roman"/>
        </w:rPr>
        <w:t xml:space="preserve"> in their </w:t>
      </w:r>
      <w:r w:rsidR="0064050C" w:rsidRPr="006D2720">
        <w:rPr>
          <w:rFonts w:ascii="Times New Roman" w:hAnsi="Times New Roman" w:cs="Times New Roman"/>
        </w:rPr>
        <w:t>Data Availability and Use inquiry.</w:t>
      </w:r>
      <w:r w:rsidR="0064050C" w:rsidRPr="006D2720">
        <w:rPr>
          <w:rStyle w:val="FootnoteReference"/>
          <w:rFonts w:ascii="Times New Roman" w:hAnsi="Times New Roman" w:cs="Times New Roman"/>
        </w:rPr>
        <w:footnoteReference w:id="308"/>
      </w:r>
      <w:r w:rsidR="0064050C" w:rsidRPr="006D2720">
        <w:rPr>
          <w:rFonts w:ascii="Times New Roman" w:hAnsi="Times New Roman" w:cs="Times New Roman"/>
        </w:rPr>
        <w:t xml:space="preserve"> The Productivity Commission commented that:</w:t>
      </w:r>
    </w:p>
    <w:p w14:paraId="3B8A1CB2" w14:textId="77777777" w:rsidR="0064050C" w:rsidRPr="006D2720" w:rsidRDefault="0064050C" w:rsidP="0066337D">
      <w:pPr>
        <w:pStyle w:val="Blockquote"/>
        <w:rPr>
          <w:rFonts w:ascii="Times New Roman" w:hAnsi="Times New Roman" w:cs="Times New Roman"/>
        </w:rPr>
      </w:pPr>
      <w:r w:rsidRPr="006D2720">
        <w:rPr>
          <w:rFonts w:ascii="Times New Roman" w:hAnsi="Times New Roman" w:cs="Times New Roman"/>
        </w:rPr>
        <w:t>[l]ack of trust by both data custodians and users in existing data access processes and protections and numerous hurdles to sharing and releasing data are choking the use and value of Australia's data.</w:t>
      </w:r>
    </w:p>
    <w:p w14:paraId="5CDBADA5" w14:textId="78E3FBD7" w:rsidR="003B4755" w:rsidRPr="006D2720" w:rsidRDefault="0064050C" w:rsidP="0066337D">
      <w:pPr>
        <w:pStyle w:val="Heading3"/>
        <w:rPr>
          <w:rFonts w:ascii="Times New Roman" w:hAnsi="Times New Roman" w:cs="Times New Roman"/>
        </w:rPr>
      </w:pPr>
      <w:r w:rsidRPr="006D2720">
        <w:rPr>
          <w:rFonts w:ascii="Times New Roman" w:hAnsi="Times New Roman" w:cs="Times New Roman"/>
        </w:rPr>
        <w:t xml:space="preserve">The </w:t>
      </w:r>
      <w:r w:rsidR="008033FD" w:rsidRPr="006D2720">
        <w:rPr>
          <w:rFonts w:ascii="Times New Roman" w:hAnsi="Times New Roman" w:cs="Times New Roman"/>
        </w:rPr>
        <w:t>proposed</w:t>
      </w:r>
      <w:r w:rsidR="00F834D0" w:rsidRPr="006D2720">
        <w:rPr>
          <w:rFonts w:ascii="Times New Roman" w:hAnsi="Times New Roman" w:cs="Times New Roman"/>
        </w:rPr>
        <w:t xml:space="preserve"> legislation</w:t>
      </w:r>
      <w:r w:rsidRPr="006D2720">
        <w:rPr>
          <w:rFonts w:ascii="Times New Roman" w:hAnsi="Times New Roman" w:cs="Times New Roman"/>
        </w:rPr>
        <w:t xml:space="preserve"> is intended to provide authority for government agencies to share information between themselves and various other</w:t>
      </w:r>
      <w:r w:rsidR="00B55BCF" w:rsidRPr="006D2720">
        <w:rPr>
          <w:rFonts w:ascii="Times New Roman" w:hAnsi="Times New Roman" w:cs="Times New Roman"/>
        </w:rPr>
        <w:t xml:space="preserve"> organisations, defined as</w:t>
      </w:r>
      <w:r w:rsidRPr="006D2720">
        <w:rPr>
          <w:rFonts w:ascii="Times New Roman" w:hAnsi="Times New Roman" w:cs="Times New Roman"/>
        </w:rPr>
        <w:t xml:space="preserve"> ‘accredited users’. </w:t>
      </w:r>
      <w:r w:rsidR="007B52E8" w:rsidRPr="006D2720">
        <w:rPr>
          <w:rFonts w:ascii="Times New Roman" w:hAnsi="Times New Roman" w:cs="Times New Roman"/>
        </w:rPr>
        <w:t>It</w:t>
      </w:r>
      <w:r w:rsidR="003B4755" w:rsidRPr="006D2720">
        <w:rPr>
          <w:rFonts w:ascii="Times New Roman" w:hAnsi="Times New Roman" w:cs="Times New Roman"/>
        </w:rPr>
        <w:t xml:space="preserve"> will permit data sharing only for the purposes of </w:t>
      </w:r>
      <w:r w:rsidRPr="006D2720">
        <w:rPr>
          <w:rFonts w:ascii="Times New Roman" w:hAnsi="Times New Roman" w:cs="Times New Roman"/>
        </w:rPr>
        <w:t>deliver</w:t>
      </w:r>
      <w:r w:rsidR="007B52E8" w:rsidRPr="006D2720">
        <w:rPr>
          <w:rFonts w:ascii="Times New Roman" w:hAnsi="Times New Roman" w:cs="Times New Roman"/>
        </w:rPr>
        <w:t xml:space="preserve">ing </w:t>
      </w:r>
      <w:r w:rsidRPr="006D2720">
        <w:rPr>
          <w:rFonts w:ascii="Times New Roman" w:hAnsi="Times New Roman" w:cs="Times New Roman"/>
        </w:rPr>
        <w:t xml:space="preserve">government services, informing government policy and programs, </w:t>
      </w:r>
      <w:r w:rsidR="003B4755" w:rsidRPr="006D2720">
        <w:rPr>
          <w:rFonts w:ascii="Times New Roman" w:hAnsi="Times New Roman" w:cs="Times New Roman"/>
        </w:rPr>
        <w:t xml:space="preserve">and </w:t>
      </w:r>
      <w:r w:rsidRPr="006D2720">
        <w:rPr>
          <w:rFonts w:ascii="Times New Roman" w:hAnsi="Times New Roman" w:cs="Times New Roman"/>
        </w:rPr>
        <w:t>research and development</w:t>
      </w:r>
      <w:r w:rsidR="003B4755" w:rsidRPr="006D2720">
        <w:rPr>
          <w:rFonts w:ascii="Times New Roman" w:hAnsi="Times New Roman" w:cs="Times New Roman"/>
        </w:rPr>
        <w:t xml:space="preserve">. </w:t>
      </w:r>
      <w:r w:rsidR="005B59B4" w:rsidRPr="006D2720">
        <w:rPr>
          <w:rFonts w:ascii="Times New Roman" w:hAnsi="Times New Roman" w:cs="Times New Roman"/>
        </w:rPr>
        <w:t xml:space="preserve">Agencies must seek the consent of any individuals before sharing personal information unless it is unreasonable or impracticable to do so. </w:t>
      </w:r>
      <w:r w:rsidR="003B4755" w:rsidRPr="006D2720">
        <w:rPr>
          <w:rFonts w:ascii="Times New Roman" w:hAnsi="Times New Roman" w:cs="Times New Roman"/>
        </w:rPr>
        <w:t xml:space="preserve">Any </w:t>
      </w:r>
      <w:r w:rsidRPr="006D2720">
        <w:rPr>
          <w:rFonts w:ascii="Times New Roman" w:hAnsi="Times New Roman" w:cs="Times New Roman"/>
        </w:rPr>
        <w:t>sharing must comply with data sharing principles</w:t>
      </w:r>
      <w:r w:rsidR="009631FB" w:rsidRPr="006D2720">
        <w:rPr>
          <w:rFonts w:ascii="Times New Roman" w:hAnsi="Times New Roman" w:cs="Times New Roman"/>
        </w:rPr>
        <w:t xml:space="preserve"> that</w:t>
      </w:r>
      <w:r w:rsidRPr="006D2720">
        <w:rPr>
          <w:rFonts w:ascii="Times New Roman" w:hAnsi="Times New Roman" w:cs="Times New Roman"/>
        </w:rPr>
        <w:t xml:space="preserve"> </w:t>
      </w:r>
      <w:r w:rsidR="003B4755" w:rsidRPr="006D2720">
        <w:rPr>
          <w:rFonts w:ascii="Times New Roman" w:hAnsi="Times New Roman" w:cs="Times New Roman"/>
        </w:rPr>
        <w:t>requir</w:t>
      </w:r>
      <w:r w:rsidR="009631FB" w:rsidRPr="006D2720">
        <w:rPr>
          <w:rFonts w:ascii="Times New Roman" w:hAnsi="Times New Roman" w:cs="Times New Roman"/>
        </w:rPr>
        <w:t>e the agency to consider</w:t>
      </w:r>
      <w:r w:rsidR="003B4755" w:rsidRPr="006D2720">
        <w:rPr>
          <w:rFonts w:ascii="Times New Roman" w:hAnsi="Times New Roman" w:cs="Times New Roman"/>
        </w:rPr>
        <w:t>:</w:t>
      </w:r>
    </w:p>
    <w:p w14:paraId="2E71A494" w14:textId="3BDD4B39" w:rsidR="003B4755" w:rsidRPr="006D2720" w:rsidRDefault="0064050C">
      <w:pPr>
        <w:numPr>
          <w:ilvl w:val="0"/>
          <w:numId w:val="17"/>
        </w:numPr>
        <w:rPr>
          <w:rFonts w:ascii="Times New Roman" w:hAnsi="Times New Roman" w:cs="Times New Roman"/>
        </w:rPr>
      </w:pPr>
      <w:r w:rsidRPr="006D2720">
        <w:rPr>
          <w:rFonts w:ascii="Times New Roman" w:hAnsi="Times New Roman" w:cs="Times New Roman"/>
        </w:rPr>
        <w:t>the appropriateness of the sharing given the nature of the project</w:t>
      </w:r>
      <w:r w:rsidR="003B4755" w:rsidRPr="006D2720">
        <w:rPr>
          <w:rFonts w:ascii="Times New Roman" w:hAnsi="Times New Roman" w:cs="Times New Roman"/>
        </w:rPr>
        <w:t>;</w:t>
      </w:r>
    </w:p>
    <w:p w14:paraId="06DA74A0" w14:textId="339BA5B8" w:rsidR="003B4755" w:rsidRPr="006D2720" w:rsidRDefault="0064050C">
      <w:pPr>
        <w:numPr>
          <w:ilvl w:val="0"/>
          <w:numId w:val="17"/>
        </w:numPr>
        <w:rPr>
          <w:rFonts w:ascii="Times New Roman" w:hAnsi="Times New Roman" w:cs="Times New Roman"/>
        </w:rPr>
      </w:pPr>
      <w:r w:rsidRPr="006D2720">
        <w:rPr>
          <w:rFonts w:ascii="Times New Roman" w:hAnsi="Times New Roman" w:cs="Times New Roman"/>
        </w:rPr>
        <w:t>who the information will be shared with</w:t>
      </w:r>
      <w:r w:rsidR="003B4755" w:rsidRPr="006D2720">
        <w:rPr>
          <w:rFonts w:ascii="Times New Roman" w:hAnsi="Times New Roman" w:cs="Times New Roman"/>
        </w:rPr>
        <w:t>;</w:t>
      </w:r>
    </w:p>
    <w:p w14:paraId="3EAB69D7" w14:textId="023450A1" w:rsidR="003B4755" w:rsidRPr="006D2720" w:rsidRDefault="0064050C">
      <w:pPr>
        <w:numPr>
          <w:ilvl w:val="0"/>
          <w:numId w:val="17"/>
        </w:numPr>
        <w:rPr>
          <w:rFonts w:ascii="Times New Roman" w:hAnsi="Times New Roman" w:cs="Times New Roman"/>
        </w:rPr>
      </w:pPr>
      <w:r w:rsidRPr="006D2720">
        <w:rPr>
          <w:rFonts w:ascii="Times New Roman" w:hAnsi="Times New Roman" w:cs="Times New Roman"/>
        </w:rPr>
        <w:t>the setting in which the information will be shared</w:t>
      </w:r>
      <w:r w:rsidR="003B4755" w:rsidRPr="006D2720">
        <w:rPr>
          <w:rFonts w:ascii="Times New Roman" w:hAnsi="Times New Roman" w:cs="Times New Roman"/>
        </w:rPr>
        <w:t>;</w:t>
      </w:r>
      <w:r w:rsidRPr="006D2720">
        <w:rPr>
          <w:rFonts w:ascii="Times New Roman" w:hAnsi="Times New Roman" w:cs="Times New Roman"/>
        </w:rPr>
        <w:t xml:space="preserve"> and </w:t>
      </w:r>
    </w:p>
    <w:p w14:paraId="20C8B7C6" w14:textId="2C05E35E" w:rsidR="003B4755" w:rsidRPr="006D2720" w:rsidRDefault="003B4755">
      <w:pPr>
        <w:numPr>
          <w:ilvl w:val="0"/>
          <w:numId w:val="17"/>
        </w:numPr>
        <w:rPr>
          <w:rFonts w:ascii="Times New Roman" w:hAnsi="Times New Roman" w:cs="Times New Roman"/>
        </w:rPr>
      </w:pPr>
      <w:r w:rsidRPr="006D2720">
        <w:rPr>
          <w:rFonts w:ascii="Times New Roman" w:hAnsi="Times New Roman" w:cs="Times New Roman"/>
        </w:rPr>
        <w:t xml:space="preserve">whether </w:t>
      </w:r>
      <w:r w:rsidR="0064050C" w:rsidRPr="006D2720">
        <w:rPr>
          <w:rFonts w:ascii="Times New Roman" w:hAnsi="Times New Roman" w:cs="Times New Roman"/>
        </w:rPr>
        <w:t xml:space="preserve">the information shared and the outputs from the project </w:t>
      </w:r>
      <w:r w:rsidRPr="006D2720">
        <w:rPr>
          <w:rFonts w:ascii="Times New Roman" w:hAnsi="Times New Roman" w:cs="Times New Roman"/>
        </w:rPr>
        <w:t xml:space="preserve">are limited </w:t>
      </w:r>
      <w:r w:rsidR="0064050C" w:rsidRPr="006D2720">
        <w:rPr>
          <w:rFonts w:ascii="Times New Roman" w:hAnsi="Times New Roman" w:cs="Times New Roman"/>
        </w:rPr>
        <w:t xml:space="preserve">to the minimum necessary to achieve the permitted purpose. </w:t>
      </w:r>
    </w:p>
    <w:p w14:paraId="0498492E" w14:textId="16F572C2" w:rsidR="0064050C" w:rsidRPr="006D2720" w:rsidRDefault="005B59B4" w:rsidP="0066337D">
      <w:pPr>
        <w:pStyle w:val="Heading3"/>
        <w:rPr>
          <w:rFonts w:ascii="Times New Roman" w:hAnsi="Times New Roman" w:cs="Times New Roman"/>
        </w:rPr>
      </w:pPr>
      <w:r w:rsidRPr="006D2720">
        <w:rPr>
          <w:rFonts w:ascii="Times New Roman" w:hAnsi="Times New Roman" w:cs="Times New Roman"/>
        </w:rPr>
        <w:t xml:space="preserve">However, even </w:t>
      </w:r>
      <w:r w:rsidR="00B9758A" w:rsidRPr="006D2720">
        <w:rPr>
          <w:rFonts w:ascii="Times New Roman" w:hAnsi="Times New Roman" w:cs="Times New Roman"/>
        </w:rPr>
        <w:t>with these protections</w:t>
      </w:r>
      <w:r w:rsidR="0064050C" w:rsidRPr="006D2720">
        <w:rPr>
          <w:rFonts w:ascii="Times New Roman" w:hAnsi="Times New Roman" w:cs="Times New Roman"/>
        </w:rPr>
        <w:t xml:space="preserve"> concerns have been raised </w:t>
      </w:r>
      <w:r w:rsidR="00C85FD1" w:rsidRPr="006D2720">
        <w:rPr>
          <w:rFonts w:ascii="Times New Roman" w:hAnsi="Times New Roman" w:cs="Times New Roman"/>
        </w:rPr>
        <w:t>in consultation on the proposed Bill</w:t>
      </w:r>
      <w:r w:rsidR="00001D81" w:rsidRPr="006D2720">
        <w:rPr>
          <w:rFonts w:ascii="Times New Roman" w:hAnsi="Times New Roman" w:cs="Times New Roman"/>
        </w:rPr>
        <w:t xml:space="preserve"> regarding </w:t>
      </w:r>
      <w:r w:rsidR="0064050C" w:rsidRPr="006D2720">
        <w:rPr>
          <w:rFonts w:ascii="Times New Roman" w:hAnsi="Times New Roman" w:cs="Times New Roman"/>
        </w:rPr>
        <w:t xml:space="preserve">whether the </w:t>
      </w:r>
      <w:r w:rsidR="00B16983" w:rsidRPr="006D2720">
        <w:rPr>
          <w:rFonts w:ascii="Times New Roman" w:hAnsi="Times New Roman" w:cs="Times New Roman"/>
        </w:rPr>
        <w:t xml:space="preserve">potential </w:t>
      </w:r>
      <w:r w:rsidR="0064050C" w:rsidRPr="006D2720">
        <w:rPr>
          <w:rFonts w:ascii="Times New Roman" w:hAnsi="Times New Roman" w:cs="Times New Roman"/>
        </w:rPr>
        <w:t xml:space="preserve">privacy </w:t>
      </w:r>
      <w:r w:rsidR="00B16983" w:rsidRPr="006D2720">
        <w:rPr>
          <w:rFonts w:ascii="Times New Roman" w:hAnsi="Times New Roman" w:cs="Times New Roman"/>
        </w:rPr>
        <w:t xml:space="preserve">impacts </w:t>
      </w:r>
      <w:r w:rsidR="0064050C" w:rsidRPr="006D2720">
        <w:rPr>
          <w:rFonts w:ascii="Times New Roman" w:hAnsi="Times New Roman" w:cs="Times New Roman"/>
        </w:rPr>
        <w:t xml:space="preserve">are </w:t>
      </w:r>
      <w:r w:rsidR="00B16983" w:rsidRPr="006D2720">
        <w:rPr>
          <w:rFonts w:ascii="Times New Roman" w:hAnsi="Times New Roman" w:cs="Times New Roman"/>
        </w:rPr>
        <w:t>justified</w:t>
      </w:r>
      <w:r w:rsidR="0064050C" w:rsidRPr="006D2720">
        <w:rPr>
          <w:rFonts w:ascii="Times New Roman" w:hAnsi="Times New Roman" w:cs="Times New Roman"/>
        </w:rPr>
        <w:t>.</w:t>
      </w:r>
      <w:r w:rsidR="0064050C" w:rsidRPr="006D2720">
        <w:rPr>
          <w:rStyle w:val="FootnoteReference"/>
          <w:rFonts w:ascii="Times New Roman" w:hAnsi="Times New Roman" w:cs="Times New Roman"/>
        </w:rPr>
        <w:footnoteReference w:id="309"/>
      </w:r>
    </w:p>
    <w:p w14:paraId="2F79A9A1" w14:textId="3F5913B9" w:rsidR="002C1CD4" w:rsidRPr="006D2720" w:rsidRDefault="00AE38CB" w:rsidP="003C2B06">
      <w:pPr>
        <w:pStyle w:val="Heading3"/>
        <w:rPr>
          <w:rFonts w:ascii="Times New Roman" w:hAnsi="Times New Roman" w:cs="Times New Roman"/>
        </w:rPr>
      </w:pPr>
      <w:r w:rsidRPr="006D2720">
        <w:rPr>
          <w:rFonts w:ascii="Times New Roman" w:hAnsi="Times New Roman" w:cs="Times New Roman"/>
        </w:rPr>
        <w:t>Another proposal at the Commonwealth level is the Identity-matching Services Bill 2019, discussed above (</w:t>
      </w:r>
      <w:r w:rsidR="00CD371D" w:rsidRPr="006D2720">
        <w:rPr>
          <w:rFonts w:ascii="Times New Roman" w:hAnsi="Times New Roman" w:cs="Times New Roman"/>
        </w:rPr>
        <w:t xml:space="preserve">see </w:t>
      </w:r>
      <w:r w:rsidR="00F36756">
        <w:rPr>
          <w:rFonts w:ascii="Times New Roman" w:hAnsi="Times New Roman" w:cs="Times New Roman"/>
        </w:rPr>
        <w:t>[</w:t>
      </w:r>
      <w:r w:rsidR="00F36756">
        <w:rPr>
          <w:rFonts w:ascii="Times New Roman" w:hAnsi="Times New Roman" w:cs="Times New Roman"/>
        </w:rPr>
        <w:fldChar w:fldCharType="begin"/>
      </w:r>
      <w:r w:rsidR="00F36756">
        <w:rPr>
          <w:rFonts w:ascii="Times New Roman" w:hAnsi="Times New Roman" w:cs="Times New Roman"/>
        </w:rPr>
        <w:instrText xml:space="preserve"> REF _Ref91826897 \r \h </w:instrText>
      </w:r>
      <w:r w:rsidR="00F36756">
        <w:rPr>
          <w:rFonts w:ascii="Times New Roman" w:hAnsi="Times New Roman" w:cs="Times New Roman"/>
        </w:rPr>
      </w:r>
      <w:r w:rsidR="00F36756">
        <w:rPr>
          <w:rFonts w:ascii="Times New Roman" w:hAnsi="Times New Roman" w:cs="Times New Roman"/>
        </w:rPr>
        <w:fldChar w:fldCharType="separate"/>
      </w:r>
      <w:r w:rsidR="00E66B60">
        <w:rPr>
          <w:rFonts w:ascii="Times New Roman" w:hAnsi="Times New Roman" w:cs="Times New Roman"/>
        </w:rPr>
        <w:t>2.2.3</w:t>
      </w:r>
      <w:r w:rsidR="00F36756">
        <w:rPr>
          <w:rFonts w:ascii="Times New Roman" w:hAnsi="Times New Roman" w:cs="Times New Roman"/>
        </w:rPr>
        <w:fldChar w:fldCharType="end"/>
      </w:r>
      <w:r w:rsidR="00F36756">
        <w:rPr>
          <w:rFonts w:ascii="Times New Roman" w:hAnsi="Times New Roman" w:cs="Times New Roman"/>
        </w:rPr>
        <w:t>]</w:t>
      </w:r>
      <w:r w:rsidR="00CD371D" w:rsidRPr="006D2720">
        <w:rPr>
          <w:rFonts w:ascii="Times New Roman" w:hAnsi="Times New Roman" w:cs="Times New Roman"/>
        </w:rPr>
        <w:t>)</w:t>
      </w:r>
      <w:r w:rsidRPr="006D2720">
        <w:rPr>
          <w:rFonts w:ascii="Times New Roman" w:hAnsi="Times New Roman" w:cs="Times New Roman"/>
        </w:rPr>
        <w:t>.</w:t>
      </w:r>
      <w:r w:rsidR="00CD371D" w:rsidRPr="006D2720">
        <w:rPr>
          <w:rFonts w:ascii="Times New Roman" w:hAnsi="Times New Roman" w:cs="Times New Roman"/>
        </w:rPr>
        <w:t xml:space="preserve"> </w:t>
      </w:r>
      <w:r w:rsidRPr="006D2720">
        <w:rPr>
          <w:rFonts w:ascii="Times New Roman" w:hAnsi="Times New Roman" w:cs="Times New Roman"/>
        </w:rPr>
        <w:t>This seeks</w:t>
      </w:r>
      <w:r w:rsidR="00CD371D" w:rsidRPr="006D2720">
        <w:rPr>
          <w:rFonts w:ascii="Times New Roman" w:hAnsi="Times New Roman" w:cs="Times New Roman"/>
        </w:rPr>
        <w:t xml:space="preserve"> to authorise the exchange of identity information between Commonwealth, </w:t>
      </w:r>
      <w:r w:rsidR="00AE00DC" w:rsidRPr="006D2720">
        <w:rPr>
          <w:rFonts w:ascii="Times New Roman" w:hAnsi="Times New Roman" w:cs="Times New Roman"/>
        </w:rPr>
        <w:t>s</w:t>
      </w:r>
      <w:r w:rsidR="00CD371D" w:rsidRPr="006D2720">
        <w:rPr>
          <w:rFonts w:ascii="Times New Roman" w:hAnsi="Times New Roman" w:cs="Times New Roman"/>
        </w:rPr>
        <w:t>tate</w:t>
      </w:r>
      <w:r w:rsidR="002C1CD4" w:rsidRPr="006D2720">
        <w:rPr>
          <w:rFonts w:ascii="Times New Roman" w:hAnsi="Times New Roman" w:cs="Times New Roman"/>
        </w:rPr>
        <w:t>,</w:t>
      </w:r>
      <w:r w:rsidR="00CD371D" w:rsidRPr="006D2720">
        <w:rPr>
          <w:rFonts w:ascii="Times New Roman" w:hAnsi="Times New Roman" w:cs="Times New Roman"/>
        </w:rPr>
        <w:t xml:space="preserve"> and </w:t>
      </w:r>
      <w:r w:rsidR="00AE00DC" w:rsidRPr="006D2720">
        <w:rPr>
          <w:rFonts w:ascii="Times New Roman" w:hAnsi="Times New Roman" w:cs="Times New Roman"/>
        </w:rPr>
        <w:t>t</w:t>
      </w:r>
      <w:r w:rsidR="00CD371D" w:rsidRPr="006D2720">
        <w:rPr>
          <w:rFonts w:ascii="Times New Roman" w:hAnsi="Times New Roman" w:cs="Times New Roman"/>
        </w:rPr>
        <w:t>erritory governments for use with identity-matching services, including facial recognition</w:t>
      </w:r>
      <w:r w:rsidR="002C1CD4" w:rsidRPr="006D2720">
        <w:rPr>
          <w:rFonts w:ascii="Times New Roman" w:hAnsi="Times New Roman" w:cs="Times New Roman"/>
        </w:rPr>
        <w:t xml:space="preserve"> services</w:t>
      </w:r>
      <w:r w:rsidR="00CD371D" w:rsidRPr="006D2720">
        <w:rPr>
          <w:rFonts w:ascii="Times New Roman" w:hAnsi="Times New Roman" w:cs="Times New Roman"/>
        </w:rPr>
        <w:t>.</w:t>
      </w:r>
      <w:r w:rsidR="00CD371D" w:rsidRPr="006D2720">
        <w:rPr>
          <w:rStyle w:val="FootnoteReference"/>
          <w:rFonts w:ascii="Times New Roman" w:hAnsi="Times New Roman" w:cs="Times New Roman"/>
        </w:rPr>
        <w:footnoteReference w:id="310"/>
      </w:r>
      <w:r w:rsidR="00CD371D" w:rsidRPr="006D2720">
        <w:rPr>
          <w:rFonts w:ascii="Times New Roman" w:hAnsi="Times New Roman" w:cs="Times New Roman"/>
        </w:rPr>
        <w:t xml:space="preserve"> </w:t>
      </w:r>
    </w:p>
    <w:p w14:paraId="4F6AB9ED" w14:textId="03096E36" w:rsidR="0025057F" w:rsidRPr="006D2720" w:rsidRDefault="00CD371D" w:rsidP="0066337D">
      <w:pPr>
        <w:pStyle w:val="Heading3"/>
        <w:rPr>
          <w:rFonts w:ascii="Times New Roman" w:hAnsi="Times New Roman" w:cs="Times New Roman"/>
        </w:rPr>
      </w:pPr>
      <w:r w:rsidRPr="006D2720">
        <w:rPr>
          <w:rFonts w:ascii="Times New Roman" w:hAnsi="Times New Roman" w:cs="Times New Roman"/>
        </w:rPr>
        <w:t xml:space="preserve">More generally, </w:t>
      </w:r>
      <w:r w:rsidR="00C1477C" w:rsidRPr="006D2720">
        <w:rPr>
          <w:rFonts w:ascii="Times New Roman" w:hAnsi="Times New Roman" w:cs="Times New Roman"/>
        </w:rPr>
        <w:t xml:space="preserve">Commonwealth, </w:t>
      </w:r>
      <w:r w:rsidR="00AE00DC" w:rsidRPr="006D2720">
        <w:rPr>
          <w:rFonts w:ascii="Times New Roman" w:hAnsi="Times New Roman" w:cs="Times New Roman"/>
        </w:rPr>
        <w:t>s</w:t>
      </w:r>
      <w:r w:rsidR="00C1477C" w:rsidRPr="006D2720">
        <w:rPr>
          <w:rFonts w:ascii="Times New Roman" w:hAnsi="Times New Roman" w:cs="Times New Roman"/>
        </w:rPr>
        <w:t>tate</w:t>
      </w:r>
      <w:r w:rsidR="00F94A21" w:rsidRPr="006D2720">
        <w:rPr>
          <w:rFonts w:ascii="Times New Roman" w:hAnsi="Times New Roman" w:cs="Times New Roman"/>
        </w:rPr>
        <w:t>,</w:t>
      </w:r>
      <w:r w:rsidR="00C1477C" w:rsidRPr="006D2720">
        <w:rPr>
          <w:rFonts w:ascii="Times New Roman" w:hAnsi="Times New Roman" w:cs="Times New Roman"/>
        </w:rPr>
        <w:t xml:space="preserve"> and </w:t>
      </w:r>
      <w:r w:rsidR="00AE00DC" w:rsidRPr="006D2720">
        <w:rPr>
          <w:rFonts w:ascii="Times New Roman" w:hAnsi="Times New Roman" w:cs="Times New Roman"/>
        </w:rPr>
        <w:t>t</w:t>
      </w:r>
      <w:r w:rsidR="00C1477C" w:rsidRPr="006D2720">
        <w:rPr>
          <w:rFonts w:ascii="Times New Roman" w:hAnsi="Times New Roman" w:cs="Times New Roman"/>
        </w:rPr>
        <w:t>erritory Governments have also signed an intergovernmental agreement</w:t>
      </w:r>
      <w:r w:rsidR="007E1C4C" w:rsidRPr="006D2720">
        <w:rPr>
          <w:rFonts w:ascii="Times New Roman" w:hAnsi="Times New Roman" w:cs="Times New Roman"/>
        </w:rPr>
        <w:t xml:space="preserve"> </w:t>
      </w:r>
      <w:r w:rsidR="002C1CD4" w:rsidRPr="006D2720">
        <w:rPr>
          <w:rFonts w:ascii="Times New Roman" w:hAnsi="Times New Roman" w:cs="Times New Roman"/>
        </w:rPr>
        <w:t>‘</w:t>
      </w:r>
      <w:r w:rsidR="007E1C4C" w:rsidRPr="006D2720">
        <w:rPr>
          <w:rFonts w:ascii="Times New Roman" w:hAnsi="Times New Roman" w:cs="Times New Roman"/>
        </w:rPr>
        <w:t>to share data across jurisdictions as a default position,</w:t>
      </w:r>
      <w:r w:rsidR="002C1CD4" w:rsidRPr="006D2720">
        <w:rPr>
          <w:rStyle w:val="FootnoteReference"/>
          <w:rFonts w:ascii="Times New Roman" w:hAnsi="Times New Roman" w:cs="Times New Roman"/>
        </w:rPr>
        <w:footnoteReference w:id="311"/>
      </w:r>
      <w:r w:rsidR="007E1C4C" w:rsidRPr="006D2720">
        <w:rPr>
          <w:rFonts w:ascii="Times New Roman" w:hAnsi="Times New Roman" w:cs="Times New Roman"/>
        </w:rPr>
        <w:t xml:space="preserve"> where it can be done securely, safely, lawfully and ethically</w:t>
      </w:r>
      <w:r w:rsidR="002C1CD4" w:rsidRPr="006D2720">
        <w:rPr>
          <w:rFonts w:ascii="Times New Roman" w:hAnsi="Times New Roman" w:cs="Times New Roman"/>
        </w:rPr>
        <w:t>’.</w:t>
      </w:r>
      <w:r w:rsidR="002C1CD4" w:rsidRPr="006D2720">
        <w:rPr>
          <w:rStyle w:val="FootnoteReference"/>
          <w:rFonts w:ascii="Times New Roman" w:hAnsi="Times New Roman" w:cs="Times New Roman"/>
        </w:rPr>
        <w:footnoteReference w:id="312"/>
      </w:r>
      <w:r w:rsidR="002C1CD4" w:rsidRPr="006D2720">
        <w:rPr>
          <w:rFonts w:ascii="Times New Roman" w:hAnsi="Times New Roman" w:cs="Times New Roman"/>
        </w:rPr>
        <w:t xml:space="preserve"> </w:t>
      </w:r>
      <w:r w:rsidR="003C2B06" w:rsidRPr="006D2720">
        <w:rPr>
          <w:rFonts w:ascii="Times New Roman" w:hAnsi="Times New Roman" w:cs="Times New Roman"/>
        </w:rPr>
        <w:t>Consistent with the Data Availability and Transparency Bill</w:t>
      </w:r>
      <w:r w:rsidR="002956A8">
        <w:rPr>
          <w:rFonts w:ascii="Times New Roman" w:hAnsi="Times New Roman" w:cs="Times New Roman"/>
        </w:rPr>
        <w:t xml:space="preserve"> 2020</w:t>
      </w:r>
      <w:r w:rsidR="003C2B06" w:rsidRPr="006D2720">
        <w:rPr>
          <w:rFonts w:ascii="Times New Roman" w:hAnsi="Times New Roman" w:cs="Times New Roman"/>
        </w:rPr>
        <w:t>,</w:t>
      </w:r>
      <w:r w:rsidR="003C2B06" w:rsidRPr="006D2720">
        <w:rPr>
          <w:rStyle w:val="CommentReference"/>
          <w:rFonts w:ascii="Times New Roman" w:eastAsiaTheme="minorHAnsi" w:hAnsi="Times New Roman" w:cs="Times New Roman"/>
          <w:bCs w:val="0"/>
          <w:color w:val="auto"/>
        </w:rPr>
        <w:t xml:space="preserve"> </w:t>
      </w:r>
      <w:r w:rsidR="003C2B06" w:rsidRPr="006D2720">
        <w:rPr>
          <w:rFonts w:ascii="Times New Roman" w:hAnsi="Times New Roman" w:cs="Times New Roman"/>
        </w:rPr>
        <w:t xml:space="preserve"> i</w:t>
      </w:r>
      <w:r w:rsidR="00CA48CD" w:rsidRPr="006D2720">
        <w:rPr>
          <w:rFonts w:ascii="Times New Roman" w:hAnsi="Times New Roman" w:cs="Times New Roman"/>
        </w:rPr>
        <w:t>nformation will be shared according to data sharing principles.</w:t>
      </w:r>
      <w:r w:rsidR="00CA48CD" w:rsidRPr="006D2720">
        <w:rPr>
          <w:rStyle w:val="FootnoteReference"/>
          <w:rFonts w:ascii="Times New Roman" w:hAnsi="Times New Roman" w:cs="Times New Roman"/>
        </w:rPr>
        <w:footnoteReference w:id="313"/>
      </w:r>
      <w:r w:rsidR="00CA48CD" w:rsidRPr="006D2720">
        <w:rPr>
          <w:rFonts w:ascii="Times New Roman" w:hAnsi="Times New Roman" w:cs="Times New Roman"/>
        </w:rPr>
        <w:t xml:space="preserve"> </w:t>
      </w:r>
      <w:r w:rsidR="006A0452" w:rsidRPr="006D2720">
        <w:rPr>
          <w:rFonts w:ascii="Times New Roman" w:hAnsi="Times New Roman" w:cs="Times New Roman"/>
        </w:rPr>
        <w:t>G</w:t>
      </w:r>
      <w:r w:rsidR="00841010" w:rsidRPr="006D2720">
        <w:rPr>
          <w:rFonts w:ascii="Times New Roman" w:hAnsi="Times New Roman" w:cs="Times New Roman"/>
        </w:rPr>
        <w:t xml:space="preserve">overnments </w:t>
      </w:r>
      <w:r w:rsidR="006A0452" w:rsidRPr="006D2720">
        <w:rPr>
          <w:rFonts w:ascii="Times New Roman" w:hAnsi="Times New Roman" w:cs="Times New Roman"/>
        </w:rPr>
        <w:t xml:space="preserve">also </w:t>
      </w:r>
      <w:r w:rsidR="00841010" w:rsidRPr="006D2720">
        <w:rPr>
          <w:rFonts w:ascii="Times New Roman" w:hAnsi="Times New Roman" w:cs="Times New Roman"/>
        </w:rPr>
        <w:t>commit</w:t>
      </w:r>
      <w:r w:rsidR="00AE00DC" w:rsidRPr="006D2720">
        <w:rPr>
          <w:rFonts w:ascii="Times New Roman" w:hAnsi="Times New Roman" w:cs="Times New Roman"/>
        </w:rPr>
        <w:t>ted</w:t>
      </w:r>
      <w:r w:rsidR="00841010" w:rsidRPr="006D2720">
        <w:rPr>
          <w:rFonts w:ascii="Times New Roman" w:hAnsi="Times New Roman" w:cs="Times New Roman"/>
        </w:rPr>
        <w:t xml:space="preserve"> to </w:t>
      </w:r>
      <w:r w:rsidR="007F2D07" w:rsidRPr="006D2720">
        <w:rPr>
          <w:rFonts w:ascii="Times New Roman" w:hAnsi="Times New Roman" w:cs="Times New Roman"/>
        </w:rPr>
        <w:t>identify</w:t>
      </w:r>
      <w:r w:rsidR="00841010" w:rsidRPr="006D2720">
        <w:rPr>
          <w:rFonts w:ascii="Times New Roman" w:hAnsi="Times New Roman" w:cs="Times New Roman"/>
        </w:rPr>
        <w:t xml:space="preserve">ing </w:t>
      </w:r>
      <w:r w:rsidR="007F2D07" w:rsidRPr="006D2720">
        <w:rPr>
          <w:rFonts w:ascii="Times New Roman" w:hAnsi="Times New Roman" w:cs="Times New Roman"/>
        </w:rPr>
        <w:t>and remov</w:t>
      </w:r>
      <w:r w:rsidR="00841010" w:rsidRPr="006D2720">
        <w:rPr>
          <w:rFonts w:ascii="Times New Roman" w:hAnsi="Times New Roman" w:cs="Times New Roman"/>
        </w:rPr>
        <w:t>ing</w:t>
      </w:r>
      <w:r w:rsidR="007F2D07" w:rsidRPr="006D2720">
        <w:rPr>
          <w:rFonts w:ascii="Times New Roman" w:hAnsi="Times New Roman" w:cs="Times New Roman"/>
        </w:rPr>
        <w:t xml:space="preserve"> </w:t>
      </w:r>
      <w:r w:rsidR="00617B49" w:rsidRPr="006D2720">
        <w:rPr>
          <w:rFonts w:ascii="Times New Roman" w:hAnsi="Times New Roman" w:cs="Times New Roman"/>
        </w:rPr>
        <w:t xml:space="preserve">restrictions </w:t>
      </w:r>
      <w:r w:rsidR="00841010" w:rsidRPr="006D2720">
        <w:rPr>
          <w:rFonts w:ascii="Times New Roman" w:hAnsi="Times New Roman" w:cs="Times New Roman"/>
        </w:rPr>
        <w:t xml:space="preserve">that </w:t>
      </w:r>
      <w:r w:rsidR="00617B49" w:rsidRPr="006D2720">
        <w:rPr>
          <w:rFonts w:ascii="Times New Roman" w:hAnsi="Times New Roman" w:cs="Times New Roman"/>
        </w:rPr>
        <w:t>unnecessarily imped</w:t>
      </w:r>
      <w:r w:rsidR="00841010" w:rsidRPr="006D2720">
        <w:rPr>
          <w:rFonts w:ascii="Times New Roman" w:hAnsi="Times New Roman" w:cs="Times New Roman"/>
        </w:rPr>
        <w:t>e</w:t>
      </w:r>
      <w:r w:rsidR="00617B49" w:rsidRPr="006D2720">
        <w:rPr>
          <w:rFonts w:ascii="Times New Roman" w:hAnsi="Times New Roman" w:cs="Times New Roman"/>
        </w:rPr>
        <w:t xml:space="preserve"> lawful data sharing, </w:t>
      </w:r>
      <w:r w:rsidR="00286862" w:rsidRPr="006D2720">
        <w:rPr>
          <w:rFonts w:ascii="Times New Roman" w:hAnsi="Times New Roman" w:cs="Times New Roman"/>
        </w:rPr>
        <w:t>and to</w:t>
      </w:r>
      <w:r w:rsidR="00841010" w:rsidRPr="006D2720">
        <w:rPr>
          <w:rFonts w:ascii="Times New Roman" w:hAnsi="Times New Roman" w:cs="Times New Roman"/>
        </w:rPr>
        <w:t xml:space="preserve"> </w:t>
      </w:r>
      <w:r w:rsidR="00617B49" w:rsidRPr="006D2720">
        <w:rPr>
          <w:rFonts w:ascii="Times New Roman" w:hAnsi="Times New Roman" w:cs="Times New Roman"/>
        </w:rPr>
        <w:t>ensuring that</w:t>
      </w:r>
      <w:r w:rsidR="00E86586" w:rsidRPr="006D2720">
        <w:rPr>
          <w:rFonts w:ascii="Times New Roman" w:hAnsi="Times New Roman" w:cs="Times New Roman"/>
        </w:rPr>
        <w:t xml:space="preserve"> security </w:t>
      </w:r>
      <w:r w:rsidR="00AF660F" w:rsidRPr="006D2720">
        <w:rPr>
          <w:rFonts w:ascii="Times New Roman" w:hAnsi="Times New Roman" w:cs="Times New Roman"/>
        </w:rPr>
        <w:t xml:space="preserve">and privacy obligations </w:t>
      </w:r>
      <w:r w:rsidR="00E86586" w:rsidRPr="006D2720">
        <w:rPr>
          <w:rFonts w:ascii="Times New Roman" w:hAnsi="Times New Roman" w:cs="Times New Roman"/>
        </w:rPr>
        <w:t>continue to apply to any shared information.</w:t>
      </w:r>
      <w:r w:rsidR="007F2D07" w:rsidRPr="006D2720">
        <w:rPr>
          <w:rFonts w:ascii="Times New Roman" w:hAnsi="Times New Roman" w:cs="Times New Roman"/>
        </w:rPr>
        <w:t xml:space="preserve"> </w:t>
      </w:r>
    </w:p>
    <w:p w14:paraId="178D97F3" w14:textId="441DB6D6" w:rsidR="0064050C" w:rsidRPr="006D2720" w:rsidRDefault="0064050C" w:rsidP="0066337D">
      <w:pPr>
        <w:pStyle w:val="Heading3"/>
        <w:rPr>
          <w:rFonts w:ascii="Times New Roman" w:hAnsi="Times New Roman" w:cs="Times New Roman"/>
        </w:rPr>
      </w:pPr>
      <w:bookmarkStart w:id="359" w:name="_Ref128939619"/>
      <w:r w:rsidRPr="006D2720">
        <w:rPr>
          <w:rFonts w:ascii="Times New Roman" w:hAnsi="Times New Roman" w:cs="Times New Roman"/>
        </w:rPr>
        <w:t>These initiatives</w:t>
      </w:r>
      <w:r w:rsidR="00AE00DC" w:rsidRPr="006D2720">
        <w:rPr>
          <w:rFonts w:ascii="Times New Roman" w:hAnsi="Times New Roman" w:cs="Times New Roman"/>
        </w:rPr>
        <w:t xml:space="preserve"> in other jurisdictional contexts</w:t>
      </w:r>
      <w:r w:rsidRPr="006D2720">
        <w:rPr>
          <w:rFonts w:ascii="Times New Roman" w:hAnsi="Times New Roman" w:cs="Times New Roman"/>
        </w:rPr>
        <w:t xml:space="preserve"> demonstrate the need to ensure a consistent and robust approach to the protection of privacy while </w:t>
      </w:r>
      <w:r w:rsidR="004E7C1E" w:rsidRPr="006D2720">
        <w:rPr>
          <w:rFonts w:ascii="Times New Roman" w:hAnsi="Times New Roman" w:cs="Times New Roman"/>
        </w:rPr>
        <w:t xml:space="preserve">ensuring that government maintains </w:t>
      </w:r>
      <w:r w:rsidRPr="006D2720">
        <w:rPr>
          <w:rFonts w:ascii="Times New Roman" w:hAnsi="Times New Roman" w:cs="Times New Roman"/>
        </w:rPr>
        <w:t>the ability to enhance the value of the information it holds.</w:t>
      </w:r>
      <w:r w:rsidR="00CD371D" w:rsidRPr="006D2720">
        <w:rPr>
          <w:rFonts w:ascii="Times New Roman" w:hAnsi="Times New Roman" w:cs="Times New Roman"/>
        </w:rPr>
        <w:t xml:space="preserve"> </w:t>
      </w:r>
      <w:r w:rsidR="004E7C1E" w:rsidRPr="006D2720">
        <w:rPr>
          <w:rFonts w:ascii="Times New Roman" w:hAnsi="Times New Roman" w:cs="Times New Roman"/>
        </w:rPr>
        <w:t>In the Tasmanian context,</w:t>
      </w:r>
      <w:r w:rsidR="00421BA5" w:rsidRPr="006D2720">
        <w:rPr>
          <w:rFonts w:ascii="Times New Roman" w:hAnsi="Times New Roman" w:cs="Times New Roman"/>
        </w:rPr>
        <w:t xml:space="preserve"> it must be ensured that </w:t>
      </w:r>
      <w:r w:rsidR="0014107B" w:rsidRPr="006D2720">
        <w:rPr>
          <w:rFonts w:ascii="Times New Roman" w:hAnsi="Times New Roman" w:cs="Times New Roman"/>
        </w:rPr>
        <w:t xml:space="preserve">privacy </w:t>
      </w:r>
      <w:r w:rsidR="00CD371D" w:rsidRPr="006D2720">
        <w:rPr>
          <w:rFonts w:ascii="Times New Roman" w:hAnsi="Times New Roman" w:cs="Times New Roman"/>
        </w:rPr>
        <w:t>safeguard</w:t>
      </w:r>
      <w:r w:rsidR="0014107B" w:rsidRPr="006D2720">
        <w:rPr>
          <w:rFonts w:ascii="Times New Roman" w:hAnsi="Times New Roman" w:cs="Times New Roman"/>
        </w:rPr>
        <w:t>s</w:t>
      </w:r>
      <w:r w:rsidR="00CD371D" w:rsidRPr="006D2720">
        <w:rPr>
          <w:rFonts w:ascii="Times New Roman" w:hAnsi="Times New Roman" w:cs="Times New Roman"/>
        </w:rPr>
        <w:t xml:space="preserve"> </w:t>
      </w:r>
      <w:r w:rsidR="0014107B" w:rsidRPr="006D2720">
        <w:rPr>
          <w:rFonts w:ascii="Times New Roman" w:hAnsi="Times New Roman" w:cs="Times New Roman"/>
        </w:rPr>
        <w:t xml:space="preserve">apply </w:t>
      </w:r>
      <w:r w:rsidR="00421BA5" w:rsidRPr="006D2720">
        <w:rPr>
          <w:rFonts w:ascii="Times New Roman" w:hAnsi="Times New Roman" w:cs="Times New Roman"/>
        </w:rPr>
        <w:t xml:space="preserve">whenever legislation authorises personal information to be shared </w:t>
      </w:r>
      <w:r w:rsidR="008B433F" w:rsidRPr="006D2720">
        <w:rPr>
          <w:rFonts w:ascii="Times New Roman" w:hAnsi="Times New Roman" w:cs="Times New Roman"/>
        </w:rPr>
        <w:t xml:space="preserve">within and </w:t>
      </w:r>
      <w:r w:rsidR="00CD371D" w:rsidRPr="006D2720">
        <w:rPr>
          <w:rFonts w:ascii="Times New Roman" w:hAnsi="Times New Roman" w:cs="Times New Roman"/>
        </w:rPr>
        <w:t>between government agencies and contractors.</w:t>
      </w:r>
      <w:bookmarkEnd w:id="359"/>
      <w:r w:rsidR="00CD371D" w:rsidRPr="006D272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607"/>
        <w:gridCol w:w="8409"/>
      </w:tblGrid>
      <w:tr w:rsidR="00344310" w:rsidRPr="006D2720" w14:paraId="63768E01" w14:textId="77777777" w:rsidTr="00951B41">
        <w:tc>
          <w:tcPr>
            <w:tcW w:w="0" w:type="auto"/>
            <w:gridSpan w:val="2"/>
            <w:shd w:val="clear" w:color="auto" w:fill="A6A6A6" w:themeFill="background1" w:themeFillShade="A6"/>
          </w:tcPr>
          <w:p w14:paraId="5264865C" w14:textId="77777777" w:rsidR="00344310" w:rsidRPr="006D2720" w:rsidRDefault="00344310" w:rsidP="00951B41">
            <w:pPr>
              <w:rPr>
                <w:rFonts w:ascii="Times New Roman" w:hAnsi="Times New Roman" w:cs="Times New Roman"/>
                <w:b/>
                <w:bCs/>
                <w:sz w:val="22"/>
                <w:szCs w:val="22"/>
              </w:rPr>
            </w:pPr>
          </w:p>
          <w:p w14:paraId="75834B6A" w14:textId="77777777" w:rsidR="00344310" w:rsidRPr="006D2720" w:rsidRDefault="00344310" w:rsidP="00951B41">
            <w:pPr>
              <w:rPr>
                <w:rFonts w:ascii="Times New Roman" w:hAnsi="Times New Roman" w:cs="Times New Roman"/>
                <w:b/>
                <w:bCs/>
                <w:sz w:val="22"/>
                <w:szCs w:val="22"/>
              </w:rPr>
            </w:pPr>
            <w:r w:rsidRPr="006D2720">
              <w:rPr>
                <w:rFonts w:ascii="Times New Roman" w:hAnsi="Times New Roman" w:cs="Times New Roman"/>
                <w:b/>
                <w:bCs/>
                <w:sz w:val="22"/>
                <w:szCs w:val="22"/>
              </w:rPr>
              <w:t>Questions:</w:t>
            </w:r>
          </w:p>
          <w:p w14:paraId="48F11319" w14:textId="77777777" w:rsidR="00344310" w:rsidRPr="006D2720" w:rsidRDefault="00344310" w:rsidP="00951B41">
            <w:pPr>
              <w:rPr>
                <w:rFonts w:ascii="Times New Roman" w:hAnsi="Times New Roman" w:cs="Times New Roman"/>
                <w:b/>
                <w:bCs/>
                <w:sz w:val="22"/>
                <w:szCs w:val="22"/>
              </w:rPr>
            </w:pPr>
          </w:p>
        </w:tc>
      </w:tr>
      <w:tr w:rsidR="00344310" w:rsidRPr="006D2720" w14:paraId="46FD0154" w14:textId="77777777" w:rsidTr="00344310">
        <w:tc>
          <w:tcPr>
            <w:tcW w:w="607" w:type="dxa"/>
          </w:tcPr>
          <w:p w14:paraId="5632BA18" w14:textId="6C3D56D1" w:rsidR="00344310" w:rsidRPr="006D2720" w:rsidRDefault="00344310" w:rsidP="00951B41">
            <w:pPr>
              <w:spacing w:before="60" w:after="60"/>
              <w:rPr>
                <w:rFonts w:ascii="Times New Roman" w:hAnsi="Times New Roman" w:cs="Times New Roman"/>
                <w:szCs w:val="21"/>
              </w:rPr>
            </w:pPr>
            <w:r w:rsidRPr="006D2720">
              <w:rPr>
                <w:rFonts w:ascii="Times New Roman" w:hAnsi="Times New Roman" w:cs="Times New Roman"/>
                <w:szCs w:val="21"/>
              </w:rPr>
              <w:t>3.1</w:t>
            </w:r>
          </w:p>
        </w:tc>
        <w:tc>
          <w:tcPr>
            <w:tcW w:w="8409" w:type="dxa"/>
          </w:tcPr>
          <w:p w14:paraId="7319FC9D" w14:textId="76853B43" w:rsidR="00344310" w:rsidRPr="006D2720" w:rsidRDefault="00344310" w:rsidP="00951B41">
            <w:pPr>
              <w:spacing w:before="60" w:after="60"/>
              <w:rPr>
                <w:rFonts w:ascii="Times New Roman" w:hAnsi="Times New Roman" w:cs="Times New Roman"/>
                <w:sz w:val="22"/>
                <w:szCs w:val="22"/>
              </w:rPr>
            </w:pPr>
            <w:r w:rsidRPr="006D2720">
              <w:rPr>
                <w:rFonts w:ascii="Times New Roman" w:hAnsi="Times New Roman" w:cs="Times New Roman"/>
                <w:sz w:val="22"/>
                <w:szCs w:val="22"/>
              </w:rPr>
              <w:t>Should legislation providing for the application of minimum privacy safeguards be introduced to apply to all information sharing within and between government bodies?</w:t>
            </w:r>
          </w:p>
        </w:tc>
      </w:tr>
      <w:tr w:rsidR="00344310" w:rsidRPr="006D2720" w14:paraId="132E637C" w14:textId="77777777" w:rsidTr="00344310">
        <w:tc>
          <w:tcPr>
            <w:tcW w:w="607" w:type="dxa"/>
          </w:tcPr>
          <w:p w14:paraId="7328DBBD" w14:textId="4F5927E8" w:rsidR="00344310" w:rsidRPr="006D2720" w:rsidRDefault="00344310" w:rsidP="00951B41">
            <w:pPr>
              <w:spacing w:before="60" w:after="60"/>
              <w:rPr>
                <w:rFonts w:ascii="Times New Roman" w:hAnsi="Times New Roman" w:cs="Times New Roman"/>
                <w:szCs w:val="21"/>
              </w:rPr>
            </w:pPr>
            <w:r w:rsidRPr="006D2720">
              <w:rPr>
                <w:rFonts w:ascii="Times New Roman" w:hAnsi="Times New Roman" w:cs="Times New Roman"/>
                <w:szCs w:val="21"/>
              </w:rPr>
              <w:t>3.2</w:t>
            </w:r>
          </w:p>
        </w:tc>
        <w:tc>
          <w:tcPr>
            <w:tcW w:w="8409" w:type="dxa"/>
          </w:tcPr>
          <w:p w14:paraId="0182D4E7" w14:textId="7AE6EA2A" w:rsidR="00344310" w:rsidRPr="006D2720" w:rsidRDefault="00344310" w:rsidP="00951B41">
            <w:pPr>
              <w:spacing w:before="60" w:after="60"/>
              <w:rPr>
                <w:rFonts w:ascii="Times New Roman" w:hAnsi="Times New Roman" w:cs="Times New Roman"/>
                <w:sz w:val="22"/>
                <w:szCs w:val="22"/>
              </w:rPr>
            </w:pPr>
            <w:r w:rsidRPr="006D2720">
              <w:rPr>
                <w:rFonts w:ascii="Times New Roman" w:hAnsi="Times New Roman" w:cs="Times New Roman"/>
                <w:sz w:val="22"/>
                <w:szCs w:val="22"/>
              </w:rPr>
              <w:t>If such legislation should be introduced, how should the safeguards be enforced?</w:t>
            </w:r>
          </w:p>
        </w:tc>
      </w:tr>
    </w:tbl>
    <w:p w14:paraId="42FC1053" w14:textId="3051F47A" w:rsidR="00344310" w:rsidRPr="006D2720" w:rsidRDefault="00344310" w:rsidP="00344310">
      <w:pPr>
        <w:rPr>
          <w:rFonts w:ascii="Times New Roman" w:hAnsi="Times New Roman" w:cs="Times New Roman"/>
        </w:rPr>
      </w:pPr>
    </w:p>
    <w:p w14:paraId="7EA01D99" w14:textId="77777777" w:rsidR="00AD1632" w:rsidRPr="006D2720" w:rsidRDefault="00AD1632">
      <w:pPr>
        <w:rPr>
          <w:rFonts w:ascii="Times New Roman" w:hAnsi="Times New Roman" w:cs="Times New Roman"/>
        </w:rPr>
        <w:sectPr w:rsidR="00AD1632" w:rsidRPr="006D2720" w:rsidSect="00AD1632">
          <w:headerReference w:type="default" r:id="rId30"/>
          <w:pgSz w:w="11906" w:h="16838"/>
          <w:pgMar w:top="1440" w:right="1440" w:bottom="1440" w:left="1440" w:header="708" w:footer="708" w:gutter="0"/>
          <w:cols w:space="708"/>
          <w:docGrid w:linePitch="360"/>
        </w:sectPr>
      </w:pPr>
    </w:p>
    <w:p w14:paraId="714B12C6" w14:textId="77777777" w:rsidR="00AB38CB" w:rsidRPr="006D2720" w:rsidRDefault="00AB38CB">
      <w:pPr>
        <w:pStyle w:val="PartNoTLRI"/>
        <w:numPr>
          <w:ilvl w:val="0"/>
          <w:numId w:val="44"/>
        </w:numPr>
        <w:spacing w:after="360" w:line="240" w:lineRule="auto"/>
        <w:ind w:left="0" w:firstLine="0"/>
        <w:rPr>
          <w:rFonts w:ascii="Times New Roman" w:hAnsi="Times New Roman" w:cs="Times New Roman"/>
        </w:rPr>
      </w:pPr>
      <w:bookmarkStart w:id="360" w:name="_Ref56700324"/>
    </w:p>
    <w:p w14:paraId="3B9693C2" w14:textId="05D873AE" w:rsidR="0064050C" w:rsidRPr="006D2720" w:rsidRDefault="0064050C" w:rsidP="00166D6D">
      <w:pPr>
        <w:pStyle w:val="Heading1"/>
        <w:rPr>
          <w:rFonts w:ascii="Times New Roman" w:hAnsi="Times New Roman" w:cs="Times New Roman"/>
        </w:rPr>
      </w:pPr>
      <w:bookmarkStart w:id="361" w:name="_Other_protections_of"/>
      <w:bookmarkStart w:id="362" w:name="_Ref91583359"/>
      <w:bookmarkStart w:id="363" w:name="_Toc91832013"/>
      <w:bookmarkStart w:id="364" w:name="_Toc130540448"/>
      <w:bookmarkEnd w:id="360"/>
      <w:bookmarkEnd w:id="361"/>
      <w:r w:rsidRPr="006D2720">
        <w:rPr>
          <w:rFonts w:ascii="Times New Roman" w:hAnsi="Times New Roman" w:cs="Times New Roman"/>
        </w:rPr>
        <w:t>Other protections of privacy</w:t>
      </w:r>
      <w:bookmarkEnd w:id="362"/>
      <w:bookmarkEnd w:id="363"/>
      <w:bookmarkEnd w:id="364"/>
    </w:p>
    <w:p w14:paraId="514A710C" w14:textId="532F6F87" w:rsidR="0064050C" w:rsidRPr="006D2720" w:rsidRDefault="00AE00DC" w:rsidP="007A1712">
      <w:pPr>
        <w:pStyle w:val="Heading2"/>
        <w:rPr>
          <w:rFonts w:ascii="Times New Roman" w:hAnsi="Times New Roman" w:cs="Times New Roman"/>
        </w:rPr>
      </w:pPr>
      <w:bookmarkStart w:id="365" w:name="_Toc91832014"/>
      <w:bookmarkStart w:id="366" w:name="_Toc130540449"/>
      <w:r w:rsidRPr="006D2720">
        <w:rPr>
          <w:rFonts w:ascii="Times New Roman" w:hAnsi="Times New Roman" w:cs="Times New Roman"/>
        </w:rPr>
        <w:t>Introduction</w:t>
      </w:r>
      <w:bookmarkEnd w:id="365"/>
      <w:bookmarkEnd w:id="366"/>
    </w:p>
    <w:p w14:paraId="6F542C44" w14:textId="62DC4CDA" w:rsidR="007A62F4" w:rsidRPr="006D2720" w:rsidRDefault="00AE00DC" w:rsidP="007A62F4">
      <w:pPr>
        <w:pStyle w:val="Heading3"/>
        <w:rPr>
          <w:rFonts w:ascii="Times New Roman" w:hAnsi="Times New Roman" w:cs="Times New Roman"/>
          <w:lang w:val="en-GB"/>
        </w:rPr>
      </w:pPr>
      <w:r w:rsidRPr="006D2720">
        <w:rPr>
          <w:rFonts w:ascii="Times New Roman" w:hAnsi="Times New Roman" w:cs="Times New Roman"/>
          <w:lang w:val="en-GB"/>
        </w:rPr>
        <w:t xml:space="preserve">In addition to </w:t>
      </w:r>
      <w:r w:rsidR="007A62F4" w:rsidRPr="006D2720">
        <w:rPr>
          <w:rFonts w:ascii="Times New Roman" w:hAnsi="Times New Roman" w:cs="Times New Roman"/>
          <w:lang w:val="en-GB"/>
        </w:rPr>
        <w:t xml:space="preserve">the </w:t>
      </w:r>
      <w:r w:rsidR="002C3FB9" w:rsidRPr="006D2720">
        <w:rPr>
          <w:rFonts w:ascii="Times New Roman" w:hAnsi="Times New Roman" w:cs="Times New Roman"/>
          <w:i/>
          <w:iCs/>
        </w:rPr>
        <w:t>Personal Information Protection Act 2004</w:t>
      </w:r>
      <w:r w:rsidR="002C3FB9" w:rsidRPr="006D2720">
        <w:rPr>
          <w:rFonts w:ascii="Times New Roman" w:hAnsi="Times New Roman" w:cs="Times New Roman"/>
        </w:rPr>
        <w:t xml:space="preserve"> (Tas) (</w:t>
      </w:r>
      <w:r w:rsidR="002C3FB9" w:rsidRPr="006D2720">
        <w:rPr>
          <w:rFonts w:ascii="Times New Roman" w:hAnsi="Times New Roman" w:cs="Times New Roman"/>
          <w:i/>
          <w:iCs/>
        </w:rPr>
        <w:t>‘</w:t>
      </w:r>
      <w:r w:rsidR="002C3FB9" w:rsidRPr="006D2720">
        <w:rPr>
          <w:rFonts w:ascii="Times New Roman" w:hAnsi="Times New Roman" w:cs="Times New Roman"/>
        </w:rPr>
        <w:t>PIPA’)</w:t>
      </w:r>
      <w:r w:rsidR="007A62F4" w:rsidRPr="006D2720">
        <w:rPr>
          <w:rFonts w:ascii="Times New Roman" w:hAnsi="Times New Roman" w:cs="Times New Roman"/>
          <w:lang w:val="en-GB"/>
        </w:rPr>
        <w:t xml:space="preserve">, there are </w:t>
      </w:r>
      <w:r w:rsidR="00CE5A6B" w:rsidRPr="006D2720">
        <w:rPr>
          <w:rFonts w:ascii="Times New Roman" w:hAnsi="Times New Roman" w:cs="Times New Roman"/>
          <w:lang w:val="en-GB"/>
        </w:rPr>
        <w:t xml:space="preserve">other </w:t>
      </w:r>
      <w:r w:rsidR="007A62F4" w:rsidRPr="006D2720">
        <w:rPr>
          <w:rFonts w:ascii="Times New Roman" w:hAnsi="Times New Roman" w:cs="Times New Roman"/>
          <w:lang w:val="en-GB"/>
        </w:rPr>
        <w:t xml:space="preserve">existing privacy protections </w:t>
      </w:r>
      <w:r w:rsidRPr="006D2720">
        <w:rPr>
          <w:rFonts w:ascii="Times New Roman" w:hAnsi="Times New Roman" w:cs="Times New Roman"/>
          <w:lang w:val="en-GB"/>
        </w:rPr>
        <w:t xml:space="preserve">under </w:t>
      </w:r>
      <w:r w:rsidR="007A62F4" w:rsidRPr="006D2720">
        <w:rPr>
          <w:rFonts w:ascii="Times New Roman" w:hAnsi="Times New Roman" w:cs="Times New Roman"/>
          <w:lang w:val="en-GB"/>
        </w:rPr>
        <w:t>Tasmanian law</w:t>
      </w:r>
      <w:r w:rsidR="00A9606D" w:rsidRPr="006D2720">
        <w:rPr>
          <w:rFonts w:ascii="Times New Roman" w:hAnsi="Times New Roman" w:cs="Times New Roman"/>
          <w:lang w:val="en-GB"/>
        </w:rPr>
        <w:t xml:space="preserve"> that apply in various </w:t>
      </w:r>
      <w:r w:rsidR="00C11975" w:rsidRPr="006D2720">
        <w:rPr>
          <w:rFonts w:ascii="Times New Roman" w:hAnsi="Times New Roman" w:cs="Times New Roman"/>
          <w:lang w:val="en-GB"/>
        </w:rPr>
        <w:t>contexts</w:t>
      </w:r>
      <w:r w:rsidR="00D43CD7" w:rsidRPr="006D2720">
        <w:rPr>
          <w:rFonts w:ascii="Times New Roman" w:hAnsi="Times New Roman" w:cs="Times New Roman"/>
          <w:lang w:val="en-GB"/>
        </w:rPr>
        <w:t xml:space="preserve"> and are</w:t>
      </w:r>
      <w:r w:rsidR="007A62F4" w:rsidRPr="006D2720">
        <w:rPr>
          <w:rFonts w:ascii="Times New Roman" w:hAnsi="Times New Roman" w:cs="Times New Roman"/>
          <w:lang w:val="en-GB"/>
        </w:rPr>
        <w:t xml:space="preserve"> contained in </w:t>
      </w:r>
      <w:r w:rsidR="00DB4F72" w:rsidRPr="006D2720">
        <w:rPr>
          <w:rFonts w:ascii="Times New Roman" w:hAnsi="Times New Roman" w:cs="Times New Roman"/>
          <w:lang w:val="en-GB"/>
        </w:rPr>
        <w:t xml:space="preserve">either </w:t>
      </w:r>
      <w:r w:rsidR="007A62F4" w:rsidRPr="006D2720">
        <w:rPr>
          <w:rFonts w:ascii="Times New Roman" w:hAnsi="Times New Roman" w:cs="Times New Roman"/>
          <w:lang w:val="en-GB"/>
        </w:rPr>
        <w:t>legislation or in judicial statements in case</w:t>
      </w:r>
      <w:r w:rsidRPr="006D2720">
        <w:rPr>
          <w:rFonts w:ascii="Times New Roman" w:hAnsi="Times New Roman" w:cs="Times New Roman"/>
          <w:lang w:val="en-GB"/>
        </w:rPr>
        <w:t xml:space="preserve"> law</w:t>
      </w:r>
      <w:r w:rsidR="007A62F4" w:rsidRPr="006D2720">
        <w:rPr>
          <w:rFonts w:ascii="Times New Roman" w:hAnsi="Times New Roman" w:cs="Times New Roman"/>
          <w:lang w:val="en-GB"/>
        </w:rPr>
        <w:t xml:space="preserve">. </w:t>
      </w:r>
      <w:r w:rsidR="00A26271" w:rsidRPr="006D2720">
        <w:rPr>
          <w:rFonts w:ascii="Times New Roman" w:hAnsi="Times New Roman" w:cs="Times New Roman"/>
          <w:lang w:val="en-GB"/>
        </w:rPr>
        <w:t>While</w:t>
      </w:r>
      <w:r w:rsidR="001D2185" w:rsidRPr="006D2720">
        <w:rPr>
          <w:rFonts w:ascii="Times New Roman" w:hAnsi="Times New Roman" w:cs="Times New Roman"/>
          <w:lang w:val="en-GB"/>
        </w:rPr>
        <w:t xml:space="preserve"> this Issues Paper has so far focused largely on information privacy, these </w:t>
      </w:r>
      <w:r w:rsidR="00B538E8" w:rsidRPr="006D2720">
        <w:rPr>
          <w:rFonts w:ascii="Times New Roman" w:hAnsi="Times New Roman" w:cs="Times New Roman"/>
          <w:lang w:val="en-GB"/>
        </w:rPr>
        <w:t xml:space="preserve">other </w:t>
      </w:r>
      <w:r w:rsidR="001D2185" w:rsidRPr="006D2720">
        <w:rPr>
          <w:rFonts w:ascii="Times New Roman" w:hAnsi="Times New Roman" w:cs="Times New Roman"/>
          <w:lang w:val="en-GB"/>
        </w:rPr>
        <w:t>protections may also deal with other types of privacy, such as bodily privacy</w:t>
      </w:r>
      <w:r w:rsidR="00B538E8" w:rsidRPr="006D2720">
        <w:rPr>
          <w:rFonts w:ascii="Times New Roman" w:hAnsi="Times New Roman" w:cs="Times New Roman"/>
          <w:lang w:val="en-GB"/>
        </w:rPr>
        <w:t>, privacy of communications, or territorial privacy</w:t>
      </w:r>
      <w:r w:rsidR="003251E4" w:rsidRPr="006D2720">
        <w:rPr>
          <w:rFonts w:ascii="Times New Roman" w:hAnsi="Times New Roman" w:cs="Times New Roman"/>
          <w:lang w:val="en-GB"/>
        </w:rPr>
        <w:t>.</w:t>
      </w:r>
    </w:p>
    <w:p w14:paraId="36296356" w14:textId="5D9A1978" w:rsidR="0064050C" w:rsidRPr="006D2720" w:rsidRDefault="00CE7BE1" w:rsidP="0066337D">
      <w:pPr>
        <w:pStyle w:val="Heading3"/>
        <w:rPr>
          <w:rFonts w:ascii="Times New Roman" w:hAnsi="Times New Roman" w:cs="Times New Roman"/>
          <w:lang w:val="en-GB"/>
        </w:rPr>
      </w:pPr>
      <w:r w:rsidRPr="006D2720">
        <w:rPr>
          <w:rFonts w:ascii="Times New Roman" w:hAnsi="Times New Roman" w:cs="Times New Roman"/>
          <w:lang w:val="en-GB"/>
        </w:rPr>
        <w:t>Legislation includes protection against various forms of harm to privacy interests</w:t>
      </w:r>
      <w:r w:rsidR="000540EB" w:rsidRPr="006D2720">
        <w:rPr>
          <w:rFonts w:ascii="Times New Roman" w:hAnsi="Times New Roman" w:cs="Times New Roman"/>
          <w:lang w:val="en-GB"/>
        </w:rPr>
        <w:t>. However</w:t>
      </w:r>
      <w:r w:rsidRPr="006D2720">
        <w:rPr>
          <w:rFonts w:ascii="Times New Roman" w:hAnsi="Times New Roman" w:cs="Times New Roman"/>
          <w:lang w:val="en-GB"/>
        </w:rPr>
        <w:t xml:space="preserve">, these are generally </w:t>
      </w:r>
      <w:r w:rsidR="0064050C" w:rsidRPr="006D2720">
        <w:rPr>
          <w:rFonts w:ascii="Times New Roman" w:hAnsi="Times New Roman" w:cs="Times New Roman"/>
          <w:lang w:val="en-GB"/>
        </w:rPr>
        <w:t>limited to activities or circumstances in which specific interferences with privacy might occur</w:t>
      </w:r>
      <w:r w:rsidR="002766BF" w:rsidRPr="006D2720">
        <w:rPr>
          <w:rFonts w:ascii="Times New Roman" w:hAnsi="Times New Roman" w:cs="Times New Roman"/>
          <w:lang w:val="en-GB"/>
        </w:rPr>
        <w:t xml:space="preserve">. </w:t>
      </w:r>
      <w:r w:rsidR="00AD3B58" w:rsidRPr="006D2720">
        <w:rPr>
          <w:rFonts w:ascii="Times New Roman" w:hAnsi="Times New Roman" w:cs="Times New Roman"/>
          <w:lang w:val="en-GB"/>
        </w:rPr>
        <w:t>These include</w:t>
      </w:r>
      <w:r w:rsidRPr="006D2720">
        <w:rPr>
          <w:rFonts w:ascii="Times New Roman" w:hAnsi="Times New Roman" w:cs="Times New Roman"/>
          <w:lang w:val="en-GB"/>
        </w:rPr>
        <w:t xml:space="preserve"> governmental or workplace surveillance, stalking, harassment, and </w:t>
      </w:r>
      <w:r w:rsidR="00D05431">
        <w:rPr>
          <w:rFonts w:ascii="Times New Roman" w:hAnsi="Times New Roman" w:cs="Times New Roman"/>
          <w:lang w:val="en-GB"/>
        </w:rPr>
        <w:t>image</w:t>
      </w:r>
      <w:r w:rsidR="007422E6">
        <w:rPr>
          <w:rFonts w:ascii="Times New Roman" w:hAnsi="Times New Roman" w:cs="Times New Roman"/>
          <w:lang w:val="en-GB"/>
        </w:rPr>
        <w:t>-</w:t>
      </w:r>
      <w:r w:rsidR="00D05431">
        <w:rPr>
          <w:rFonts w:ascii="Times New Roman" w:hAnsi="Times New Roman" w:cs="Times New Roman"/>
          <w:lang w:val="en-GB"/>
        </w:rPr>
        <w:t xml:space="preserve"> based abuse (previously called ‘</w:t>
      </w:r>
      <w:r w:rsidRPr="006D2720">
        <w:rPr>
          <w:rFonts w:ascii="Times New Roman" w:hAnsi="Times New Roman" w:cs="Times New Roman"/>
          <w:lang w:val="en-GB"/>
        </w:rPr>
        <w:t>revenge pornography</w:t>
      </w:r>
      <w:r w:rsidR="00D05431">
        <w:rPr>
          <w:rFonts w:ascii="Times New Roman" w:hAnsi="Times New Roman" w:cs="Times New Roman"/>
          <w:lang w:val="en-GB"/>
        </w:rPr>
        <w:t>’)</w:t>
      </w:r>
      <w:r w:rsidRPr="006D2720">
        <w:rPr>
          <w:rFonts w:ascii="Times New Roman" w:hAnsi="Times New Roman" w:cs="Times New Roman"/>
          <w:lang w:val="en-GB"/>
        </w:rPr>
        <w:t xml:space="preserve">. </w:t>
      </w:r>
    </w:p>
    <w:p w14:paraId="02A2621C" w14:textId="294CBE6E" w:rsidR="009C4297" w:rsidRPr="006D2720" w:rsidRDefault="0064050C" w:rsidP="009C4297">
      <w:pPr>
        <w:pStyle w:val="Heading3"/>
        <w:rPr>
          <w:rFonts w:ascii="Times New Roman" w:hAnsi="Times New Roman" w:cs="Times New Roman"/>
          <w:lang w:val="en-GB"/>
        </w:rPr>
      </w:pPr>
      <w:r w:rsidRPr="006D2720">
        <w:rPr>
          <w:rFonts w:ascii="Times New Roman" w:hAnsi="Times New Roman" w:cs="Times New Roman"/>
          <w:lang w:val="en-GB"/>
        </w:rPr>
        <w:t>Tasmanian courts have had few opportunities to consider privacy</w:t>
      </w:r>
      <w:r w:rsidR="00CE7BE1" w:rsidRPr="006D2720">
        <w:rPr>
          <w:rFonts w:ascii="Times New Roman" w:hAnsi="Times New Roman" w:cs="Times New Roman"/>
          <w:lang w:val="en-GB"/>
        </w:rPr>
        <w:t xml:space="preserve">. </w:t>
      </w:r>
      <w:r w:rsidR="009C4297" w:rsidRPr="006D2720">
        <w:rPr>
          <w:rFonts w:ascii="Times New Roman" w:hAnsi="Times New Roman" w:cs="Times New Roman"/>
          <w:lang w:val="en-GB"/>
        </w:rPr>
        <w:t xml:space="preserve">Even when an opportunity </w:t>
      </w:r>
      <w:r w:rsidR="00AE00DC" w:rsidRPr="006D2720">
        <w:rPr>
          <w:rFonts w:ascii="Times New Roman" w:hAnsi="Times New Roman" w:cs="Times New Roman"/>
          <w:lang w:val="en-GB"/>
        </w:rPr>
        <w:t xml:space="preserve">has </w:t>
      </w:r>
      <w:r w:rsidR="009C4297" w:rsidRPr="006D2720">
        <w:rPr>
          <w:rFonts w:ascii="Times New Roman" w:hAnsi="Times New Roman" w:cs="Times New Roman"/>
          <w:lang w:val="en-GB"/>
        </w:rPr>
        <w:t>arise</w:t>
      </w:r>
      <w:r w:rsidR="00AE00DC" w:rsidRPr="006D2720">
        <w:rPr>
          <w:rFonts w:ascii="Times New Roman" w:hAnsi="Times New Roman" w:cs="Times New Roman"/>
          <w:lang w:val="en-GB"/>
        </w:rPr>
        <w:t>n</w:t>
      </w:r>
      <w:r w:rsidR="009C4297" w:rsidRPr="006D2720">
        <w:rPr>
          <w:rFonts w:ascii="Times New Roman" w:hAnsi="Times New Roman" w:cs="Times New Roman"/>
          <w:lang w:val="en-GB"/>
        </w:rPr>
        <w:t xml:space="preserve">, it </w:t>
      </w:r>
      <w:r w:rsidR="00C11975" w:rsidRPr="006D2720">
        <w:rPr>
          <w:rFonts w:ascii="Times New Roman" w:hAnsi="Times New Roman" w:cs="Times New Roman"/>
          <w:lang w:val="en-GB"/>
        </w:rPr>
        <w:t>has</w:t>
      </w:r>
      <w:r w:rsidR="009C4297" w:rsidRPr="006D2720">
        <w:rPr>
          <w:rFonts w:ascii="Times New Roman" w:hAnsi="Times New Roman" w:cs="Times New Roman"/>
          <w:lang w:val="en-GB"/>
        </w:rPr>
        <w:t xml:space="preserve"> rarely been considered as a stand-alone right or cause of action requiring a remedy. Rather, it has largely</w:t>
      </w:r>
      <w:r w:rsidR="00AA1F66" w:rsidRPr="006D2720">
        <w:rPr>
          <w:rFonts w:ascii="Times New Roman" w:hAnsi="Times New Roman" w:cs="Times New Roman"/>
          <w:lang w:val="en-GB"/>
        </w:rPr>
        <w:t xml:space="preserve"> only</w:t>
      </w:r>
      <w:r w:rsidR="009C4297" w:rsidRPr="006D2720">
        <w:rPr>
          <w:rFonts w:ascii="Times New Roman" w:hAnsi="Times New Roman" w:cs="Times New Roman"/>
          <w:lang w:val="en-GB"/>
        </w:rPr>
        <w:t xml:space="preserve"> been considered </w:t>
      </w:r>
      <w:r w:rsidRPr="006D2720">
        <w:rPr>
          <w:rFonts w:ascii="Times New Roman" w:hAnsi="Times New Roman" w:cs="Times New Roman"/>
          <w:lang w:val="en-GB"/>
        </w:rPr>
        <w:t xml:space="preserve">when relevant legislation refers to or incorporates privacy in particular contexts. </w:t>
      </w:r>
    </w:p>
    <w:p w14:paraId="34333C27" w14:textId="5C128591"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More broadly, </w:t>
      </w:r>
      <w:r w:rsidR="00AA1F66" w:rsidRPr="006D2720">
        <w:rPr>
          <w:rFonts w:ascii="Times New Roman" w:hAnsi="Times New Roman" w:cs="Times New Roman"/>
          <w:lang w:val="en-GB"/>
        </w:rPr>
        <w:t xml:space="preserve">in some limited circumstances of particularly egregious privacy interferences, </w:t>
      </w:r>
      <w:r w:rsidRPr="006D2720">
        <w:rPr>
          <w:rFonts w:ascii="Times New Roman" w:hAnsi="Times New Roman" w:cs="Times New Roman"/>
          <w:lang w:val="en-GB"/>
        </w:rPr>
        <w:t>Australian courts have</w:t>
      </w:r>
      <w:r w:rsidR="00AA1F66" w:rsidRPr="006D2720">
        <w:rPr>
          <w:rFonts w:ascii="Times New Roman" w:hAnsi="Times New Roman" w:cs="Times New Roman"/>
          <w:lang w:val="en-GB"/>
        </w:rPr>
        <w:t xml:space="preserve"> </w:t>
      </w:r>
      <w:r w:rsidRPr="006D2720">
        <w:rPr>
          <w:rFonts w:ascii="Times New Roman" w:hAnsi="Times New Roman" w:cs="Times New Roman"/>
          <w:lang w:val="en-GB"/>
        </w:rPr>
        <w:t xml:space="preserve">at least </w:t>
      </w:r>
      <w:r w:rsidRPr="006D2720">
        <w:rPr>
          <w:rFonts w:ascii="Times New Roman" w:hAnsi="Times New Roman" w:cs="Times New Roman"/>
          <w:i/>
          <w:iCs/>
          <w:lang w:val="en-GB"/>
        </w:rPr>
        <w:t>recognised</w:t>
      </w:r>
      <w:r w:rsidRPr="006D2720">
        <w:rPr>
          <w:rFonts w:ascii="Times New Roman" w:hAnsi="Times New Roman" w:cs="Times New Roman"/>
          <w:lang w:val="en-GB"/>
        </w:rPr>
        <w:t xml:space="preserve"> the need to protect individual privacy. However,</w:t>
      </w:r>
      <w:r w:rsidR="00BC4FEA" w:rsidRPr="006D2720">
        <w:rPr>
          <w:rFonts w:ascii="Times New Roman" w:hAnsi="Times New Roman" w:cs="Times New Roman"/>
          <w:lang w:val="en-GB"/>
        </w:rPr>
        <w:t xml:space="preserve"> </w:t>
      </w:r>
      <w:r w:rsidRPr="006D2720">
        <w:rPr>
          <w:rFonts w:ascii="Times New Roman" w:hAnsi="Times New Roman" w:cs="Times New Roman"/>
          <w:lang w:val="en-GB"/>
        </w:rPr>
        <w:t xml:space="preserve">there is </w:t>
      </w:r>
      <w:r w:rsidR="006E2EC1" w:rsidRPr="006D2720">
        <w:rPr>
          <w:rFonts w:ascii="Times New Roman" w:hAnsi="Times New Roman" w:cs="Times New Roman"/>
          <w:lang w:val="en-GB"/>
        </w:rPr>
        <w:t xml:space="preserve">currently </w:t>
      </w:r>
      <w:r w:rsidRPr="006D2720">
        <w:rPr>
          <w:rFonts w:ascii="Times New Roman" w:hAnsi="Times New Roman" w:cs="Times New Roman"/>
          <w:lang w:val="en-GB"/>
        </w:rPr>
        <w:t>no</w:t>
      </w:r>
      <w:r w:rsidR="001102AD" w:rsidRPr="006D2720">
        <w:rPr>
          <w:rFonts w:ascii="Times New Roman" w:hAnsi="Times New Roman" w:cs="Times New Roman"/>
          <w:lang w:val="en-GB"/>
        </w:rPr>
        <w:t xml:space="preserve"> </w:t>
      </w:r>
      <w:r w:rsidRPr="006D2720">
        <w:rPr>
          <w:rFonts w:ascii="Times New Roman" w:hAnsi="Times New Roman" w:cs="Times New Roman"/>
          <w:lang w:val="en-GB"/>
        </w:rPr>
        <w:t xml:space="preserve">recognised civil remedy </w:t>
      </w:r>
      <w:r w:rsidR="00AA1F66" w:rsidRPr="006D2720">
        <w:rPr>
          <w:rFonts w:ascii="Times New Roman" w:hAnsi="Times New Roman" w:cs="Times New Roman"/>
          <w:lang w:val="en-GB"/>
        </w:rPr>
        <w:t>at common law</w:t>
      </w:r>
      <w:r w:rsidR="00BC4FEA" w:rsidRPr="006D2720">
        <w:rPr>
          <w:rFonts w:ascii="Times New Roman" w:hAnsi="Times New Roman" w:cs="Times New Roman"/>
          <w:lang w:val="en-GB"/>
        </w:rPr>
        <w:t xml:space="preserve"> that covers</w:t>
      </w:r>
      <w:r w:rsidRPr="006D2720">
        <w:rPr>
          <w:rFonts w:ascii="Times New Roman" w:hAnsi="Times New Roman" w:cs="Times New Roman"/>
          <w:lang w:val="en-GB"/>
        </w:rPr>
        <w:t xml:space="preserve"> interference</w:t>
      </w:r>
      <w:r w:rsidR="00867841" w:rsidRPr="006D2720">
        <w:rPr>
          <w:rFonts w:ascii="Times New Roman" w:hAnsi="Times New Roman" w:cs="Times New Roman"/>
          <w:lang w:val="en-GB"/>
        </w:rPr>
        <w:t>s</w:t>
      </w:r>
      <w:r w:rsidRPr="006D2720">
        <w:rPr>
          <w:rFonts w:ascii="Times New Roman" w:hAnsi="Times New Roman" w:cs="Times New Roman"/>
          <w:lang w:val="en-GB"/>
        </w:rPr>
        <w:t xml:space="preserve"> with privacy</w:t>
      </w:r>
      <w:r w:rsidR="00566B38" w:rsidRPr="006D2720">
        <w:rPr>
          <w:rFonts w:ascii="Times New Roman" w:hAnsi="Times New Roman" w:cs="Times New Roman"/>
          <w:lang w:val="en-GB"/>
        </w:rPr>
        <w:t xml:space="preserve"> in a comprehensive, rather than context-dependent, manner</w:t>
      </w:r>
      <w:r w:rsidR="000F092A" w:rsidRPr="006D2720">
        <w:rPr>
          <w:rFonts w:ascii="Times New Roman" w:hAnsi="Times New Roman" w:cs="Times New Roman"/>
          <w:lang w:val="en-GB"/>
        </w:rPr>
        <w:t xml:space="preserve">. Instead, </w:t>
      </w:r>
      <w:r w:rsidR="00AA1F66" w:rsidRPr="006D2720">
        <w:rPr>
          <w:rFonts w:ascii="Times New Roman" w:hAnsi="Times New Roman" w:cs="Times New Roman"/>
          <w:lang w:val="en-GB"/>
        </w:rPr>
        <w:t>the</w:t>
      </w:r>
      <w:r w:rsidRPr="006D2720">
        <w:rPr>
          <w:rFonts w:ascii="Times New Roman" w:hAnsi="Times New Roman" w:cs="Times New Roman"/>
          <w:lang w:val="en-GB"/>
        </w:rPr>
        <w:t xml:space="preserve"> courts have </w:t>
      </w:r>
      <w:r w:rsidR="00330848" w:rsidRPr="006D2720">
        <w:rPr>
          <w:rFonts w:ascii="Times New Roman" w:hAnsi="Times New Roman" w:cs="Times New Roman"/>
          <w:lang w:val="en-GB"/>
        </w:rPr>
        <w:t xml:space="preserve">mostly </w:t>
      </w:r>
      <w:r w:rsidRPr="006D2720">
        <w:rPr>
          <w:rFonts w:ascii="Times New Roman" w:hAnsi="Times New Roman" w:cs="Times New Roman"/>
          <w:lang w:val="en-GB"/>
        </w:rPr>
        <w:t>resorted to equitable remedies to vindicate individual privacy</w:t>
      </w:r>
      <w:r w:rsidR="00AA1F66" w:rsidRPr="006D2720">
        <w:rPr>
          <w:rFonts w:ascii="Times New Roman" w:hAnsi="Times New Roman" w:cs="Times New Roman"/>
          <w:lang w:val="en-GB"/>
        </w:rPr>
        <w:t xml:space="preserve">, such as by </w:t>
      </w:r>
      <w:r w:rsidR="00421A7C" w:rsidRPr="006D2720">
        <w:rPr>
          <w:rFonts w:ascii="Times New Roman" w:hAnsi="Times New Roman" w:cs="Times New Roman"/>
          <w:lang w:val="en-GB"/>
        </w:rPr>
        <w:t xml:space="preserve">finding that someone was subject to </w:t>
      </w:r>
      <w:r w:rsidR="0029399D" w:rsidRPr="006D2720">
        <w:rPr>
          <w:rFonts w:ascii="Times New Roman" w:hAnsi="Times New Roman" w:cs="Times New Roman"/>
          <w:lang w:val="en-GB"/>
        </w:rPr>
        <w:t xml:space="preserve">obligations of </w:t>
      </w:r>
      <w:r w:rsidR="00421A7C" w:rsidRPr="006D2720">
        <w:rPr>
          <w:rFonts w:ascii="Times New Roman" w:hAnsi="Times New Roman" w:cs="Times New Roman"/>
          <w:lang w:val="en-GB"/>
        </w:rPr>
        <w:t>confidentiality</w:t>
      </w:r>
      <w:r w:rsidR="0029399D" w:rsidRPr="006D2720">
        <w:rPr>
          <w:rFonts w:ascii="Times New Roman" w:hAnsi="Times New Roman" w:cs="Times New Roman"/>
          <w:lang w:val="en-GB"/>
        </w:rPr>
        <w:t xml:space="preserve"> and awarding damages in compensation for breach</w:t>
      </w:r>
      <w:r w:rsidRPr="006D2720">
        <w:rPr>
          <w:rFonts w:ascii="Times New Roman" w:hAnsi="Times New Roman" w:cs="Times New Roman"/>
          <w:lang w:val="en-GB"/>
        </w:rPr>
        <w:t xml:space="preserve">. </w:t>
      </w:r>
    </w:p>
    <w:p w14:paraId="469C9482" w14:textId="4B581FA2" w:rsidR="0064050C" w:rsidRPr="006D2720" w:rsidRDefault="000810F6" w:rsidP="0066337D">
      <w:pPr>
        <w:pStyle w:val="Heading3"/>
        <w:rPr>
          <w:rFonts w:ascii="Times New Roman" w:hAnsi="Times New Roman" w:cs="Times New Roman"/>
          <w:lang w:val="en-GB"/>
        </w:rPr>
      </w:pPr>
      <w:r w:rsidRPr="006D2720">
        <w:rPr>
          <w:rFonts w:ascii="Times New Roman" w:hAnsi="Times New Roman" w:cs="Times New Roman"/>
          <w:lang w:val="en-GB"/>
        </w:rPr>
        <w:t>Recently</w:t>
      </w:r>
      <w:r w:rsidR="0021481F" w:rsidRPr="006D2720">
        <w:rPr>
          <w:rFonts w:ascii="Times New Roman" w:hAnsi="Times New Roman" w:cs="Times New Roman"/>
          <w:lang w:val="en-GB"/>
        </w:rPr>
        <w:t xml:space="preserve"> </w:t>
      </w:r>
      <w:r w:rsidRPr="006D2720">
        <w:rPr>
          <w:rFonts w:ascii="Times New Roman" w:hAnsi="Times New Roman" w:cs="Times New Roman"/>
          <w:lang w:val="en-GB"/>
        </w:rPr>
        <w:t xml:space="preserve">the </w:t>
      </w:r>
      <w:r w:rsidR="0064050C" w:rsidRPr="006D2720">
        <w:rPr>
          <w:rFonts w:ascii="Times New Roman" w:hAnsi="Times New Roman" w:cs="Times New Roman"/>
          <w:lang w:val="en-GB"/>
        </w:rPr>
        <w:t xml:space="preserve">High Court has </w:t>
      </w:r>
      <w:r w:rsidR="00CE7BE1" w:rsidRPr="006D2720">
        <w:rPr>
          <w:rFonts w:ascii="Times New Roman" w:hAnsi="Times New Roman" w:cs="Times New Roman"/>
          <w:lang w:val="en-GB"/>
        </w:rPr>
        <w:t>recognised</w:t>
      </w:r>
      <w:r w:rsidR="006E2EC1" w:rsidRPr="006D2720">
        <w:rPr>
          <w:rFonts w:ascii="Times New Roman" w:hAnsi="Times New Roman" w:cs="Times New Roman"/>
          <w:lang w:val="en-GB"/>
        </w:rPr>
        <w:t>,</w:t>
      </w:r>
      <w:r w:rsidR="00CE7BE1" w:rsidRPr="006D2720">
        <w:rPr>
          <w:rFonts w:ascii="Times New Roman" w:hAnsi="Times New Roman" w:cs="Times New Roman"/>
          <w:lang w:val="en-GB"/>
        </w:rPr>
        <w:t xml:space="preserve"> </w:t>
      </w:r>
      <w:r w:rsidR="006E2EC1" w:rsidRPr="006D2720">
        <w:rPr>
          <w:rFonts w:ascii="Times New Roman" w:hAnsi="Times New Roman" w:cs="Times New Roman"/>
          <w:lang w:val="en-GB"/>
        </w:rPr>
        <w:t xml:space="preserve">under constitutional law, </w:t>
      </w:r>
      <w:r w:rsidR="00CE7BE1" w:rsidRPr="006D2720">
        <w:rPr>
          <w:rFonts w:ascii="Times New Roman" w:hAnsi="Times New Roman" w:cs="Times New Roman"/>
          <w:lang w:val="en-GB"/>
        </w:rPr>
        <w:t xml:space="preserve">the protection of privacy as a legitimate purpose justifying what would otherwise be an impermissible burden on </w:t>
      </w:r>
      <w:r w:rsidR="00772049" w:rsidRPr="006D2720">
        <w:rPr>
          <w:rFonts w:ascii="Times New Roman" w:hAnsi="Times New Roman" w:cs="Times New Roman"/>
          <w:lang w:val="en-GB"/>
        </w:rPr>
        <w:t>the implied freedom of political communication.</w:t>
      </w:r>
      <w:r w:rsidR="00137659" w:rsidRPr="006D2720">
        <w:rPr>
          <w:rStyle w:val="FootnoteReference"/>
          <w:rFonts w:ascii="Times New Roman" w:hAnsi="Times New Roman" w:cs="Times New Roman"/>
          <w:lang w:val="en-GB"/>
        </w:rPr>
        <w:footnoteReference w:id="314"/>
      </w:r>
      <w:r w:rsidR="0064050C" w:rsidRPr="006D2720">
        <w:rPr>
          <w:rFonts w:ascii="Times New Roman" w:hAnsi="Times New Roman" w:cs="Times New Roman"/>
          <w:lang w:val="en-GB"/>
        </w:rPr>
        <w:t xml:space="preserve"> This too, however, has not amounted to a concrete remedy specifically for breaches of privacy</w:t>
      </w:r>
      <w:r w:rsidR="0021481F" w:rsidRPr="006D2720">
        <w:rPr>
          <w:rFonts w:ascii="Times New Roman" w:hAnsi="Times New Roman" w:cs="Times New Roman"/>
          <w:lang w:val="en-GB"/>
        </w:rPr>
        <w:t xml:space="preserve">. It </w:t>
      </w:r>
      <w:r w:rsidR="0064050C" w:rsidRPr="006D2720">
        <w:rPr>
          <w:rFonts w:ascii="Times New Roman" w:hAnsi="Times New Roman" w:cs="Times New Roman"/>
          <w:lang w:val="en-GB"/>
        </w:rPr>
        <w:t xml:space="preserve">represents only a nascent </w:t>
      </w:r>
      <w:r w:rsidR="00772049" w:rsidRPr="006D2720">
        <w:rPr>
          <w:rFonts w:ascii="Times New Roman" w:hAnsi="Times New Roman" w:cs="Times New Roman"/>
          <w:lang w:val="en-GB"/>
        </w:rPr>
        <w:t>development</w:t>
      </w:r>
      <w:r w:rsidR="003F04FF" w:rsidRPr="006D2720">
        <w:rPr>
          <w:rFonts w:ascii="Times New Roman" w:hAnsi="Times New Roman" w:cs="Times New Roman"/>
          <w:lang w:val="en-GB"/>
        </w:rPr>
        <w:t xml:space="preserve">, giving rise to proposals </w:t>
      </w:r>
      <w:r w:rsidR="000E22DC" w:rsidRPr="006D2720">
        <w:rPr>
          <w:rFonts w:ascii="Times New Roman" w:hAnsi="Times New Roman" w:cs="Times New Roman"/>
          <w:lang w:val="en-GB"/>
        </w:rPr>
        <w:t>to develop</w:t>
      </w:r>
      <w:r w:rsidR="003F04FF" w:rsidRPr="006D2720">
        <w:rPr>
          <w:rFonts w:ascii="Times New Roman" w:hAnsi="Times New Roman" w:cs="Times New Roman"/>
          <w:lang w:val="en-GB"/>
        </w:rPr>
        <w:t xml:space="preserve"> a new comprehensive civil remedy for interference with privacy</w:t>
      </w:r>
      <w:r w:rsidR="0064050C" w:rsidRPr="006D2720">
        <w:rPr>
          <w:rFonts w:ascii="Times New Roman" w:hAnsi="Times New Roman" w:cs="Times New Roman"/>
          <w:lang w:val="en-GB"/>
        </w:rPr>
        <w:t>.</w:t>
      </w:r>
    </w:p>
    <w:p w14:paraId="3855B636" w14:textId="5BD6C2B4" w:rsidR="0064050C" w:rsidRPr="006D2720" w:rsidRDefault="0064050C" w:rsidP="00FF28A5">
      <w:pPr>
        <w:pStyle w:val="Heading2"/>
        <w:rPr>
          <w:rFonts w:ascii="Times New Roman" w:hAnsi="Times New Roman" w:cs="Times New Roman"/>
        </w:rPr>
      </w:pPr>
      <w:bookmarkStart w:id="367" w:name="_Ref91751192"/>
      <w:bookmarkStart w:id="368" w:name="_Ref91751206"/>
      <w:bookmarkStart w:id="369" w:name="_Toc91832015"/>
      <w:bookmarkStart w:id="370" w:name="_Toc130540450"/>
      <w:r w:rsidRPr="006D2720">
        <w:rPr>
          <w:rFonts w:ascii="Times New Roman" w:hAnsi="Times New Roman" w:cs="Times New Roman"/>
        </w:rPr>
        <w:t>Legislative protections</w:t>
      </w:r>
      <w:bookmarkEnd w:id="367"/>
      <w:bookmarkEnd w:id="368"/>
      <w:bookmarkEnd w:id="369"/>
      <w:bookmarkEnd w:id="370"/>
    </w:p>
    <w:p w14:paraId="65A4DD4C" w14:textId="08274597" w:rsidR="00805AE5" w:rsidRPr="006D2720" w:rsidRDefault="00805AE5" w:rsidP="00CA1A69">
      <w:pPr>
        <w:pStyle w:val="Heading2"/>
        <w:numPr>
          <w:ilvl w:val="0"/>
          <w:numId w:val="0"/>
        </w:numPr>
        <w:rPr>
          <w:rFonts w:ascii="Times New Roman" w:hAnsi="Times New Roman" w:cs="Times New Roman"/>
          <w:i/>
          <w:iCs/>
        </w:rPr>
      </w:pPr>
      <w:bookmarkStart w:id="371" w:name="_Health_Information"/>
      <w:bookmarkStart w:id="372" w:name="_Ref91751229"/>
      <w:bookmarkStart w:id="373" w:name="_Toc91832016"/>
      <w:bookmarkStart w:id="374" w:name="_Toc130540451"/>
      <w:bookmarkEnd w:id="371"/>
      <w:r w:rsidRPr="006D2720">
        <w:rPr>
          <w:rFonts w:ascii="Times New Roman" w:hAnsi="Times New Roman" w:cs="Times New Roman"/>
          <w:i/>
          <w:iCs/>
        </w:rPr>
        <w:t xml:space="preserve">Health </w:t>
      </w:r>
      <w:r w:rsidR="00F145BC" w:rsidRPr="006D2720">
        <w:rPr>
          <w:rFonts w:ascii="Times New Roman" w:hAnsi="Times New Roman" w:cs="Times New Roman"/>
          <w:i/>
          <w:iCs/>
        </w:rPr>
        <w:t>i</w:t>
      </w:r>
      <w:r w:rsidRPr="006D2720">
        <w:rPr>
          <w:rFonts w:ascii="Times New Roman" w:hAnsi="Times New Roman" w:cs="Times New Roman"/>
          <w:i/>
          <w:iCs/>
        </w:rPr>
        <w:t>nformation</w:t>
      </w:r>
      <w:bookmarkEnd w:id="372"/>
      <w:bookmarkEnd w:id="373"/>
      <w:bookmarkEnd w:id="374"/>
    </w:p>
    <w:p w14:paraId="0BBBE3FB" w14:textId="64241C59" w:rsidR="00E5785F" w:rsidRPr="006D2720" w:rsidRDefault="00FF0E05" w:rsidP="00701E0E">
      <w:pPr>
        <w:pStyle w:val="Heading3"/>
        <w:rPr>
          <w:rFonts w:ascii="Times New Roman" w:hAnsi="Times New Roman" w:cs="Times New Roman"/>
        </w:rPr>
      </w:pPr>
      <w:r w:rsidRPr="006D2720">
        <w:rPr>
          <w:rFonts w:ascii="Times New Roman" w:hAnsi="Times New Roman" w:cs="Times New Roman"/>
        </w:rPr>
        <w:t>T</w:t>
      </w:r>
      <w:r w:rsidR="00805AE5" w:rsidRPr="006D2720">
        <w:rPr>
          <w:rFonts w:ascii="Times New Roman" w:hAnsi="Times New Roman" w:cs="Times New Roman"/>
        </w:rPr>
        <w:t xml:space="preserve">he </w:t>
      </w:r>
      <w:r w:rsidR="00805AE5" w:rsidRPr="006D2720">
        <w:rPr>
          <w:rFonts w:ascii="Times New Roman" w:hAnsi="Times New Roman" w:cs="Times New Roman"/>
          <w:i/>
        </w:rPr>
        <w:t xml:space="preserve">Health Complaints Act 1995 </w:t>
      </w:r>
      <w:r w:rsidR="00805AE5" w:rsidRPr="006D2720">
        <w:rPr>
          <w:rFonts w:ascii="Times New Roman" w:hAnsi="Times New Roman" w:cs="Times New Roman"/>
          <w:iCs/>
        </w:rPr>
        <w:t>(Tas)</w:t>
      </w:r>
      <w:r w:rsidR="00805AE5" w:rsidRPr="006D2720">
        <w:rPr>
          <w:rFonts w:ascii="Times New Roman" w:hAnsi="Times New Roman" w:cs="Times New Roman"/>
          <w:i/>
        </w:rPr>
        <w:t xml:space="preserve"> </w:t>
      </w:r>
      <w:r w:rsidR="00744DD8" w:rsidRPr="006D2720">
        <w:rPr>
          <w:rFonts w:ascii="Times New Roman" w:hAnsi="Times New Roman" w:cs="Times New Roman"/>
        </w:rPr>
        <w:t xml:space="preserve">provides for </w:t>
      </w:r>
      <w:r w:rsidR="00746B62" w:rsidRPr="006D2720">
        <w:rPr>
          <w:rFonts w:ascii="Times New Roman" w:hAnsi="Times New Roman" w:cs="Times New Roman"/>
        </w:rPr>
        <w:t>the making, investigation</w:t>
      </w:r>
      <w:r w:rsidR="00064A44" w:rsidRPr="006D2720">
        <w:rPr>
          <w:rFonts w:ascii="Times New Roman" w:hAnsi="Times New Roman" w:cs="Times New Roman"/>
        </w:rPr>
        <w:t>,</w:t>
      </w:r>
      <w:r w:rsidR="00746B62" w:rsidRPr="006D2720">
        <w:rPr>
          <w:rFonts w:ascii="Times New Roman" w:hAnsi="Times New Roman" w:cs="Times New Roman"/>
        </w:rPr>
        <w:t xml:space="preserve"> conciliation</w:t>
      </w:r>
      <w:r w:rsidR="00701E0E" w:rsidRPr="006D2720">
        <w:rPr>
          <w:rFonts w:ascii="Times New Roman" w:hAnsi="Times New Roman" w:cs="Times New Roman"/>
        </w:rPr>
        <w:t>,</w:t>
      </w:r>
      <w:r w:rsidR="00746B62" w:rsidRPr="006D2720">
        <w:rPr>
          <w:rFonts w:ascii="Times New Roman" w:hAnsi="Times New Roman" w:cs="Times New Roman"/>
        </w:rPr>
        <w:t xml:space="preserve"> </w:t>
      </w:r>
      <w:r w:rsidR="00064A44" w:rsidRPr="006D2720">
        <w:rPr>
          <w:rFonts w:ascii="Times New Roman" w:hAnsi="Times New Roman" w:cs="Times New Roman"/>
        </w:rPr>
        <w:t xml:space="preserve">and reference </w:t>
      </w:r>
      <w:r w:rsidR="00746B62" w:rsidRPr="006D2720">
        <w:rPr>
          <w:rFonts w:ascii="Times New Roman" w:hAnsi="Times New Roman" w:cs="Times New Roman"/>
        </w:rPr>
        <w:t xml:space="preserve">of complaints against </w:t>
      </w:r>
      <w:r w:rsidR="00E96532" w:rsidRPr="006D2720">
        <w:rPr>
          <w:rFonts w:ascii="Times New Roman" w:hAnsi="Times New Roman" w:cs="Times New Roman"/>
        </w:rPr>
        <w:t xml:space="preserve">public and private health services. </w:t>
      </w:r>
      <w:r w:rsidR="00CF5A7A" w:rsidRPr="006D2720">
        <w:rPr>
          <w:rFonts w:ascii="Times New Roman" w:hAnsi="Times New Roman" w:cs="Times New Roman"/>
        </w:rPr>
        <w:t xml:space="preserve">Grounds for complaint </w:t>
      </w:r>
      <w:r w:rsidR="00E5785F" w:rsidRPr="006D2720">
        <w:rPr>
          <w:rFonts w:ascii="Times New Roman" w:hAnsi="Times New Roman" w:cs="Times New Roman"/>
        </w:rPr>
        <w:t>include that the provider failed to respect the privacy or dignity of someone using the service, or that the provider acted unreasonably in denying access to a user’s records or disclosing information in relation to a user.</w:t>
      </w:r>
      <w:r w:rsidR="00E5785F" w:rsidRPr="006D2720">
        <w:rPr>
          <w:rStyle w:val="FootnoteReference"/>
          <w:rFonts w:ascii="Times New Roman" w:hAnsi="Times New Roman" w:cs="Times New Roman"/>
          <w:iCs/>
        </w:rPr>
        <w:footnoteReference w:id="315"/>
      </w:r>
    </w:p>
    <w:p w14:paraId="271EF4D5" w14:textId="0EC25E39" w:rsidR="00701E0E" w:rsidRPr="006D2720" w:rsidRDefault="007115A7" w:rsidP="00701E0E">
      <w:pPr>
        <w:pStyle w:val="Heading3"/>
        <w:rPr>
          <w:rFonts w:ascii="Times New Roman" w:hAnsi="Times New Roman" w:cs="Times New Roman"/>
        </w:rPr>
      </w:pPr>
      <w:r w:rsidRPr="006D2720">
        <w:rPr>
          <w:rFonts w:ascii="Times New Roman" w:hAnsi="Times New Roman" w:cs="Times New Roman"/>
        </w:rPr>
        <w:t>For the purpose</w:t>
      </w:r>
      <w:r w:rsidR="00701E0E" w:rsidRPr="006D2720">
        <w:rPr>
          <w:rFonts w:ascii="Times New Roman" w:hAnsi="Times New Roman" w:cs="Times New Roman"/>
        </w:rPr>
        <w:t>s</w:t>
      </w:r>
      <w:r w:rsidRPr="006D2720">
        <w:rPr>
          <w:rFonts w:ascii="Times New Roman" w:hAnsi="Times New Roman" w:cs="Times New Roman"/>
        </w:rPr>
        <w:t xml:space="preserve"> of th</w:t>
      </w:r>
      <w:r w:rsidR="006E2EC1" w:rsidRPr="006D2720">
        <w:rPr>
          <w:rFonts w:ascii="Times New Roman" w:hAnsi="Times New Roman" w:cs="Times New Roman"/>
        </w:rPr>
        <w:t xml:space="preserve">is </w:t>
      </w:r>
      <w:r w:rsidRPr="006D2720">
        <w:rPr>
          <w:rFonts w:ascii="Times New Roman" w:hAnsi="Times New Roman" w:cs="Times New Roman"/>
        </w:rPr>
        <w:t xml:space="preserve">Act, </w:t>
      </w:r>
      <w:r w:rsidR="00701E0E" w:rsidRPr="006D2720">
        <w:rPr>
          <w:rFonts w:ascii="Times New Roman" w:hAnsi="Times New Roman" w:cs="Times New Roman"/>
        </w:rPr>
        <w:t>‘</w:t>
      </w:r>
      <w:r w:rsidRPr="006D2720">
        <w:rPr>
          <w:rFonts w:ascii="Times New Roman" w:hAnsi="Times New Roman" w:cs="Times New Roman"/>
        </w:rPr>
        <w:t>health services</w:t>
      </w:r>
      <w:r w:rsidR="00701E0E" w:rsidRPr="006D2720">
        <w:rPr>
          <w:rFonts w:ascii="Times New Roman" w:hAnsi="Times New Roman" w:cs="Times New Roman"/>
        </w:rPr>
        <w:t>’</w:t>
      </w:r>
      <w:r w:rsidR="002D6357" w:rsidRPr="006D2720">
        <w:rPr>
          <w:rStyle w:val="FootnoteReference"/>
          <w:rFonts w:ascii="Times New Roman" w:hAnsi="Times New Roman" w:cs="Times New Roman"/>
          <w:iCs/>
        </w:rPr>
        <w:footnoteReference w:id="316"/>
      </w:r>
      <w:r w:rsidRPr="006D2720">
        <w:rPr>
          <w:rFonts w:ascii="Times New Roman" w:hAnsi="Times New Roman" w:cs="Times New Roman"/>
        </w:rPr>
        <w:t xml:space="preserve"> </w:t>
      </w:r>
      <w:r w:rsidR="002D6357" w:rsidRPr="006D2720">
        <w:rPr>
          <w:rFonts w:ascii="Times New Roman" w:hAnsi="Times New Roman" w:cs="Times New Roman"/>
        </w:rPr>
        <w:t xml:space="preserve">is broadly defined to mean a service provided to a person for, or purportedly for, the benefit of human health. </w:t>
      </w:r>
      <w:r w:rsidR="00701E0E" w:rsidRPr="006D2720">
        <w:rPr>
          <w:rFonts w:ascii="Times New Roman" w:hAnsi="Times New Roman" w:cs="Times New Roman"/>
        </w:rPr>
        <w:t>This covers:</w:t>
      </w:r>
    </w:p>
    <w:p w14:paraId="132A100C" w14:textId="11544A01" w:rsidR="00701E0E" w:rsidRPr="006D2720" w:rsidRDefault="00701E0E" w:rsidP="00701E0E">
      <w:pPr>
        <w:pStyle w:val="Dotpointlist"/>
        <w:rPr>
          <w:rFonts w:ascii="Times New Roman" w:hAnsi="Times New Roman" w:cs="Times New Roman"/>
        </w:rPr>
      </w:pPr>
      <w:r w:rsidRPr="006D2720">
        <w:rPr>
          <w:rFonts w:ascii="Times New Roman" w:hAnsi="Times New Roman" w:cs="Times New Roman"/>
          <w:bCs/>
        </w:rPr>
        <w:t>medical, dental, pharmaceutical, or mental health services;</w:t>
      </w:r>
    </w:p>
    <w:p w14:paraId="2B106AE1" w14:textId="77777777" w:rsidR="000A2BA3" w:rsidRDefault="00701E0E" w:rsidP="00701E0E">
      <w:pPr>
        <w:pStyle w:val="Dotpointlist"/>
        <w:rPr>
          <w:rFonts w:ascii="Times New Roman" w:hAnsi="Times New Roman" w:cs="Times New Roman"/>
          <w:bCs/>
        </w:rPr>
        <w:sectPr w:rsidR="000A2BA3" w:rsidSect="00AD1632">
          <w:headerReference w:type="even" r:id="rId31"/>
          <w:headerReference w:type="default" r:id="rId32"/>
          <w:pgSz w:w="11906" w:h="16838"/>
          <w:pgMar w:top="1440" w:right="1440" w:bottom="1440" w:left="1440" w:header="708" w:footer="708" w:gutter="0"/>
          <w:cols w:space="708"/>
          <w:docGrid w:linePitch="360"/>
        </w:sectPr>
      </w:pPr>
      <w:r w:rsidRPr="006D2720">
        <w:rPr>
          <w:rFonts w:ascii="Times New Roman" w:hAnsi="Times New Roman" w:cs="Times New Roman"/>
          <w:bCs/>
        </w:rPr>
        <w:t>aged care or disability care;</w:t>
      </w:r>
    </w:p>
    <w:p w14:paraId="01AA1C8A" w14:textId="2436377E" w:rsidR="00701E0E" w:rsidRPr="006D2720" w:rsidRDefault="00701E0E" w:rsidP="00701E0E">
      <w:pPr>
        <w:pStyle w:val="Dotpointlist"/>
        <w:rPr>
          <w:rFonts w:ascii="Times New Roman" w:hAnsi="Times New Roman" w:cs="Times New Roman"/>
        </w:rPr>
      </w:pPr>
      <w:r w:rsidRPr="006D2720">
        <w:rPr>
          <w:rFonts w:ascii="Times New Roman" w:hAnsi="Times New Roman" w:cs="Times New Roman"/>
          <w:bCs/>
        </w:rPr>
        <w:t>natural or alternative health care;</w:t>
      </w:r>
    </w:p>
    <w:p w14:paraId="4EFBAA2C" w14:textId="65C367D4" w:rsidR="00701E0E" w:rsidRPr="006D2720" w:rsidRDefault="00701E0E" w:rsidP="00701E0E">
      <w:pPr>
        <w:pStyle w:val="Dotpointlist"/>
        <w:rPr>
          <w:rFonts w:ascii="Times New Roman" w:hAnsi="Times New Roman" w:cs="Times New Roman"/>
        </w:rPr>
      </w:pPr>
      <w:r w:rsidRPr="006D2720">
        <w:rPr>
          <w:rFonts w:ascii="Times New Roman" w:hAnsi="Times New Roman" w:cs="Times New Roman"/>
          <w:bCs/>
        </w:rPr>
        <w:t>laboratory and other support services;</w:t>
      </w:r>
    </w:p>
    <w:p w14:paraId="1473171F" w14:textId="69D779B8" w:rsidR="00701E0E" w:rsidRPr="006D2720" w:rsidRDefault="00701E0E" w:rsidP="00701E0E">
      <w:pPr>
        <w:pStyle w:val="Dotpointlist"/>
        <w:rPr>
          <w:rFonts w:ascii="Times New Roman" w:hAnsi="Times New Roman" w:cs="Times New Roman"/>
        </w:rPr>
      </w:pPr>
      <w:r w:rsidRPr="006D2720">
        <w:rPr>
          <w:rFonts w:ascii="Times New Roman" w:hAnsi="Times New Roman" w:cs="Times New Roman"/>
          <w:bCs/>
        </w:rPr>
        <w:t>the provision of information relating to promoting health care or health education; and</w:t>
      </w:r>
    </w:p>
    <w:p w14:paraId="0A6573AB" w14:textId="78AD7165" w:rsidR="00701E0E" w:rsidRPr="006D2720" w:rsidRDefault="00701E0E" w:rsidP="00CA1A69">
      <w:pPr>
        <w:pStyle w:val="Dotpointlist"/>
        <w:rPr>
          <w:rFonts w:ascii="Times New Roman" w:hAnsi="Times New Roman" w:cs="Times New Roman"/>
        </w:rPr>
      </w:pPr>
      <w:r w:rsidRPr="006D2720">
        <w:rPr>
          <w:rFonts w:ascii="Times New Roman" w:hAnsi="Times New Roman" w:cs="Times New Roman"/>
          <w:bCs/>
        </w:rPr>
        <w:t>any other service for the care or treatment of another person.</w:t>
      </w:r>
    </w:p>
    <w:p w14:paraId="4E0AD5FE" w14:textId="63762CBB" w:rsidR="00701E0E" w:rsidRPr="006D2720" w:rsidRDefault="004F2F4D" w:rsidP="00701E0E">
      <w:pPr>
        <w:pStyle w:val="Heading3"/>
        <w:rPr>
          <w:rFonts w:ascii="Times New Roman" w:hAnsi="Times New Roman" w:cs="Times New Roman"/>
        </w:rPr>
      </w:pPr>
      <w:r w:rsidRPr="006D2720">
        <w:rPr>
          <w:rFonts w:ascii="Times New Roman" w:hAnsi="Times New Roman" w:cs="Times New Roman"/>
        </w:rPr>
        <w:t>This broad definition</w:t>
      </w:r>
      <w:r w:rsidR="00FE10C7" w:rsidRPr="006D2720">
        <w:rPr>
          <w:rFonts w:ascii="Times New Roman" w:hAnsi="Times New Roman" w:cs="Times New Roman"/>
        </w:rPr>
        <w:t xml:space="preserve"> </w:t>
      </w:r>
      <w:r w:rsidR="001735FE" w:rsidRPr="006D2720">
        <w:rPr>
          <w:rFonts w:ascii="Times New Roman" w:hAnsi="Times New Roman" w:cs="Times New Roman"/>
        </w:rPr>
        <w:t>covers both</w:t>
      </w:r>
      <w:r w:rsidR="00FE10C7" w:rsidRPr="006D2720">
        <w:rPr>
          <w:rStyle w:val="FootnoteReference"/>
          <w:rFonts w:ascii="Times New Roman" w:hAnsi="Times New Roman" w:cs="Times New Roman"/>
          <w:iCs/>
        </w:rPr>
        <w:footnoteReference w:id="317"/>
      </w:r>
      <w:r w:rsidR="00FE10C7" w:rsidRPr="006D2720">
        <w:rPr>
          <w:rFonts w:ascii="Times New Roman" w:hAnsi="Times New Roman" w:cs="Times New Roman"/>
        </w:rPr>
        <w:t xml:space="preserve"> </w:t>
      </w:r>
      <w:r w:rsidR="002D6357" w:rsidRPr="006D2720">
        <w:rPr>
          <w:rFonts w:ascii="Times New Roman" w:hAnsi="Times New Roman" w:cs="Times New Roman"/>
        </w:rPr>
        <w:t xml:space="preserve">services provided at certain places, such as </w:t>
      </w:r>
      <w:r w:rsidR="007115A7" w:rsidRPr="006D2720">
        <w:rPr>
          <w:rFonts w:ascii="Times New Roman" w:hAnsi="Times New Roman" w:cs="Times New Roman"/>
        </w:rPr>
        <w:t>hospitals</w:t>
      </w:r>
      <w:r w:rsidR="00CF4B53" w:rsidRPr="006D2720">
        <w:rPr>
          <w:rFonts w:ascii="Times New Roman" w:hAnsi="Times New Roman" w:cs="Times New Roman"/>
        </w:rPr>
        <w:t xml:space="preserve"> or nursing homes</w:t>
      </w:r>
      <w:r w:rsidR="002D6357" w:rsidRPr="006D2720">
        <w:rPr>
          <w:rFonts w:ascii="Times New Roman" w:hAnsi="Times New Roman" w:cs="Times New Roman"/>
        </w:rPr>
        <w:t xml:space="preserve">, </w:t>
      </w:r>
      <w:r w:rsidR="001735FE" w:rsidRPr="006D2720">
        <w:rPr>
          <w:rFonts w:ascii="Times New Roman" w:hAnsi="Times New Roman" w:cs="Times New Roman"/>
        </w:rPr>
        <w:t>and services</w:t>
      </w:r>
      <w:r w:rsidR="002D6357" w:rsidRPr="006D2720">
        <w:rPr>
          <w:rFonts w:ascii="Times New Roman" w:hAnsi="Times New Roman" w:cs="Times New Roman"/>
        </w:rPr>
        <w:t xml:space="preserve"> provided by various listed health professionals. </w:t>
      </w:r>
    </w:p>
    <w:p w14:paraId="66972C48" w14:textId="182A3C5B" w:rsidR="00737408" w:rsidRPr="006D2720" w:rsidRDefault="00C94436" w:rsidP="00701E0E">
      <w:pPr>
        <w:pStyle w:val="Heading3"/>
        <w:rPr>
          <w:rFonts w:ascii="Times New Roman" w:hAnsi="Times New Roman" w:cs="Times New Roman"/>
        </w:rPr>
      </w:pPr>
      <w:bookmarkStart w:id="375" w:name="_Toc91536733"/>
      <w:bookmarkEnd w:id="375"/>
      <w:r w:rsidRPr="006D2720">
        <w:rPr>
          <w:rFonts w:ascii="Times New Roman" w:hAnsi="Times New Roman" w:cs="Times New Roman"/>
          <w:iCs/>
        </w:rPr>
        <w:t xml:space="preserve">The </w:t>
      </w:r>
      <w:r w:rsidRPr="006D2720">
        <w:rPr>
          <w:rFonts w:ascii="Times New Roman" w:hAnsi="Times New Roman" w:cs="Times New Roman"/>
          <w:i/>
        </w:rPr>
        <w:t>Health Complaints Act</w:t>
      </w:r>
      <w:r w:rsidR="006E2EC1" w:rsidRPr="006D2720">
        <w:rPr>
          <w:rFonts w:ascii="Times New Roman" w:hAnsi="Times New Roman" w:cs="Times New Roman"/>
          <w:i/>
        </w:rPr>
        <w:t xml:space="preserve"> 1995</w:t>
      </w:r>
      <w:r w:rsidR="006E2EC1" w:rsidRPr="006D2720">
        <w:rPr>
          <w:rFonts w:ascii="Times New Roman" w:hAnsi="Times New Roman" w:cs="Times New Roman"/>
          <w:iCs/>
        </w:rPr>
        <w:t xml:space="preserve"> (Tas) </w:t>
      </w:r>
      <w:r w:rsidRPr="006D2720">
        <w:rPr>
          <w:rFonts w:ascii="Times New Roman" w:hAnsi="Times New Roman" w:cs="Times New Roman"/>
          <w:iCs/>
        </w:rPr>
        <w:t>also provide</w:t>
      </w:r>
      <w:r w:rsidR="006E2EC1" w:rsidRPr="006D2720">
        <w:rPr>
          <w:rFonts w:ascii="Times New Roman" w:hAnsi="Times New Roman" w:cs="Times New Roman"/>
          <w:iCs/>
        </w:rPr>
        <w:t>s</w:t>
      </w:r>
      <w:r w:rsidRPr="006D2720">
        <w:rPr>
          <w:rFonts w:ascii="Times New Roman" w:hAnsi="Times New Roman" w:cs="Times New Roman"/>
          <w:iCs/>
        </w:rPr>
        <w:t xml:space="preserve"> for the</w:t>
      </w:r>
      <w:r w:rsidR="008A127D" w:rsidRPr="006D2720">
        <w:rPr>
          <w:rFonts w:ascii="Times New Roman" w:hAnsi="Times New Roman" w:cs="Times New Roman"/>
          <w:iCs/>
        </w:rPr>
        <w:t xml:space="preserve"> establishment and review of the </w:t>
      </w:r>
      <w:r w:rsidR="00805AE5" w:rsidRPr="006D2720">
        <w:rPr>
          <w:rFonts w:ascii="Times New Roman" w:hAnsi="Times New Roman" w:cs="Times New Roman"/>
        </w:rPr>
        <w:t>Health Rights Charter</w:t>
      </w:r>
      <w:r w:rsidR="00FE10C7" w:rsidRPr="006D2720">
        <w:rPr>
          <w:rFonts w:ascii="Times New Roman" w:hAnsi="Times New Roman" w:cs="Times New Roman"/>
        </w:rPr>
        <w:t>.</w:t>
      </w:r>
      <w:r w:rsidR="00805AE5" w:rsidRPr="006D2720">
        <w:rPr>
          <w:rStyle w:val="FootnoteReference"/>
          <w:rFonts w:ascii="Times New Roman" w:hAnsi="Times New Roman" w:cs="Times New Roman"/>
        </w:rPr>
        <w:footnoteReference w:id="318"/>
      </w:r>
      <w:r w:rsidR="00805AE5" w:rsidRPr="006D2720">
        <w:rPr>
          <w:rFonts w:ascii="Times New Roman" w:hAnsi="Times New Roman" w:cs="Times New Roman"/>
        </w:rPr>
        <w:t xml:space="preserve"> </w:t>
      </w:r>
      <w:r w:rsidR="00D94B48" w:rsidRPr="006D2720">
        <w:rPr>
          <w:rFonts w:ascii="Times New Roman" w:hAnsi="Times New Roman" w:cs="Times New Roman"/>
        </w:rPr>
        <w:t xml:space="preserve">The </w:t>
      </w:r>
      <w:r w:rsidR="0038110A" w:rsidRPr="006D2720">
        <w:rPr>
          <w:rFonts w:ascii="Times New Roman" w:hAnsi="Times New Roman" w:cs="Times New Roman"/>
          <w:i/>
          <w:iCs/>
        </w:rPr>
        <w:t>Tasmanian</w:t>
      </w:r>
      <w:r w:rsidR="0038110A" w:rsidRPr="006D2720">
        <w:rPr>
          <w:rFonts w:ascii="Times New Roman" w:hAnsi="Times New Roman" w:cs="Times New Roman"/>
        </w:rPr>
        <w:t xml:space="preserve"> </w:t>
      </w:r>
      <w:r w:rsidR="00805AE5" w:rsidRPr="006D2720">
        <w:rPr>
          <w:rFonts w:ascii="Times New Roman" w:hAnsi="Times New Roman" w:cs="Times New Roman"/>
          <w:i/>
        </w:rPr>
        <w:t xml:space="preserve">Charter of Health Rights and Responsibilities </w:t>
      </w:r>
      <w:r w:rsidR="00D94B48" w:rsidRPr="006D2720">
        <w:rPr>
          <w:rFonts w:ascii="Times New Roman" w:hAnsi="Times New Roman" w:cs="Times New Roman"/>
        </w:rPr>
        <w:t xml:space="preserve">was developed under this provision and </w:t>
      </w:r>
      <w:r w:rsidR="00805AE5" w:rsidRPr="006D2720">
        <w:rPr>
          <w:rFonts w:ascii="Times New Roman" w:hAnsi="Times New Roman" w:cs="Times New Roman"/>
        </w:rPr>
        <w:t>sets out privacy rights for health service consumers</w:t>
      </w:r>
      <w:r w:rsidR="00D977D8" w:rsidRPr="006D2720">
        <w:rPr>
          <w:rFonts w:ascii="Times New Roman" w:hAnsi="Times New Roman" w:cs="Times New Roman"/>
        </w:rPr>
        <w:t xml:space="preserve">. </w:t>
      </w:r>
      <w:r w:rsidR="00737408" w:rsidRPr="006D2720">
        <w:rPr>
          <w:rFonts w:ascii="Times New Roman" w:hAnsi="Times New Roman" w:cs="Times New Roman"/>
        </w:rPr>
        <w:t>Compliance with the Charter is one of the grounds for complaint under the Act,</w:t>
      </w:r>
      <w:r w:rsidR="00737408" w:rsidRPr="006D2720">
        <w:rPr>
          <w:rStyle w:val="FootnoteReference"/>
          <w:rFonts w:ascii="Times New Roman" w:hAnsi="Times New Roman" w:cs="Times New Roman"/>
        </w:rPr>
        <w:footnoteReference w:id="319"/>
      </w:r>
      <w:r w:rsidR="00737408" w:rsidRPr="006D2720">
        <w:rPr>
          <w:rFonts w:ascii="Times New Roman" w:hAnsi="Times New Roman" w:cs="Times New Roman"/>
        </w:rPr>
        <w:t xml:space="preserve"> and must be taken into account when assessing </w:t>
      </w:r>
      <w:r w:rsidR="00CF5A7A" w:rsidRPr="006D2720">
        <w:rPr>
          <w:rFonts w:ascii="Times New Roman" w:hAnsi="Times New Roman" w:cs="Times New Roman"/>
        </w:rPr>
        <w:t>whether a health service’s actions were</w:t>
      </w:r>
      <w:r w:rsidR="00737408" w:rsidRPr="006D2720">
        <w:rPr>
          <w:rFonts w:ascii="Times New Roman" w:hAnsi="Times New Roman" w:cs="Times New Roman"/>
        </w:rPr>
        <w:t xml:space="preserve"> reasonable.</w:t>
      </w:r>
      <w:r w:rsidR="00737408" w:rsidRPr="006D2720">
        <w:rPr>
          <w:rStyle w:val="FootnoteReference"/>
          <w:rFonts w:ascii="Times New Roman" w:hAnsi="Times New Roman" w:cs="Times New Roman"/>
        </w:rPr>
        <w:footnoteReference w:id="320"/>
      </w:r>
    </w:p>
    <w:p w14:paraId="62F91AEE" w14:textId="1EBFF07B" w:rsidR="00791EC7" w:rsidRPr="006D2720" w:rsidRDefault="00BF0AD0" w:rsidP="0066337D">
      <w:pPr>
        <w:pStyle w:val="Heading3"/>
        <w:rPr>
          <w:rFonts w:ascii="Times New Roman" w:hAnsi="Times New Roman" w:cs="Times New Roman"/>
        </w:rPr>
      </w:pPr>
      <w:r w:rsidRPr="006D2720">
        <w:rPr>
          <w:rFonts w:ascii="Times New Roman" w:hAnsi="Times New Roman" w:cs="Times New Roman"/>
        </w:rPr>
        <w:t xml:space="preserve">Some rights listed in the Charter </w:t>
      </w:r>
      <w:r w:rsidR="00862581" w:rsidRPr="006D2720">
        <w:rPr>
          <w:rFonts w:ascii="Times New Roman" w:hAnsi="Times New Roman" w:cs="Times New Roman"/>
        </w:rPr>
        <w:t xml:space="preserve">relate </w:t>
      </w:r>
      <w:r w:rsidR="00805AE5" w:rsidRPr="006D2720">
        <w:rPr>
          <w:rFonts w:ascii="Times New Roman" w:hAnsi="Times New Roman" w:cs="Times New Roman"/>
        </w:rPr>
        <w:t xml:space="preserve">to </w:t>
      </w:r>
      <w:r w:rsidR="004A19F3" w:rsidRPr="006D2720">
        <w:rPr>
          <w:rFonts w:ascii="Times New Roman" w:hAnsi="Times New Roman" w:cs="Times New Roman"/>
        </w:rPr>
        <w:t xml:space="preserve">information to ensure active participation in health care and </w:t>
      </w:r>
      <w:r w:rsidR="00862581" w:rsidRPr="006D2720">
        <w:rPr>
          <w:rFonts w:ascii="Times New Roman" w:hAnsi="Times New Roman" w:cs="Times New Roman"/>
        </w:rPr>
        <w:t>confidentiality, privacy and security</w:t>
      </w:r>
      <w:r w:rsidR="004A19F3" w:rsidRPr="006D2720">
        <w:rPr>
          <w:rFonts w:ascii="Times New Roman" w:hAnsi="Times New Roman" w:cs="Times New Roman"/>
        </w:rPr>
        <w:t xml:space="preserve"> of information</w:t>
      </w:r>
      <w:r w:rsidR="00862581" w:rsidRPr="006D2720">
        <w:rPr>
          <w:rFonts w:ascii="Times New Roman" w:hAnsi="Times New Roman" w:cs="Times New Roman"/>
        </w:rPr>
        <w:t xml:space="preserve">. This includes the right to </w:t>
      </w:r>
      <w:r w:rsidR="00805AE5" w:rsidRPr="006D2720">
        <w:rPr>
          <w:rFonts w:ascii="Times New Roman" w:hAnsi="Times New Roman" w:cs="Times New Roman"/>
        </w:rPr>
        <w:t xml:space="preserve">have </w:t>
      </w:r>
      <w:r w:rsidR="00862581" w:rsidRPr="006D2720">
        <w:rPr>
          <w:rFonts w:ascii="Times New Roman" w:hAnsi="Times New Roman" w:cs="Times New Roman"/>
        </w:rPr>
        <w:t xml:space="preserve">personal </w:t>
      </w:r>
      <w:r w:rsidR="00805AE5" w:rsidRPr="006D2720">
        <w:rPr>
          <w:rFonts w:ascii="Times New Roman" w:hAnsi="Times New Roman" w:cs="Times New Roman"/>
        </w:rPr>
        <w:t>health information and any sensitive matters kept confidential,</w:t>
      </w:r>
      <w:r w:rsidR="0026283A" w:rsidRPr="006D2720">
        <w:rPr>
          <w:rFonts w:ascii="Times New Roman" w:hAnsi="Times New Roman" w:cs="Times New Roman"/>
        </w:rPr>
        <w:t xml:space="preserve"> including that </w:t>
      </w:r>
      <w:r w:rsidR="00737408" w:rsidRPr="006D2720">
        <w:rPr>
          <w:rFonts w:ascii="Times New Roman" w:hAnsi="Times New Roman" w:cs="Times New Roman"/>
        </w:rPr>
        <w:t>‘[</w:t>
      </w:r>
      <w:r w:rsidR="0026283A" w:rsidRPr="006D2720">
        <w:rPr>
          <w:rFonts w:ascii="Times New Roman" w:hAnsi="Times New Roman" w:cs="Times New Roman"/>
        </w:rPr>
        <w:t>n</w:t>
      </w:r>
      <w:r w:rsidR="004F3A46" w:rsidRPr="006D2720">
        <w:rPr>
          <w:rFonts w:ascii="Times New Roman" w:hAnsi="Times New Roman" w:cs="Times New Roman"/>
        </w:rPr>
        <w:t>]</w:t>
      </w:r>
      <w:r w:rsidR="0026283A" w:rsidRPr="006D2720">
        <w:rPr>
          <w:rFonts w:ascii="Times New Roman" w:hAnsi="Times New Roman" w:cs="Times New Roman"/>
        </w:rPr>
        <w:t>o identifying information about the consumer, his/her condition or treatment may be disclosed without his/her consent unless the disclosure is required or authorised by law</w:t>
      </w:r>
      <w:r w:rsidR="00737408" w:rsidRPr="006D2720">
        <w:rPr>
          <w:rFonts w:ascii="Times New Roman" w:hAnsi="Times New Roman" w:cs="Times New Roman"/>
        </w:rPr>
        <w:t xml:space="preserve">’ </w:t>
      </w:r>
      <w:r w:rsidR="00862581" w:rsidRPr="006D2720">
        <w:rPr>
          <w:rFonts w:ascii="Times New Roman" w:hAnsi="Times New Roman" w:cs="Times New Roman"/>
        </w:rPr>
        <w:t>and the</w:t>
      </w:r>
      <w:r w:rsidR="004F3A46" w:rsidRPr="006D2720">
        <w:rPr>
          <w:rFonts w:ascii="Times New Roman" w:hAnsi="Times New Roman" w:cs="Times New Roman"/>
        </w:rPr>
        <w:t xml:space="preserve"> </w:t>
      </w:r>
      <w:r w:rsidR="00805AE5" w:rsidRPr="006D2720">
        <w:rPr>
          <w:rFonts w:ascii="Times New Roman" w:hAnsi="Times New Roman" w:cs="Times New Roman"/>
        </w:rPr>
        <w:t xml:space="preserve">right to </w:t>
      </w:r>
      <w:r w:rsidR="00862581" w:rsidRPr="006D2720">
        <w:rPr>
          <w:rFonts w:ascii="Times New Roman" w:hAnsi="Times New Roman" w:cs="Times New Roman"/>
        </w:rPr>
        <w:t>expect that</w:t>
      </w:r>
      <w:r w:rsidR="00805AE5" w:rsidRPr="006D2720">
        <w:rPr>
          <w:rFonts w:ascii="Times New Roman" w:hAnsi="Times New Roman" w:cs="Times New Roman"/>
        </w:rPr>
        <w:t xml:space="preserve"> </w:t>
      </w:r>
      <w:r w:rsidR="00862581" w:rsidRPr="006D2720">
        <w:rPr>
          <w:rFonts w:ascii="Times New Roman" w:hAnsi="Times New Roman" w:cs="Times New Roman"/>
        </w:rPr>
        <w:t xml:space="preserve">information about his/her health is </w:t>
      </w:r>
      <w:r w:rsidR="001116BB" w:rsidRPr="006D2720">
        <w:rPr>
          <w:rFonts w:ascii="Times New Roman" w:hAnsi="Times New Roman" w:cs="Times New Roman"/>
        </w:rPr>
        <w:t>‘</w:t>
      </w:r>
      <w:r w:rsidR="00862581" w:rsidRPr="006D2720">
        <w:rPr>
          <w:rFonts w:ascii="Times New Roman" w:hAnsi="Times New Roman" w:cs="Times New Roman"/>
        </w:rPr>
        <w:t xml:space="preserve">kept </w:t>
      </w:r>
      <w:r w:rsidR="00805AE5" w:rsidRPr="006D2720">
        <w:rPr>
          <w:rFonts w:ascii="Times New Roman" w:hAnsi="Times New Roman" w:cs="Times New Roman"/>
        </w:rPr>
        <w:t>secure</w:t>
      </w:r>
      <w:r w:rsidR="001116BB" w:rsidRPr="006D2720">
        <w:rPr>
          <w:rFonts w:ascii="Times New Roman" w:hAnsi="Times New Roman" w:cs="Times New Roman"/>
        </w:rPr>
        <w:t>ly</w:t>
      </w:r>
      <w:r w:rsidR="001D7411" w:rsidRPr="006D2720">
        <w:rPr>
          <w:rFonts w:ascii="Times New Roman" w:hAnsi="Times New Roman" w:cs="Times New Roman"/>
        </w:rPr>
        <w:t xml:space="preserve"> and </w:t>
      </w:r>
      <w:r w:rsidR="001116BB" w:rsidRPr="006D2720">
        <w:rPr>
          <w:rFonts w:ascii="Times New Roman" w:hAnsi="Times New Roman" w:cs="Times New Roman"/>
        </w:rPr>
        <w:t>can</w:t>
      </w:r>
      <w:r w:rsidR="001D7411" w:rsidRPr="006D2720">
        <w:rPr>
          <w:rFonts w:ascii="Times New Roman" w:hAnsi="Times New Roman" w:cs="Times New Roman"/>
        </w:rPr>
        <w:t xml:space="preserve">not </w:t>
      </w:r>
      <w:r w:rsidR="001116BB" w:rsidRPr="006D2720">
        <w:rPr>
          <w:rFonts w:ascii="Times New Roman" w:hAnsi="Times New Roman" w:cs="Times New Roman"/>
        </w:rPr>
        <w:t xml:space="preserve">be </w:t>
      </w:r>
      <w:r w:rsidR="001D7411" w:rsidRPr="006D2720">
        <w:rPr>
          <w:rFonts w:ascii="Times New Roman" w:hAnsi="Times New Roman" w:cs="Times New Roman"/>
        </w:rPr>
        <w:t>easily accessed by unauthorised persons’</w:t>
      </w:r>
      <w:r w:rsidR="00805AE5" w:rsidRPr="006D2720">
        <w:rPr>
          <w:rFonts w:ascii="Times New Roman" w:hAnsi="Times New Roman" w:cs="Times New Roman"/>
        </w:rPr>
        <w:t>.</w:t>
      </w:r>
      <w:r w:rsidR="00805AE5" w:rsidRPr="006D2720">
        <w:rPr>
          <w:rStyle w:val="FootnoteReference"/>
          <w:rFonts w:ascii="Times New Roman" w:hAnsi="Times New Roman" w:cs="Times New Roman"/>
        </w:rPr>
        <w:footnoteReference w:id="321"/>
      </w:r>
      <w:r w:rsidR="00805AE5" w:rsidRPr="006D2720">
        <w:rPr>
          <w:rFonts w:ascii="Times New Roman" w:hAnsi="Times New Roman" w:cs="Times New Roman"/>
        </w:rPr>
        <w:t xml:space="preserve"> </w:t>
      </w:r>
    </w:p>
    <w:p w14:paraId="70CC9A4B" w14:textId="60508B14" w:rsidR="00E217F5" w:rsidRPr="006D2720" w:rsidRDefault="00F0529B" w:rsidP="00E217F5">
      <w:pPr>
        <w:pStyle w:val="Heading3"/>
        <w:rPr>
          <w:rFonts w:ascii="Times New Roman" w:hAnsi="Times New Roman" w:cs="Times New Roman"/>
        </w:rPr>
      </w:pPr>
      <w:r w:rsidRPr="006D2720">
        <w:rPr>
          <w:rFonts w:ascii="Times New Roman" w:hAnsi="Times New Roman" w:cs="Times New Roman"/>
        </w:rPr>
        <w:t xml:space="preserve">Complaints </w:t>
      </w:r>
      <w:r w:rsidR="00FF20F8" w:rsidRPr="006D2720">
        <w:rPr>
          <w:rFonts w:ascii="Times New Roman" w:hAnsi="Times New Roman" w:cs="Times New Roman"/>
        </w:rPr>
        <w:t>must</w:t>
      </w:r>
      <w:r w:rsidRPr="006D2720">
        <w:rPr>
          <w:rFonts w:ascii="Times New Roman" w:hAnsi="Times New Roman" w:cs="Times New Roman"/>
        </w:rPr>
        <w:t xml:space="preserve"> be assessed by the Health Commissioner within </w:t>
      </w:r>
      <w:r w:rsidR="00056DED" w:rsidRPr="006D2720">
        <w:rPr>
          <w:rFonts w:ascii="Times New Roman" w:hAnsi="Times New Roman" w:cs="Times New Roman"/>
        </w:rPr>
        <w:t>45 days, and either</w:t>
      </w:r>
      <w:r w:rsidR="006E2EC1" w:rsidRPr="006D2720">
        <w:rPr>
          <w:rFonts w:ascii="Times New Roman" w:hAnsi="Times New Roman" w:cs="Times New Roman"/>
        </w:rPr>
        <w:t>:</w:t>
      </w:r>
      <w:r w:rsidR="00056DED" w:rsidRPr="006D2720">
        <w:rPr>
          <w:rFonts w:ascii="Times New Roman" w:hAnsi="Times New Roman" w:cs="Times New Roman"/>
        </w:rPr>
        <w:t xml:space="preserve"> referred to an appropriate body such as the Ombudsman</w:t>
      </w:r>
      <w:r w:rsidR="00432319" w:rsidRPr="006D2720">
        <w:rPr>
          <w:rFonts w:ascii="Times New Roman" w:hAnsi="Times New Roman" w:cs="Times New Roman"/>
        </w:rPr>
        <w:t xml:space="preserve"> or a relevant professional registration board</w:t>
      </w:r>
      <w:r w:rsidR="00833AE2" w:rsidRPr="006D2720">
        <w:rPr>
          <w:rFonts w:ascii="Times New Roman" w:hAnsi="Times New Roman" w:cs="Times New Roman"/>
        </w:rPr>
        <w:t>;</w:t>
      </w:r>
      <w:r w:rsidR="00056DED" w:rsidRPr="006D2720">
        <w:rPr>
          <w:rFonts w:ascii="Times New Roman" w:hAnsi="Times New Roman" w:cs="Times New Roman"/>
        </w:rPr>
        <w:t xml:space="preserve"> referred for conciliation</w:t>
      </w:r>
      <w:r w:rsidR="00833AE2" w:rsidRPr="006D2720">
        <w:rPr>
          <w:rFonts w:ascii="Times New Roman" w:hAnsi="Times New Roman" w:cs="Times New Roman"/>
        </w:rPr>
        <w:t xml:space="preserve">; </w:t>
      </w:r>
      <w:r w:rsidR="00056DED" w:rsidRPr="006D2720">
        <w:rPr>
          <w:rFonts w:ascii="Times New Roman" w:hAnsi="Times New Roman" w:cs="Times New Roman"/>
        </w:rPr>
        <w:t>investigated</w:t>
      </w:r>
      <w:r w:rsidR="00833AE2" w:rsidRPr="006D2720">
        <w:rPr>
          <w:rFonts w:ascii="Times New Roman" w:hAnsi="Times New Roman" w:cs="Times New Roman"/>
        </w:rPr>
        <w:t>;</w:t>
      </w:r>
      <w:r w:rsidR="00056DED" w:rsidRPr="006D2720">
        <w:rPr>
          <w:rFonts w:ascii="Times New Roman" w:hAnsi="Times New Roman" w:cs="Times New Roman"/>
        </w:rPr>
        <w:t xml:space="preserve"> or dismissed.</w:t>
      </w:r>
      <w:r w:rsidR="00EE1ABB" w:rsidRPr="006D2720">
        <w:rPr>
          <w:rFonts w:ascii="Times New Roman" w:hAnsi="Times New Roman" w:cs="Times New Roman"/>
        </w:rPr>
        <w:t xml:space="preserve"> </w:t>
      </w:r>
      <w:r w:rsidR="00CD0076" w:rsidRPr="006D2720">
        <w:rPr>
          <w:rFonts w:ascii="Times New Roman" w:hAnsi="Times New Roman" w:cs="Times New Roman"/>
        </w:rPr>
        <w:t xml:space="preserve">The </w:t>
      </w:r>
      <w:r w:rsidR="007626A9" w:rsidRPr="006D2720">
        <w:rPr>
          <w:rFonts w:ascii="Times New Roman" w:hAnsi="Times New Roman" w:cs="Times New Roman"/>
        </w:rPr>
        <w:t xml:space="preserve">Health </w:t>
      </w:r>
      <w:r w:rsidR="00CD0076" w:rsidRPr="006D2720">
        <w:rPr>
          <w:rFonts w:ascii="Times New Roman" w:hAnsi="Times New Roman" w:cs="Times New Roman"/>
        </w:rPr>
        <w:t xml:space="preserve">Commissioner also has the power to </w:t>
      </w:r>
      <w:r w:rsidR="006125B8" w:rsidRPr="006D2720">
        <w:rPr>
          <w:rFonts w:ascii="Times New Roman" w:hAnsi="Times New Roman" w:cs="Times New Roman"/>
        </w:rPr>
        <w:t xml:space="preserve">investigate matters referred to them by the Health Minister or on their own </w:t>
      </w:r>
      <w:r w:rsidR="00B656DA" w:rsidRPr="006D2720">
        <w:rPr>
          <w:rFonts w:ascii="Times New Roman" w:hAnsi="Times New Roman" w:cs="Times New Roman"/>
        </w:rPr>
        <w:t>initiative</w:t>
      </w:r>
      <w:r w:rsidR="006125B8" w:rsidRPr="006D2720">
        <w:rPr>
          <w:rFonts w:ascii="Times New Roman" w:hAnsi="Times New Roman" w:cs="Times New Roman"/>
        </w:rPr>
        <w:t>.</w:t>
      </w:r>
      <w:r w:rsidR="00CE17E6" w:rsidRPr="006D2720">
        <w:rPr>
          <w:rFonts w:ascii="Times New Roman" w:hAnsi="Times New Roman" w:cs="Times New Roman"/>
        </w:rPr>
        <w:t xml:space="preserve"> </w:t>
      </w:r>
    </w:p>
    <w:p w14:paraId="198A9AF3" w14:textId="198A8C3C" w:rsidR="00ED2102" w:rsidRPr="006D2720" w:rsidRDefault="00E217F5" w:rsidP="000059FF">
      <w:pPr>
        <w:pStyle w:val="Heading3"/>
        <w:rPr>
          <w:rFonts w:ascii="Times New Roman" w:hAnsi="Times New Roman" w:cs="Times New Roman"/>
        </w:rPr>
      </w:pPr>
      <w:r w:rsidRPr="006D2720">
        <w:rPr>
          <w:rFonts w:ascii="Times New Roman" w:hAnsi="Times New Roman" w:cs="Times New Roman"/>
        </w:rPr>
        <w:t>The Act facilities the making and investigating of complaints in various ways</w:t>
      </w:r>
      <w:r w:rsidR="006E2EC1" w:rsidRPr="006D2720">
        <w:rPr>
          <w:rFonts w:ascii="Times New Roman" w:hAnsi="Times New Roman" w:cs="Times New Roman"/>
        </w:rPr>
        <w:t xml:space="preserve">. </w:t>
      </w:r>
      <w:r w:rsidR="00D43CD7" w:rsidRPr="006D2720">
        <w:rPr>
          <w:rFonts w:ascii="Times New Roman" w:hAnsi="Times New Roman" w:cs="Times New Roman"/>
        </w:rPr>
        <w:t xml:space="preserve">It overrides legislation that hinders the disclosure of information, if </w:t>
      </w:r>
      <w:r w:rsidR="00426775" w:rsidRPr="006D2720">
        <w:rPr>
          <w:rFonts w:ascii="Times New Roman" w:hAnsi="Times New Roman" w:cs="Times New Roman"/>
        </w:rPr>
        <w:t>such hindrance</w:t>
      </w:r>
      <w:r w:rsidR="00D43CD7" w:rsidRPr="006D2720">
        <w:rPr>
          <w:rFonts w:ascii="Times New Roman" w:hAnsi="Times New Roman" w:cs="Times New Roman"/>
        </w:rPr>
        <w:t xml:space="preserve"> would prevent or restrict the making of a complaint or the conduct of investigations.</w:t>
      </w:r>
      <w:r w:rsidR="00D43CD7" w:rsidRPr="006D2720">
        <w:rPr>
          <w:rStyle w:val="FootnoteReference"/>
          <w:rFonts w:ascii="Times New Roman" w:hAnsi="Times New Roman" w:cs="Times New Roman"/>
        </w:rPr>
        <w:footnoteReference w:id="322"/>
      </w:r>
      <w:r w:rsidR="003E42D2" w:rsidRPr="006D2720">
        <w:rPr>
          <w:rFonts w:ascii="Times New Roman" w:hAnsi="Times New Roman" w:cs="Times New Roman"/>
        </w:rPr>
        <w:t xml:space="preserve"> </w:t>
      </w:r>
      <w:r w:rsidR="001D2185" w:rsidRPr="006D2720">
        <w:rPr>
          <w:rFonts w:ascii="Times New Roman" w:hAnsi="Times New Roman" w:cs="Times New Roman"/>
        </w:rPr>
        <w:t xml:space="preserve">It </w:t>
      </w:r>
      <w:r w:rsidR="003E42D2" w:rsidRPr="006D2720">
        <w:rPr>
          <w:rFonts w:ascii="Times New Roman" w:hAnsi="Times New Roman" w:cs="Times New Roman"/>
        </w:rPr>
        <w:t xml:space="preserve">also </w:t>
      </w:r>
      <w:r w:rsidR="001D2185" w:rsidRPr="006D2720">
        <w:rPr>
          <w:rFonts w:ascii="Times New Roman" w:hAnsi="Times New Roman" w:cs="Times New Roman"/>
        </w:rPr>
        <w:t>confers e</w:t>
      </w:r>
      <w:r w:rsidRPr="006D2720">
        <w:rPr>
          <w:rFonts w:ascii="Times New Roman" w:hAnsi="Times New Roman" w:cs="Times New Roman"/>
        </w:rPr>
        <w:t xml:space="preserve">xtensive investigation powers </w:t>
      </w:r>
      <w:r w:rsidR="001D2185" w:rsidRPr="006D2720">
        <w:rPr>
          <w:rFonts w:ascii="Times New Roman" w:hAnsi="Times New Roman" w:cs="Times New Roman"/>
        </w:rPr>
        <w:t xml:space="preserve">on </w:t>
      </w:r>
      <w:r w:rsidRPr="006D2720">
        <w:rPr>
          <w:rFonts w:ascii="Times New Roman" w:hAnsi="Times New Roman" w:cs="Times New Roman"/>
        </w:rPr>
        <w:t xml:space="preserve">the </w:t>
      </w:r>
      <w:r w:rsidR="007626A9" w:rsidRPr="006D2720">
        <w:rPr>
          <w:rFonts w:ascii="Times New Roman" w:hAnsi="Times New Roman" w:cs="Times New Roman"/>
        </w:rPr>
        <w:t xml:space="preserve">Health </w:t>
      </w:r>
      <w:r w:rsidRPr="006D2720">
        <w:rPr>
          <w:rFonts w:ascii="Times New Roman" w:hAnsi="Times New Roman" w:cs="Times New Roman"/>
        </w:rPr>
        <w:t>Commissioner, including the power to compel provision of documents</w:t>
      </w:r>
      <w:r w:rsidR="006E2EC1" w:rsidRPr="006D2720">
        <w:rPr>
          <w:rFonts w:ascii="Times New Roman" w:hAnsi="Times New Roman" w:cs="Times New Roman"/>
        </w:rPr>
        <w:t>,</w:t>
      </w:r>
      <w:r w:rsidRPr="006D2720">
        <w:rPr>
          <w:rFonts w:ascii="Times New Roman" w:hAnsi="Times New Roman" w:cs="Times New Roman"/>
        </w:rPr>
        <w:t xml:space="preserve"> examine witnesses</w:t>
      </w:r>
      <w:r w:rsidR="006E2EC1" w:rsidRPr="006D2720">
        <w:rPr>
          <w:rFonts w:ascii="Times New Roman" w:hAnsi="Times New Roman" w:cs="Times New Roman"/>
        </w:rPr>
        <w:t>,</w:t>
      </w:r>
      <w:r w:rsidRPr="006D2720">
        <w:rPr>
          <w:rFonts w:ascii="Times New Roman" w:hAnsi="Times New Roman" w:cs="Times New Roman"/>
        </w:rPr>
        <w:t xml:space="preserve"> apply for warrants</w:t>
      </w:r>
      <w:r w:rsidR="006E2EC1" w:rsidRPr="006D2720">
        <w:rPr>
          <w:rFonts w:ascii="Times New Roman" w:hAnsi="Times New Roman" w:cs="Times New Roman"/>
        </w:rPr>
        <w:t>,</w:t>
      </w:r>
      <w:r w:rsidRPr="006D2720">
        <w:rPr>
          <w:rFonts w:ascii="Times New Roman" w:hAnsi="Times New Roman" w:cs="Times New Roman"/>
        </w:rPr>
        <w:t xml:space="preserve"> and enter any premises occupied or used by a health service or a health service provider.</w:t>
      </w:r>
      <w:r w:rsidR="003E42D2" w:rsidRPr="006D2720">
        <w:rPr>
          <w:rFonts w:ascii="Times New Roman" w:hAnsi="Times New Roman" w:cs="Times New Roman"/>
        </w:rPr>
        <w:t xml:space="preserve"> Further, i</w:t>
      </w:r>
      <w:r w:rsidR="001D2185" w:rsidRPr="006D2720">
        <w:rPr>
          <w:rFonts w:ascii="Times New Roman" w:hAnsi="Times New Roman" w:cs="Times New Roman"/>
        </w:rPr>
        <w:t xml:space="preserve">t obliges </w:t>
      </w:r>
      <w:r w:rsidR="00EA54A9" w:rsidRPr="006D2720">
        <w:rPr>
          <w:rFonts w:ascii="Times New Roman" w:hAnsi="Times New Roman" w:cs="Times New Roman"/>
        </w:rPr>
        <w:t xml:space="preserve">secrecy on the part of those who administer the Act by imposing </w:t>
      </w:r>
      <w:r w:rsidR="00A73756" w:rsidRPr="006D2720">
        <w:rPr>
          <w:rFonts w:ascii="Times New Roman" w:hAnsi="Times New Roman" w:cs="Times New Roman"/>
        </w:rPr>
        <w:t xml:space="preserve">extensive </w:t>
      </w:r>
      <w:r w:rsidR="005D0FBF" w:rsidRPr="006D2720">
        <w:rPr>
          <w:rFonts w:ascii="Times New Roman" w:hAnsi="Times New Roman" w:cs="Times New Roman"/>
        </w:rPr>
        <w:t xml:space="preserve">obligations of confidentiality </w:t>
      </w:r>
      <w:r w:rsidR="00EA54A9" w:rsidRPr="006D2720">
        <w:rPr>
          <w:rFonts w:ascii="Times New Roman" w:hAnsi="Times New Roman" w:cs="Times New Roman"/>
        </w:rPr>
        <w:t>regarding</w:t>
      </w:r>
      <w:r w:rsidR="00A73756" w:rsidRPr="006D2720">
        <w:rPr>
          <w:rFonts w:ascii="Times New Roman" w:hAnsi="Times New Roman" w:cs="Times New Roman"/>
        </w:rPr>
        <w:t xml:space="preserve"> information and actions taken under the Act</w:t>
      </w:r>
      <w:r w:rsidR="00EA54A9" w:rsidRPr="006D2720">
        <w:rPr>
          <w:rFonts w:ascii="Times New Roman" w:hAnsi="Times New Roman" w:cs="Times New Roman"/>
        </w:rPr>
        <w:t>.</w:t>
      </w:r>
      <w:r w:rsidR="005D0FBF" w:rsidRPr="006D2720">
        <w:rPr>
          <w:rStyle w:val="FootnoteReference"/>
          <w:rFonts w:ascii="Times New Roman" w:hAnsi="Times New Roman" w:cs="Times New Roman"/>
        </w:rPr>
        <w:footnoteReference w:id="323"/>
      </w:r>
      <w:r w:rsidR="00A73756" w:rsidRPr="006D2720">
        <w:rPr>
          <w:rFonts w:ascii="Times New Roman" w:hAnsi="Times New Roman" w:cs="Times New Roman"/>
        </w:rPr>
        <w:t xml:space="preserve"> However, </w:t>
      </w:r>
      <w:r w:rsidR="00286503" w:rsidRPr="006D2720">
        <w:rPr>
          <w:rFonts w:ascii="Times New Roman" w:hAnsi="Times New Roman" w:cs="Times New Roman"/>
        </w:rPr>
        <w:t xml:space="preserve">if </w:t>
      </w:r>
      <w:r w:rsidR="00730A14" w:rsidRPr="006D2720">
        <w:rPr>
          <w:rFonts w:ascii="Times New Roman" w:hAnsi="Times New Roman" w:cs="Times New Roman"/>
        </w:rPr>
        <w:t>the recording, disclosure</w:t>
      </w:r>
      <w:r w:rsidR="00EA54A9" w:rsidRPr="006D2720">
        <w:rPr>
          <w:rFonts w:ascii="Times New Roman" w:hAnsi="Times New Roman" w:cs="Times New Roman"/>
        </w:rPr>
        <w:t xml:space="preserve">, </w:t>
      </w:r>
      <w:r w:rsidR="00730A14" w:rsidRPr="006D2720">
        <w:rPr>
          <w:rFonts w:ascii="Times New Roman" w:hAnsi="Times New Roman" w:cs="Times New Roman"/>
        </w:rPr>
        <w:t>or use of statistical or other information could not reasonably be expected to lead to the identification of any person</w:t>
      </w:r>
      <w:r w:rsidR="00286503" w:rsidRPr="006D2720">
        <w:rPr>
          <w:rFonts w:ascii="Times New Roman" w:hAnsi="Times New Roman" w:cs="Times New Roman"/>
        </w:rPr>
        <w:t>, then it is not limited under the Act</w:t>
      </w:r>
      <w:r w:rsidR="00FD01CB" w:rsidRPr="006D2720">
        <w:rPr>
          <w:rFonts w:ascii="Times New Roman" w:hAnsi="Times New Roman" w:cs="Times New Roman"/>
        </w:rPr>
        <w:t>.</w:t>
      </w:r>
      <w:r w:rsidR="00FD01CB" w:rsidRPr="006D2720">
        <w:rPr>
          <w:rStyle w:val="FootnoteReference"/>
          <w:rFonts w:ascii="Times New Roman" w:hAnsi="Times New Roman" w:cs="Times New Roman"/>
        </w:rPr>
        <w:footnoteReference w:id="324"/>
      </w:r>
    </w:p>
    <w:p w14:paraId="11208F88" w14:textId="3A698C3E" w:rsidR="00805AE5" w:rsidRPr="006D2720" w:rsidRDefault="00386DEE" w:rsidP="0066337D">
      <w:pPr>
        <w:pStyle w:val="Heading3"/>
        <w:rPr>
          <w:rFonts w:ascii="Times New Roman" w:hAnsi="Times New Roman" w:cs="Times New Roman"/>
        </w:rPr>
      </w:pPr>
      <w:r w:rsidRPr="006D2720">
        <w:rPr>
          <w:rFonts w:ascii="Times New Roman" w:hAnsi="Times New Roman" w:cs="Times New Roman"/>
          <w:color w:val="auto"/>
        </w:rPr>
        <w:t>While</w:t>
      </w:r>
      <w:r w:rsidR="0039124B" w:rsidRPr="006D2720">
        <w:rPr>
          <w:rFonts w:ascii="Times New Roman" w:hAnsi="Times New Roman" w:cs="Times New Roman"/>
          <w:color w:val="auto"/>
        </w:rPr>
        <w:t xml:space="preserve"> the </w:t>
      </w:r>
      <w:r w:rsidR="0039124B" w:rsidRPr="006D2720">
        <w:rPr>
          <w:rFonts w:ascii="Times New Roman" w:hAnsi="Times New Roman" w:cs="Times New Roman"/>
          <w:i/>
          <w:iCs/>
          <w:color w:val="auto"/>
        </w:rPr>
        <w:t>Health Complaints Act</w:t>
      </w:r>
      <w:r w:rsidRPr="006D2720">
        <w:rPr>
          <w:rFonts w:ascii="Times New Roman" w:hAnsi="Times New Roman" w:cs="Times New Roman"/>
          <w:i/>
          <w:iCs/>
          <w:color w:val="auto"/>
        </w:rPr>
        <w:t xml:space="preserve"> </w:t>
      </w:r>
      <w:r w:rsidR="003E42D2" w:rsidRPr="006D2720">
        <w:rPr>
          <w:rFonts w:ascii="Times New Roman" w:hAnsi="Times New Roman" w:cs="Times New Roman"/>
          <w:i/>
        </w:rPr>
        <w:t>1995</w:t>
      </w:r>
      <w:r w:rsidR="003E42D2" w:rsidRPr="006D2720">
        <w:rPr>
          <w:rFonts w:ascii="Times New Roman" w:hAnsi="Times New Roman" w:cs="Times New Roman"/>
          <w:iCs/>
        </w:rPr>
        <w:t xml:space="preserve"> (Tas) </w:t>
      </w:r>
      <w:r w:rsidRPr="006D2720">
        <w:rPr>
          <w:rFonts w:ascii="Times New Roman" w:hAnsi="Times New Roman" w:cs="Times New Roman"/>
          <w:color w:val="auto"/>
        </w:rPr>
        <w:t>deals with information privacy</w:t>
      </w:r>
      <w:r w:rsidR="0039124B" w:rsidRPr="006D2720">
        <w:rPr>
          <w:rFonts w:ascii="Times New Roman" w:hAnsi="Times New Roman" w:cs="Times New Roman"/>
          <w:color w:val="auto"/>
        </w:rPr>
        <w:t>,</w:t>
      </w:r>
      <w:r w:rsidRPr="006D2720">
        <w:rPr>
          <w:rFonts w:ascii="Times New Roman" w:hAnsi="Times New Roman" w:cs="Times New Roman"/>
          <w:color w:val="auto"/>
        </w:rPr>
        <w:t xml:space="preserve"> </w:t>
      </w:r>
      <w:r w:rsidR="00DE5894" w:rsidRPr="006D2720">
        <w:rPr>
          <w:rFonts w:ascii="Times New Roman" w:hAnsi="Times New Roman" w:cs="Times New Roman"/>
          <w:color w:val="auto"/>
        </w:rPr>
        <w:t xml:space="preserve">other legislation </w:t>
      </w:r>
      <w:r w:rsidRPr="006D2720">
        <w:rPr>
          <w:rFonts w:ascii="Times New Roman" w:hAnsi="Times New Roman" w:cs="Times New Roman"/>
          <w:color w:val="auto"/>
        </w:rPr>
        <w:t>may</w:t>
      </w:r>
      <w:r w:rsidR="00DE5894" w:rsidRPr="006D2720">
        <w:rPr>
          <w:rFonts w:ascii="Times New Roman" w:hAnsi="Times New Roman" w:cs="Times New Roman"/>
          <w:color w:val="auto"/>
        </w:rPr>
        <w:t xml:space="preserve"> </w:t>
      </w:r>
      <w:r w:rsidR="00357508" w:rsidRPr="006D2720">
        <w:rPr>
          <w:rFonts w:ascii="Times New Roman" w:hAnsi="Times New Roman" w:cs="Times New Roman"/>
          <w:color w:val="auto"/>
        </w:rPr>
        <w:t xml:space="preserve">touch on </w:t>
      </w:r>
      <w:r w:rsidRPr="006D2720">
        <w:rPr>
          <w:rFonts w:ascii="Times New Roman" w:hAnsi="Times New Roman" w:cs="Times New Roman"/>
          <w:color w:val="auto"/>
        </w:rPr>
        <w:t xml:space="preserve">other forms of </w:t>
      </w:r>
      <w:r w:rsidR="00DE5894" w:rsidRPr="006D2720">
        <w:rPr>
          <w:rFonts w:ascii="Times New Roman" w:hAnsi="Times New Roman" w:cs="Times New Roman"/>
          <w:color w:val="auto"/>
        </w:rPr>
        <w:t>privacy in the health context</w:t>
      </w:r>
      <w:r w:rsidRPr="006D2720">
        <w:rPr>
          <w:rFonts w:ascii="Times New Roman" w:hAnsi="Times New Roman" w:cs="Times New Roman"/>
          <w:color w:val="auto"/>
        </w:rPr>
        <w:t xml:space="preserve">. </w:t>
      </w:r>
      <w:r w:rsidR="00DE5894" w:rsidRPr="006D2720">
        <w:rPr>
          <w:rFonts w:ascii="Times New Roman" w:hAnsi="Times New Roman" w:cs="Times New Roman"/>
          <w:color w:val="auto"/>
        </w:rPr>
        <w:t xml:space="preserve">For example, </w:t>
      </w:r>
      <w:r w:rsidR="0039124B" w:rsidRPr="006D2720">
        <w:rPr>
          <w:rFonts w:ascii="Times New Roman" w:hAnsi="Times New Roman" w:cs="Times New Roman"/>
          <w:color w:val="auto"/>
        </w:rPr>
        <w:t xml:space="preserve">the </w:t>
      </w:r>
      <w:r w:rsidR="00805AE5" w:rsidRPr="006D2720">
        <w:rPr>
          <w:rFonts w:ascii="Times New Roman" w:hAnsi="Times New Roman" w:cs="Times New Roman"/>
          <w:i/>
          <w:color w:val="auto"/>
        </w:rPr>
        <w:t xml:space="preserve">Forensic Procedures Act 2000 </w:t>
      </w:r>
      <w:r w:rsidR="00805AE5" w:rsidRPr="006D2720">
        <w:rPr>
          <w:rFonts w:ascii="Times New Roman" w:hAnsi="Times New Roman" w:cs="Times New Roman"/>
          <w:iCs/>
          <w:color w:val="auto"/>
        </w:rPr>
        <w:t>(Tas)</w:t>
      </w:r>
      <w:r w:rsidR="00445131" w:rsidRPr="006D2720">
        <w:rPr>
          <w:rFonts w:ascii="Times New Roman" w:hAnsi="Times New Roman" w:cs="Times New Roman"/>
          <w:color w:val="auto"/>
        </w:rPr>
        <w:t xml:space="preserve"> provides for privacy protection in relation to </w:t>
      </w:r>
      <w:r w:rsidR="00341F67" w:rsidRPr="006D2720">
        <w:rPr>
          <w:rFonts w:ascii="Times New Roman" w:hAnsi="Times New Roman" w:cs="Times New Roman"/>
          <w:color w:val="auto"/>
        </w:rPr>
        <w:t>forensic procedures relating to offences</w:t>
      </w:r>
      <w:r w:rsidR="00C95C96" w:rsidRPr="006D2720">
        <w:rPr>
          <w:rFonts w:ascii="Times New Roman" w:hAnsi="Times New Roman" w:cs="Times New Roman"/>
          <w:color w:val="auto"/>
        </w:rPr>
        <w:t xml:space="preserve">, including the </w:t>
      </w:r>
      <w:r w:rsidR="00A8380A" w:rsidRPr="006D2720">
        <w:rPr>
          <w:rFonts w:ascii="Times New Roman" w:hAnsi="Times New Roman" w:cs="Times New Roman"/>
          <w:color w:val="auto"/>
        </w:rPr>
        <w:t>taking of medical samples or</w:t>
      </w:r>
      <w:r w:rsidR="00DE5894" w:rsidRPr="006D2720">
        <w:rPr>
          <w:rFonts w:ascii="Times New Roman" w:hAnsi="Times New Roman" w:cs="Times New Roman"/>
          <w:color w:val="auto"/>
        </w:rPr>
        <w:t xml:space="preserve"> the conduct of bodily</w:t>
      </w:r>
      <w:r w:rsidR="00A8380A" w:rsidRPr="006D2720">
        <w:rPr>
          <w:rFonts w:ascii="Times New Roman" w:hAnsi="Times New Roman" w:cs="Times New Roman"/>
          <w:color w:val="auto"/>
        </w:rPr>
        <w:t xml:space="preserve"> examinations</w:t>
      </w:r>
      <w:r w:rsidR="00341F67" w:rsidRPr="006D2720">
        <w:rPr>
          <w:rFonts w:ascii="Times New Roman" w:hAnsi="Times New Roman" w:cs="Times New Roman"/>
          <w:color w:val="auto"/>
        </w:rPr>
        <w:t>.</w:t>
      </w:r>
      <w:r w:rsidR="00CC7F74" w:rsidRPr="006D2720">
        <w:rPr>
          <w:rFonts w:ascii="Times New Roman" w:hAnsi="Times New Roman" w:cs="Times New Roman"/>
          <w:color w:val="auto"/>
        </w:rPr>
        <w:t xml:space="preserve"> </w:t>
      </w:r>
      <w:r w:rsidR="004B593F" w:rsidRPr="006D2720">
        <w:rPr>
          <w:rFonts w:ascii="Times New Roman" w:hAnsi="Times New Roman" w:cs="Times New Roman"/>
          <w:color w:val="auto"/>
        </w:rPr>
        <w:t xml:space="preserve">Forensic </w:t>
      </w:r>
      <w:r w:rsidR="00805AE5" w:rsidRPr="006D2720">
        <w:rPr>
          <w:rFonts w:ascii="Times New Roman" w:hAnsi="Times New Roman" w:cs="Times New Roman"/>
          <w:color w:val="auto"/>
        </w:rPr>
        <w:t>procedures</w:t>
      </w:r>
      <w:r w:rsidR="00002E5C" w:rsidRPr="006D2720">
        <w:rPr>
          <w:rFonts w:ascii="Times New Roman" w:hAnsi="Times New Roman" w:cs="Times New Roman"/>
          <w:color w:val="auto"/>
        </w:rPr>
        <w:t xml:space="preserve">, including taking a saliva </w:t>
      </w:r>
      <w:r w:rsidR="00D2753C" w:rsidRPr="006D2720">
        <w:rPr>
          <w:rFonts w:ascii="Times New Roman" w:hAnsi="Times New Roman" w:cs="Times New Roman"/>
          <w:color w:val="auto"/>
        </w:rPr>
        <w:t xml:space="preserve">or </w:t>
      </w:r>
      <w:r w:rsidR="00C47BE8" w:rsidRPr="006D2720">
        <w:rPr>
          <w:rFonts w:ascii="Times New Roman" w:hAnsi="Times New Roman" w:cs="Times New Roman"/>
          <w:color w:val="auto"/>
        </w:rPr>
        <w:t>DNA</w:t>
      </w:r>
      <w:r w:rsidR="00C56C9D" w:rsidRPr="006D2720">
        <w:rPr>
          <w:rFonts w:ascii="Times New Roman" w:hAnsi="Times New Roman" w:cs="Times New Roman"/>
          <w:color w:val="auto"/>
        </w:rPr>
        <w:t xml:space="preserve"> swab </w:t>
      </w:r>
      <w:r w:rsidR="00002E5C" w:rsidRPr="006D2720">
        <w:rPr>
          <w:rFonts w:ascii="Times New Roman" w:hAnsi="Times New Roman" w:cs="Times New Roman"/>
          <w:color w:val="auto"/>
        </w:rPr>
        <w:t>of a young person,</w:t>
      </w:r>
      <w:r w:rsidR="00805AE5" w:rsidRPr="006D2720">
        <w:rPr>
          <w:rFonts w:ascii="Times New Roman" w:hAnsi="Times New Roman" w:cs="Times New Roman"/>
          <w:color w:val="auto"/>
        </w:rPr>
        <w:t xml:space="preserve"> must be carried out in a way that affords </w:t>
      </w:r>
      <w:r w:rsidR="00255C03" w:rsidRPr="006D2720">
        <w:rPr>
          <w:rFonts w:ascii="Times New Roman" w:hAnsi="Times New Roman" w:cs="Times New Roman"/>
          <w:color w:val="auto"/>
        </w:rPr>
        <w:t>‘</w:t>
      </w:r>
      <w:r w:rsidR="00805AE5" w:rsidRPr="006D2720">
        <w:rPr>
          <w:rFonts w:ascii="Times New Roman" w:hAnsi="Times New Roman" w:cs="Times New Roman"/>
          <w:color w:val="auto"/>
        </w:rPr>
        <w:t>reasonable privacy</w:t>
      </w:r>
      <w:r w:rsidR="00255C03" w:rsidRPr="006D2720">
        <w:rPr>
          <w:rFonts w:ascii="Times New Roman" w:hAnsi="Times New Roman" w:cs="Times New Roman"/>
          <w:color w:val="auto"/>
        </w:rPr>
        <w:t xml:space="preserve">’ </w:t>
      </w:r>
      <w:r w:rsidR="00805AE5" w:rsidRPr="006D2720">
        <w:rPr>
          <w:rFonts w:ascii="Times New Roman" w:hAnsi="Times New Roman" w:cs="Times New Roman"/>
          <w:color w:val="auto"/>
        </w:rPr>
        <w:t>to the person undergoing the procedure.</w:t>
      </w:r>
      <w:r w:rsidR="00805AE5" w:rsidRPr="006D2720">
        <w:rPr>
          <w:rStyle w:val="FootnoteReference"/>
          <w:rFonts w:ascii="Times New Roman" w:hAnsi="Times New Roman" w:cs="Times New Roman"/>
          <w:color w:val="auto"/>
        </w:rPr>
        <w:footnoteReference w:id="325"/>
      </w:r>
    </w:p>
    <w:p w14:paraId="58E7DBA9" w14:textId="012284C9" w:rsidR="0064050C" w:rsidRPr="006D2720" w:rsidRDefault="0064050C" w:rsidP="00CA1A69">
      <w:pPr>
        <w:pStyle w:val="Heading2"/>
        <w:numPr>
          <w:ilvl w:val="0"/>
          <w:numId w:val="0"/>
        </w:numPr>
        <w:rPr>
          <w:rFonts w:ascii="Times New Roman" w:hAnsi="Times New Roman" w:cs="Times New Roman"/>
          <w:i/>
          <w:iCs/>
        </w:rPr>
      </w:pPr>
      <w:bookmarkStart w:id="376" w:name="_Toc91832017"/>
      <w:bookmarkStart w:id="377" w:name="_Toc130540452"/>
      <w:r w:rsidRPr="006D2720">
        <w:rPr>
          <w:rFonts w:ascii="Times New Roman" w:hAnsi="Times New Roman" w:cs="Times New Roman"/>
          <w:i/>
          <w:iCs/>
        </w:rPr>
        <w:t>Surveillance</w:t>
      </w:r>
      <w:bookmarkEnd w:id="376"/>
      <w:bookmarkEnd w:id="377"/>
    </w:p>
    <w:p w14:paraId="0278DA2E" w14:textId="59EC19C5" w:rsidR="0064050C" w:rsidRPr="006D2720" w:rsidRDefault="00DB508E">
      <w:pPr>
        <w:pStyle w:val="Heading3"/>
        <w:rPr>
          <w:rFonts w:ascii="Times New Roman" w:hAnsi="Times New Roman" w:cs="Times New Roman"/>
          <w:color w:val="auto"/>
          <w:lang w:val="en-GB"/>
        </w:rPr>
      </w:pPr>
      <w:r w:rsidRPr="006D2720">
        <w:rPr>
          <w:rFonts w:ascii="Times New Roman" w:hAnsi="Times New Roman" w:cs="Times New Roman"/>
          <w:lang w:val="en-GB"/>
        </w:rPr>
        <w:t>T</w:t>
      </w:r>
      <w:r w:rsidR="0064050C" w:rsidRPr="006D2720">
        <w:rPr>
          <w:rFonts w:ascii="Times New Roman" w:hAnsi="Times New Roman" w:cs="Times New Roman"/>
          <w:lang w:val="en-GB"/>
        </w:rPr>
        <w:t xml:space="preserve">wo main </w:t>
      </w:r>
      <w:r w:rsidRPr="006D2720">
        <w:rPr>
          <w:rFonts w:ascii="Times New Roman" w:hAnsi="Times New Roman" w:cs="Times New Roman"/>
          <w:lang w:val="en-GB"/>
        </w:rPr>
        <w:t xml:space="preserve">pieces of legislation </w:t>
      </w:r>
      <w:r w:rsidR="0064050C" w:rsidRPr="006D2720">
        <w:rPr>
          <w:rFonts w:ascii="Times New Roman" w:hAnsi="Times New Roman" w:cs="Times New Roman"/>
          <w:lang w:val="en-GB"/>
        </w:rPr>
        <w:t>in Tasmania provide protections against surveillance</w:t>
      </w:r>
      <w:r w:rsidR="00423BBD" w:rsidRPr="006D2720">
        <w:rPr>
          <w:rFonts w:ascii="Times New Roman" w:hAnsi="Times New Roman" w:cs="Times New Roman"/>
          <w:lang w:val="en-GB"/>
        </w:rPr>
        <w:t xml:space="preserve">: the </w:t>
      </w:r>
      <w:r w:rsidR="00423BBD" w:rsidRPr="006D2720">
        <w:rPr>
          <w:rFonts w:ascii="Times New Roman" w:hAnsi="Times New Roman" w:cs="Times New Roman"/>
          <w:i/>
          <w:iCs/>
          <w:lang w:val="en-GB"/>
        </w:rPr>
        <w:t xml:space="preserve">Listening Devices Act 1991 </w:t>
      </w:r>
      <w:r w:rsidR="00423BBD" w:rsidRPr="006D2720">
        <w:rPr>
          <w:rFonts w:ascii="Times New Roman" w:hAnsi="Times New Roman" w:cs="Times New Roman"/>
          <w:lang w:val="en-GB"/>
        </w:rPr>
        <w:t xml:space="preserve">(Tas) and the </w:t>
      </w:r>
      <w:r w:rsidR="00423BBD" w:rsidRPr="006D2720">
        <w:rPr>
          <w:rFonts w:ascii="Times New Roman" w:hAnsi="Times New Roman" w:cs="Times New Roman"/>
          <w:i/>
          <w:lang w:val="en-GB"/>
        </w:rPr>
        <w:t xml:space="preserve">Police Offences Act 1935 </w:t>
      </w:r>
      <w:r w:rsidR="00423BBD" w:rsidRPr="006D2720">
        <w:rPr>
          <w:rFonts w:ascii="Times New Roman" w:hAnsi="Times New Roman" w:cs="Times New Roman"/>
          <w:iCs/>
          <w:lang w:val="en-GB"/>
        </w:rPr>
        <w:t>(Tas)</w:t>
      </w:r>
      <w:r w:rsidR="0064050C" w:rsidRPr="006D2720">
        <w:rPr>
          <w:rFonts w:ascii="Times New Roman" w:hAnsi="Times New Roman" w:cs="Times New Roman"/>
          <w:lang w:val="en-GB"/>
        </w:rPr>
        <w:t xml:space="preserve">. </w:t>
      </w:r>
      <w:r w:rsidR="008327F8" w:rsidRPr="006D2720">
        <w:rPr>
          <w:rFonts w:ascii="Times New Roman" w:hAnsi="Times New Roman" w:cs="Times New Roman"/>
          <w:color w:val="auto"/>
          <w:lang w:val="en-GB"/>
        </w:rPr>
        <w:t xml:space="preserve">They </w:t>
      </w:r>
      <w:r w:rsidR="00415731" w:rsidRPr="006D2720">
        <w:rPr>
          <w:rFonts w:ascii="Times New Roman" w:hAnsi="Times New Roman" w:cs="Times New Roman"/>
          <w:color w:val="auto"/>
          <w:lang w:val="en-GB"/>
        </w:rPr>
        <w:t xml:space="preserve">include </w:t>
      </w:r>
      <w:r w:rsidR="0064050C" w:rsidRPr="006D2720">
        <w:rPr>
          <w:rFonts w:ascii="Times New Roman" w:hAnsi="Times New Roman" w:cs="Times New Roman"/>
          <w:color w:val="auto"/>
          <w:lang w:val="en-GB"/>
        </w:rPr>
        <w:t>provisions</w:t>
      </w:r>
      <w:r w:rsidR="003E42D2" w:rsidRPr="006D2720">
        <w:rPr>
          <w:rFonts w:ascii="Times New Roman" w:hAnsi="Times New Roman" w:cs="Times New Roman"/>
          <w:color w:val="auto"/>
          <w:lang w:val="en-GB"/>
        </w:rPr>
        <w:t xml:space="preserve"> </w:t>
      </w:r>
      <w:r w:rsidR="0064050C" w:rsidRPr="006D2720">
        <w:rPr>
          <w:rFonts w:ascii="Times New Roman" w:hAnsi="Times New Roman" w:cs="Times New Roman"/>
          <w:color w:val="auto"/>
          <w:lang w:val="en-GB"/>
        </w:rPr>
        <w:t>apply</w:t>
      </w:r>
      <w:r w:rsidR="003E42D2" w:rsidRPr="006D2720">
        <w:rPr>
          <w:rFonts w:ascii="Times New Roman" w:hAnsi="Times New Roman" w:cs="Times New Roman"/>
          <w:color w:val="auto"/>
          <w:lang w:val="en-GB"/>
        </w:rPr>
        <w:t>ing</w:t>
      </w:r>
      <w:r w:rsidR="0064050C" w:rsidRPr="006D2720">
        <w:rPr>
          <w:rFonts w:ascii="Times New Roman" w:hAnsi="Times New Roman" w:cs="Times New Roman"/>
          <w:color w:val="auto"/>
          <w:lang w:val="en-GB"/>
        </w:rPr>
        <w:t xml:space="preserve"> to surveillance that could be undertaken by any person, </w:t>
      </w:r>
      <w:r w:rsidR="004A5E8A" w:rsidRPr="006D2720">
        <w:rPr>
          <w:rFonts w:ascii="Times New Roman" w:hAnsi="Times New Roman" w:cs="Times New Roman"/>
          <w:color w:val="auto"/>
          <w:lang w:val="en-GB"/>
        </w:rPr>
        <w:t>i</w:t>
      </w:r>
      <w:r w:rsidR="007356B8" w:rsidRPr="006D2720">
        <w:rPr>
          <w:rFonts w:ascii="Times New Roman" w:hAnsi="Times New Roman" w:cs="Times New Roman"/>
          <w:color w:val="auto"/>
          <w:lang w:val="en-GB"/>
        </w:rPr>
        <w:t>n any context</w:t>
      </w:r>
      <w:r w:rsidR="0064050C" w:rsidRPr="006D2720">
        <w:rPr>
          <w:rFonts w:ascii="Times New Roman" w:hAnsi="Times New Roman" w:cs="Times New Roman"/>
          <w:color w:val="auto"/>
          <w:lang w:val="en-GB"/>
        </w:rPr>
        <w:t xml:space="preserve">, and </w:t>
      </w:r>
      <w:r w:rsidR="007356B8" w:rsidRPr="006D2720">
        <w:rPr>
          <w:rFonts w:ascii="Times New Roman" w:hAnsi="Times New Roman" w:cs="Times New Roman"/>
          <w:color w:val="auto"/>
          <w:lang w:val="en-GB"/>
        </w:rPr>
        <w:t xml:space="preserve">with any device, </w:t>
      </w:r>
      <w:r w:rsidR="0064050C" w:rsidRPr="006D2720">
        <w:rPr>
          <w:rFonts w:ascii="Times New Roman" w:hAnsi="Times New Roman" w:cs="Times New Roman"/>
          <w:color w:val="auto"/>
          <w:lang w:val="en-GB"/>
        </w:rPr>
        <w:t>including Remotely Piloted Aircraft (‘RPA’) or Unmanned Aerial Vehicles (‘UAV’)</w:t>
      </w:r>
      <w:r w:rsidR="007356B8" w:rsidRPr="006D2720">
        <w:rPr>
          <w:rFonts w:ascii="Times New Roman" w:hAnsi="Times New Roman" w:cs="Times New Roman"/>
          <w:color w:val="auto"/>
          <w:lang w:val="en-GB"/>
        </w:rPr>
        <w:t xml:space="preserve">, </w:t>
      </w:r>
      <w:r w:rsidR="0064050C" w:rsidRPr="006D2720">
        <w:rPr>
          <w:rFonts w:ascii="Times New Roman" w:hAnsi="Times New Roman" w:cs="Times New Roman"/>
          <w:color w:val="auto"/>
          <w:lang w:val="en-GB"/>
        </w:rPr>
        <w:t>commonly known as drones.</w:t>
      </w:r>
    </w:p>
    <w:p w14:paraId="38637D10" w14:textId="17B3AC59" w:rsidR="004A528B" w:rsidRPr="006D2720" w:rsidRDefault="004A528B" w:rsidP="002E5DF5">
      <w:pPr>
        <w:rPr>
          <w:rFonts w:ascii="Times New Roman" w:hAnsi="Times New Roman" w:cs="Times New Roman"/>
          <w:b/>
          <w:i/>
          <w:iCs/>
          <w:lang w:val="en-GB"/>
        </w:rPr>
      </w:pPr>
      <w:r w:rsidRPr="006D2720">
        <w:rPr>
          <w:rFonts w:ascii="Times New Roman" w:hAnsi="Times New Roman" w:cs="Times New Roman"/>
          <w:b/>
          <w:i/>
          <w:iCs/>
          <w:lang w:val="en-GB"/>
        </w:rPr>
        <w:t xml:space="preserve">Listening Devices Act 1991 </w:t>
      </w:r>
      <w:r w:rsidRPr="006D2720">
        <w:rPr>
          <w:rFonts w:ascii="Times New Roman" w:hAnsi="Times New Roman" w:cs="Times New Roman"/>
          <w:b/>
          <w:lang w:val="en-GB"/>
        </w:rPr>
        <w:t>(Tas)</w:t>
      </w:r>
    </w:p>
    <w:p w14:paraId="3BED57EB" w14:textId="2E904BF5" w:rsidR="00B44091" w:rsidRPr="006D2720" w:rsidRDefault="0064050C" w:rsidP="000D2C84">
      <w:pPr>
        <w:pStyle w:val="Heading3"/>
        <w:rPr>
          <w:rFonts w:ascii="Times New Roman" w:hAnsi="Times New Roman" w:cs="Times New Roman"/>
          <w:lang w:val="en-GB"/>
        </w:rPr>
      </w:pPr>
      <w:r w:rsidRPr="006D2720">
        <w:rPr>
          <w:rFonts w:ascii="Times New Roman" w:hAnsi="Times New Roman" w:cs="Times New Roman"/>
          <w:lang w:val="en-GB"/>
        </w:rPr>
        <w:t xml:space="preserve">The </w:t>
      </w:r>
      <w:r w:rsidRPr="006D2720">
        <w:rPr>
          <w:rFonts w:ascii="Times New Roman" w:hAnsi="Times New Roman" w:cs="Times New Roman"/>
          <w:i/>
          <w:lang w:val="en-GB"/>
        </w:rPr>
        <w:t xml:space="preserve">Listening Devices Act 1991 </w:t>
      </w:r>
      <w:r w:rsidRPr="006D2720">
        <w:rPr>
          <w:rFonts w:ascii="Times New Roman" w:hAnsi="Times New Roman" w:cs="Times New Roman"/>
          <w:iCs/>
          <w:lang w:val="en-GB"/>
        </w:rPr>
        <w:t>(Tas)</w:t>
      </w:r>
      <w:r w:rsidRPr="006D2720">
        <w:rPr>
          <w:rFonts w:ascii="Times New Roman" w:hAnsi="Times New Roman" w:cs="Times New Roman"/>
          <w:lang w:val="en-GB"/>
        </w:rPr>
        <w:t xml:space="preserve"> prohibits the use of listening devices to record private conversations</w:t>
      </w:r>
      <w:r w:rsidR="00E66B65" w:rsidRPr="006D2720">
        <w:rPr>
          <w:rFonts w:ascii="Times New Roman" w:hAnsi="Times New Roman" w:cs="Times New Roman"/>
          <w:lang w:val="en-GB"/>
        </w:rPr>
        <w:t xml:space="preserve"> or </w:t>
      </w:r>
      <w:r w:rsidRPr="006D2720">
        <w:rPr>
          <w:rFonts w:ascii="Times New Roman" w:hAnsi="Times New Roman" w:cs="Times New Roman"/>
          <w:lang w:val="en-GB"/>
        </w:rPr>
        <w:t>to listen to private conversations where the person using the device is not a party</w:t>
      </w:r>
      <w:r w:rsidR="004F06BF" w:rsidRPr="006D2720">
        <w:rPr>
          <w:rFonts w:ascii="Times New Roman" w:hAnsi="Times New Roman" w:cs="Times New Roman"/>
          <w:lang w:val="en-GB"/>
        </w:rPr>
        <w:t xml:space="preserve"> to it</w:t>
      </w:r>
      <w:r w:rsidRPr="006D2720">
        <w:rPr>
          <w:rFonts w:ascii="Times New Roman" w:hAnsi="Times New Roman" w:cs="Times New Roman"/>
          <w:lang w:val="en-GB"/>
        </w:rPr>
        <w:t>.</w:t>
      </w:r>
      <w:r w:rsidRPr="006D2720">
        <w:rPr>
          <w:rFonts w:ascii="Times New Roman" w:hAnsi="Times New Roman" w:cs="Times New Roman"/>
          <w:vertAlign w:val="superscript"/>
          <w:lang w:val="en-GB"/>
        </w:rPr>
        <w:footnoteReference w:id="326"/>
      </w:r>
      <w:r w:rsidRPr="006D2720">
        <w:rPr>
          <w:rFonts w:ascii="Times New Roman" w:hAnsi="Times New Roman" w:cs="Times New Roman"/>
          <w:lang w:val="en-GB"/>
        </w:rPr>
        <w:t xml:space="preserve"> The definition of </w:t>
      </w:r>
      <w:r w:rsidR="00B44091" w:rsidRPr="006D2720">
        <w:rPr>
          <w:rFonts w:ascii="Times New Roman" w:hAnsi="Times New Roman" w:cs="Times New Roman"/>
          <w:lang w:val="en-GB"/>
        </w:rPr>
        <w:t>‘</w:t>
      </w:r>
      <w:r w:rsidRPr="006D2720">
        <w:rPr>
          <w:rFonts w:ascii="Times New Roman" w:hAnsi="Times New Roman" w:cs="Times New Roman"/>
          <w:lang w:val="en-GB"/>
        </w:rPr>
        <w:t>private conversation</w:t>
      </w:r>
      <w:r w:rsidR="00B44091" w:rsidRPr="006D2720">
        <w:rPr>
          <w:rFonts w:ascii="Times New Roman" w:hAnsi="Times New Roman" w:cs="Times New Roman"/>
          <w:lang w:val="en-GB"/>
        </w:rPr>
        <w:t xml:space="preserve">’ </w:t>
      </w:r>
      <w:r w:rsidRPr="006D2720">
        <w:rPr>
          <w:rFonts w:ascii="Times New Roman" w:hAnsi="Times New Roman" w:cs="Times New Roman"/>
          <w:lang w:val="en-GB"/>
        </w:rPr>
        <w:t xml:space="preserve">is conditioned on </w:t>
      </w:r>
      <w:r w:rsidR="00B44091" w:rsidRPr="006D2720">
        <w:rPr>
          <w:rFonts w:ascii="Times New Roman" w:hAnsi="Times New Roman" w:cs="Times New Roman"/>
          <w:lang w:val="en-GB"/>
        </w:rPr>
        <w:t>‘</w:t>
      </w:r>
      <w:r w:rsidRPr="006D2720">
        <w:rPr>
          <w:rFonts w:ascii="Times New Roman" w:hAnsi="Times New Roman" w:cs="Times New Roman"/>
          <w:lang w:val="en-GB"/>
        </w:rPr>
        <w:t>circumstances that may reasonably be taken to indicate</w:t>
      </w:r>
      <w:r w:rsidR="00B44091" w:rsidRPr="006D2720">
        <w:rPr>
          <w:rFonts w:ascii="Times New Roman" w:hAnsi="Times New Roman" w:cs="Times New Roman"/>
          <w:lang w:val="en-GB"/>
        </w:rPr>
        <w:t xml:space="preserve">’ </w:t>
      </w:r>
      <w:r w:rsidRPr="006D2720">
        <w:rPr>
          <w:rFonts w:ascii="Times New Roman" w:hAnsi="Times New Roman" w:cs="Times New Roman"/>
          <w:lang w:val="en-GB"/>
        </w:rPr>
        <w:t xml:space="preserve">that </w:t>
      </w:r>
      <w:r w:rsidR="00200DD3" w:rsidRPr="006D2720">
        <w:rPr>
          <w:rFonts w:ascii="Times New Roman" w:hAnsi="Times New Roman" w:cs="Times New Roman"/>
          <w:lang w:val="en-GB"/>
        </w:rPr>
        <w:t xml:space="preserve">the </w:t>
      </w:r>
      <w:r w:rsidR="00B44091" w:rsidRPr="006D2720">
        <w:rPr>
          <w:rFonts w:ascii="Times New Roman" w:hAnsi="Times New Roman" w:cs="Times New Roman"/>
          <w:lang w:val="en-GB"/>
        </w:rPr>
        <w:t xml:space="preserve">people participating in the conversation intend for it </w:t>
      </w:r>
      <w:r w:rsidR="00200DD3" w:rsidRPr="006D2720">
        <w:rPr>
          <w:rFonts w:ascii="Times New Roman" w:hAnsi="Times New Roman" w:cs="Times New Roman"/>
          <w:lang w:val="en-GB"/>
        </w:rPr>
        <w:t>to be heard by others only with their explicit consent</w:t>
      </w:r>
      <w:r w:rsidRPr="006D2720">
        <w:rPr>
          <w:rFonts w:ascii="Times New Roman" w:hAnsi="Times New Roman" w:cs="Times New Roman"/>
          <w:lang w:val="en-GB"/>
        </w:rPr>
        <w:t>.</w:t>
      </w:r>
      <w:r w:rsidRPr="006D2720">
        <w:rPr>
          <w:rFonts w:ascii="Times New Roman" w:hAnsi="Times New Roman" w:cs="Times New Roman"/>
          <w:vertAlign w:val="superscript"/>
          <w:lang w:val="en-GB"/>
        </w:rPr>
        <w:footnoteReference w:id="327"/>
      </w:r>
      <w:r w:rsidRPr="006D2720">
        <w:rPr>
          <w:rFonts w:ascii="Times New Roman" w:hAnsi="Times New Roman" w:cs="Times New Roman"/>
          <w:lang w:val="en-GB"/>
        </w:rPr>
        <w:t xml:space="preserve"> </w:t>
      </w:r>
    </w:p>
    <w:p w14:paraId="2918EACE" w14:textId="5FFC266D" w:rsidR="0064050C" w:rsidRPr="006D2720" w:rsidRDefault="00B44091" w:rsidP="0066337D">
      <w:pPr>
        <w:pStyle w:val="Heading3"/>
        <w:rPr>
          <w:rFonts w:ascii="Times New Roman" w:hAnsi="Times New Roman" w:cs="Times New Roman"/>
          <w:lang w:val="en-GB"/>
        </w:rPr>
      </w:pPr>
      <w:r w:rsidRPr="006D2720">
        <w:rPr>
          <w:rFonts w:ascii="Times New Roman" w:hAnsi="Times New Roman" w:cs="Times New Roman"/>
          <w:lang w:val="en-GB"/>
        </w:rPr>
        <w:t xml:space="preserve">The prohibitions in the </w:t>
      </w:r>
      <w:r w:rsidRPr="006D2720">
        <w:rPr>
          <w:rFonts w:ascii="Times New Roman" w:hAnsi="Times New Roman" w:cs="Times New Roman"/>
          <w:i/>
          <w:lang w:val="en-GB"/>
        </w:rPr>
        <w:t xml:space="preserve">Listening Devices Act 1991 </w:t>
      </w:r>
      <w:r w:rsidR="003E42D2" w:rsidRPr="006D2720">
        <w:rPr>
          <w:rFonts w:ascii="Times New Roman" w:hAnsi="Times New Roman" w:cs="Times New Roman"/>
          <w:iCs/>
          <w:lang w:val="en-GB"/>
        </w:rPr>
        <w:t xml:space="preserve">(Tas) </w:t>
      </w:r>
      <w:r w:rsidRPr="006D2720">
        <w:rPr>
          <w:rFonts w:ascii="Times New Roman" w:hAnsi="Times New Roman" w:cs="Times New Roman"/>
          <w:iCs/>
          <w:lang w:val="en-GB"/>
        </w:rPr>
        <w:t xml:space="preserve">are </w:t>
      </w:r>
      <w:r w:rsidRPr="006D2720">
        <w:rPr>
          <w:rFonts w:ascii="Times New Roman" w:hAnsi="Times New Roman" w:cs="Times New Roman"/>
          <w:lang w:val="en-GB"/>
        </w:rPr>
        <w:t xml:space="preserve">not limited to state surveillance or to a </w:t>
      </w:r>
      <w:r w:rsidR="003E42D2" w:rsidRPr="006D2720">
        <w:rPr>
          <w:rFonts w:ascii="Times New Roman" w:hAnsi="Times New Roman" w:cs="Times New Roman"/>
          <w:lang w:val="en-GB"/>
        </w:rPr>
        <w:t xml:space="preserve">specific </w:t>
      </w:r>
      <w:r w:rsidRPr="006D2720">
        <w:rPr>
          <w:rFonts w:ascii="Times New Roman" w:hAnsi="Times New Roman" w:cs="Times New Roman"/>
          <w:lang w:val="en-GB"/>
        </w:rPr>
        <w:t xml:space="preserve">type of device. </w:t>
      </w:r>
      <w:r w:rsidR="00416960" w:rsidRPr="006D2720">
        <w:rPr>
          <w:rFonts w:ascii="Times New Roman" w:hAnsi="Times New Roman" w:cs="Times New Roman"/>
          <w:lang w:val="en-GB"/>
        </w:rPr>
        <w:t xml:space="preserve">For example, </w:t>
      </w:r>
      <w:r w:rsidR="003E42D2" w:rsidRPr="006D2720">
        <w:rPr>
          <w:rFonts w:ascii="Times New Roman" w:hAnsi="Times New Roman" w:cs="Times New Roman"/>
          <w:lang w:val="en-GB"/>
        </w:rPr>
        <w:t xml:space="preserve">they </w:t>
      </w:r>
      <w:r w:rsidRPr="006D2720">
        <w:rPr>
          <w:rFonts w:ascii="Times New Roman" w:hAnsi="Times New Roman" w:cs="Times New Roman"/>
          <w:lang w:val="en-GB"/>
        </w:rPr>
        <w:t>also limit</w:t>
      </w:r>
      <w:r w:rsidR="003E42D2" w:rsidRPr="006D2720">
        <w:rPr>
          <w:rFonts w:ascii="Times New Roman" w:hAnsi="Times New Roman" w:cs="Times New Roman"/>
          <w:lang w:val="en-GB"/>
        </w:rPr>
        <w:t xml:space="preserve"> </w:t>
      </w:r>
      <w:r w:rsidR="00416960" w:rsidRPr="006D2720">
        <w:rPr>
          <w:rFonts w:ascii="Times New Roman" w:hAnsi="Times New Roman" w:cs="Times New Roman"/>
          <w:lang w:val="en-GB"/>
        </w:rPr>
        <w:t xml:space="preserve">how </w:t>
      </w:r>
      <w:r w:rsidRPr="006D2720">
        <w:rPr>
          <w:rFonts w:ascii="Times New Roman" w:hAnsi="Times New Roman" w:cs="Times New Roman"/>
          <w:lang w:val="en-GB"/>
        </w:rPr>
        <w:t xml:space="preserve">journalists can record interviews and how </w:t>
      </w:r>
      <w:r w:rsidR="00416960" w:rsidRPr="006D2720">
        <w:rPr>
          <w:rFonts w:ascii="Times New Roman" w:hAnsi="Times New Roman" w:cs="Times New Roman"/>
          <w:lang w:val="en-GB"/>
        </w:rPr>
        <w:t xml:space="preserve">people may use </w:t>
      </w:r>
      <w:r w:rsidR="002A36A1" w:rsidRPr="006D2720">
        <w:rPr>
          <w:rFonts w:ascii="Times New Roman" w:hAnsi="Times New Roman" w:cs="Times New Roman"/>
          <w:lang w:val="en-GB"/>
        </w:rPr>
        <w:t>drones</w:t>
      </w:r>
      <w:r w:rsidRPr="006D2720">
        <w:rPr>
          <w:rFonts w:ascii="Times New Roman" w:hAnsi="Times New Roman" w:cs="Times New Roman"/>
          <w:lang w:val="en-GB"/>
        </w:rPr>
        <w:t>.</w:t>
      </w:r>
    </w:p>
    <w:p w14:paraId="32BC3DC9" w14:textId="549869AE" w:rsidR="0064050C" w:rsidRPr="006D2720" w:rsidRDefault="003E42D2" w:rsidP="0066337D">
      <w:pPr>
        <w:pStyle w:val="Heading3"/>
        <w:rPr>
          <w:rFonts w:ascii="Times New Roman" w:hAnsi="Times New Roman" w:cs="Times New Roman"/>
          <w:lang w:val="en-GB"/>
        </w:rPr>
      </w:pPr>
      <w:r w:rsidRPr="006D2720">
        <w:rPr>
          <w:rFonts w:ascii="Times New Roman" w:hAnsi="Times New Roman" w:cs="Times New Roman"/>
          <w:lang w:val="en-GB"/>
        </w:rPr>
        <w:t xml:space="preserve">The </w:t>
      </w:r>
      <w:r w:rsidRPr="006D2720">
        <w:rPr>
          <w:rFonts w:ascii="Times New Roman" w:hAnsi="Times New Roman" w:cs="Times New Roman"/>
          <w:iCs/>
          <w:lang w:val="en-GB"/>
        </w:rPr>
        <w:t xml:space="preserve">Act also sets out </w:t>
      </w:r>
      <w:r w:rsidR="004B13BB" w:rsidRPr="006D2720">
        <w:rPr>
          <w:rFonts w:ascii="Times New Roman" w:hAnsi="Times New Roman" w:cs="Times New Roman"/>
          <w:lang w:val="en-GB"/>
        </w:rPr>
        <w:t>consequences of breach</w:t>
      </w:r>
      <w:r w:rsidRPr="006D2720">
        <w:rPr>
          <w:rFonts w:ascii="Times New Roman" w:hAnsi="Times New Roman" w:cs="Times New Roman"/>
          <w:lang w:val="en-GB"/>
        </w:rPr>
        <w:t>ing the prohibitions, specifying</w:t>
      </w:r>
      <w:r w:rsidR="00B44091" w:rsidRPr="006D2720">
        <w:rPr>
          <w:rFonts w:ascii="Times New Roman" w:hAnsi="Times New Roman" w:cs="Times New Roman"/>
          <w:lang w:val="en-GB"/>
        </w:rPr>
        <w:t xml:space="preserve"> offences relating to </w:t>
      </w:r>
      <w:r w:rsidR="004B13BB" w:rsidRPr="006D2720">
        <w:rPr>
          <w:rFonts w:ascii="Times New Roman" w:hAnsi="Times New Roman" w:cs="Times New Roman"/>
          <w:lang w:val="en-GB"/>
        </w:rPr>
        <w:t>the</w:t>
      </w:r>
      <w:r w:rsidR="00B44091" w:rsidRPr="006D2720">
        <w:rPr>
          <w:rFonts w:ascii="Times New Roman" w:hAnsi="Times New Roman" w:cs="Times New Roman"/>
          <w:lang w:val="en-GB"/>
        </w:rPr>
        <w:t xml:space="preserve"> general prohibition</w:t>
      </w:r>
      <w:r w:rsidR="004B13BB" w:rsidRPr="006D2720">
        <w:rPr>
          <w:rFonts w:ascii="Times New Roman" w:hAnsi="Times New Roman" w:cs="Times New Roman"/>
          <w:lang w:val="en-GB"/>
        </w:rPr>
        <w:t xml:space="preserve"> on recording private conversations</w:t>
      </w:r>
      <w:r w:rsidR="00B44091" w:rsidRPr="006D2720">
        <w:rPr>
          <w:rFonts w:ascii="Times New Roman" w:hAnsi="Times New Roman" w:cs="Times New Roman"/>
          <w:lang w:val="en-GB"/>
        </w:rPr>
        <w:t>.</w:t>
      </w:r>
      <w:r w:rsidR="00B44091" w:rsidRPr="006D2720">
        <w:rPr>
          <w:rFonts w:ascii="Times New Roman" w:hAnsi="Times New Roman" w:cs="Times New Roman"/>
          <w:vertAlign w:val="superscript"/>
          <w:lang w:val="en-GB"/>
        </w:rPr>
        <w:footnoteReference w:id="328"/>
      </w:r>
      <w:r w:rsidR="00B44091" w:rsidRPr="006D2720">
        <w:rPr>
          <w:rFonts w:ascii="Times New Roman" w:hAnsi="Times New Roman" w:cs="Times New Roman"/>
          <w:lang w:val="en-GB"/>
        </w:rPr>
        <w:t xml:space="preserve"> </w:t>
      </w:r>
      <w:r w:rsidRPr="006D2720">
        <w:rPr>
          <w:rFonts w:ascii="Times New Roman" w:hAnsi="Times New Roman" w:cs="Times New Roman"/>
          <w:lang w:val="en-GB"/>
        </w:rPr>
        <w:t xml:space="preserve">If </w:t>
      </w:r>
      <w:r w:rsidR="003E6922" w:rsidRPr="006D2720">
        <w:rPr>
          <w:rFonts w:ascii="Times New Roman" w:hAnsi="Times New Roman" w:cs="Times New Roman"/>
          <w:lang w:val="en-GB"/>
        </w:rPr>
        <w:t>law enforcement</w:t>
      </w:r>
      <w:r w:rsidRPr="006D2720">
        <w:rPr>
          <w:rFonts w:ascii="Times New Roman" w:hAnsi="Times New Roman" w:cs="Times New Roman"/>
          <w:lang w:val="en-GB"/>
        </w:rPr>
        <w:t xml:space="preserve"> personnel</w:t>
      </w:r>
      <w:r w:rsidR="00DE31EE" w:rsidRPr="006D2720">
        <w:rPr>
          <w:rFonts w:ascii="Times New Roman" w:hAnsi="Times New Roman" w:cs="Times New Roman"/>
          <w:lang w:val="en-GB"/>
        </w:rPr>
        <w:t xml:space="preserve"> obtain </w:t>
      </w:r>
      <w:r w:rsidR="00AF02B9" w:rsidRPr="006D2720">
        <w:rPr>
          <w:rFonts w:ascii="Times New Roman" w:hAnsi="Times New Roman" w:cs="Times New Roman"/>
          <w:lang w:val="en-GB"/>
        </w:rPr>
        <w:t xml:space="preserve">evidence unlawfully under the Act, </w:t>
      </w:r>
      <w:r w:rsidRPr="006D2720">
        <w:rPr>
          <w:rFonts w:ascii="Times New Roman" w:hAnsi="Times New Roman" w:cs="Times New Roman"/>
          <w:lang w:val="en-GB"/>
        </w:rPr>
        <w:t>this</w:t>
      </w:r>
      <w:r w:rsidR="00AF02B9" w:rsidRPr="006D2720">
        <w:rPr>
          <w:rFonts w:ascii="Times New Roman" w:hAnsi="Times New Roman" w:cs="Times New Roman"/>
          <w:lang w:val="en-GB"/>
        </w:rPr>
        <w:t xml:space="preserve"> limits the circumstances </w:t>
      </w:r>
      <w:r w:rsidR="00C15D27" w:rsidRPr="006D2720">
        <w:rPr>
          <w:rFonts w:ascii="Times New Roman" w:hAnsi="Times New Roman" w:cs="Times New Roman"/>
          <w:lang w:val="en-GB"/>
        </w:rPr>
        <w:t>in which the</w:t>
      </w:r>
      <w:r w:rsidR="00AF02B9" w:rsidRPr="006D2720">
        <w:rPr>
          <w:rFonts w:ascii="Times New Roman" w:hAnsi="Times New Roman" w:cs="Times New Roman"/>
          <w:lang w:val="en-GB"/>
        </w:rPr>
        <w:t xml:space="preserve"> evidence can be used in court.</w:t>
      </w:r>
      <w:r w:rsidR="00AF02B9" w:rsidRPr="006D2720">
        <w:rPr>
          <w:rFonts w:ascii="Times New Roman" w:hAnsi="Times New Roman" w:cs="Times New Roman"/>
          <w:vertAlign w:val="superscript"/>
          <w:lang w:val="en-GB"/>
        </w:rPr>
        <w:footnoteReference w:id="329"/>
      </w:r>
      <w:r w:rsidR="00752270" w:rsidRPr="006D2720">
        <w:rPr>
          <w:rFonts w:ascii="Times New Roman" w:hAnsi="Times New Roman" w:cs="Times New Roman"/>
          <w:lang w:val="en-GB"/>
        </w:rPr>
        <w:t xml:space="preserve"> </w:t>
      </w:r>
      <w:r w:rsidR="00B37343" w:rsidRPr="006D2720">
        <w:rPr>
          <w:rFonts w:ascii="Times New Roman" w:hAnsi="Times New Roman" w:cs="Times New Roman"/>
          <w:lang w:val="en-GB"/>
        </w:rPr>
        <w:t xml:space="preserve">Even if a recording was lawfully obtained under certain provisions of the Act, </w:t>
      </w:r>
      <w:r w:rsidR="00C15D27" w:rsidRPr="006D2720">
        <w:rPr>
          <w:rFonts w:ascii="Times New Roman" w:hAnsi="Times New Roman" w:cs="Times New Roman"/>
          <w:lang w:val="en-GB"/>
        </w:rPr>
        <w:t xml:space="preserve">any </w:t>
      </w:r>
      <w:r w:rsidR="00AB051B" w:rsidRPr="006D2720">
        <w:rPr>
          <w:rFonts w:ascii="Times New Roman" w:hAnsi="Times New Roman" w:cs="Times New Roman"/>
          <w:lang w:val="en-GB"/>
        </w:rPr>
        <w:t xml:space="preserve">parts </w:t>
      </w:r>
      <w:r w:rsidR="00C15D27" w:rsidRPr="006D2720">
        <w:rPr>
          <w:rFonts w:ascii="Times New Roman" w:hAnsi="Times New Roman" w:cs="Times New Roman"/>
          <w:lang w:val="en-GB"/>
        </w:rPr>
        <w:t xml:space="preserve">that </w:t>
      </w:r>
      <w:r w:rsidR="00AB051B" w:rsidRPr="006D2720">
        <w:rPr>
          <w:rFonts w:ascii="Times New Roman" w:hAnsi="Times New Roman" w:cs="Times New Roman"/>
          <w:lang w:val="en-GB"/>
        </w:rPr>
        <w:t xml:space="preserve">are irrelevant to the commission of serious crimes must be </w:t>
      </w:r>
      <w:r w:rsidR="00B37343" w:rsidRPr="006D2720">
        <w:rPr>
          <w:rFonts w:ascii="Times New Roman" w:hAnsi="Times New Roman" w:cs="Times New Roman"/>
          <w:lang w:val="en-GB"/>
        </w:rPr>
        <w:t>destroyed as soon as practicable</w:t>
      </w:r>
      <w:r w:rsidR="0064050C" w:rsidRPr="006D2720">
        <w:rPr>
          <w:rFonts w:ascii="Times New Roman" w:hAnsi="Times New Roman" w:cs="Times New Roman"/>
          <w:lang w:val="en-GB"/>
        </w:rPr>
        <w:t>.</w:t>
      </w:r>
      <w:r w:rsidR="0064050C" w:rsidRPr="006D2720">
        <w:rPr>
          <w:rFonts w:ascii="Times New Roman" w:hAnsi="Times New Roman" w:cs="Times New Roman"/>
          <w:vertAlign w:val="superscript"/>
          <w:lang w:val="en-GB"/>
        </w:rPr>
        <w:footnoteReference w:id="330"/>
      </w:r>
      <w:r w:rsidR="0064050C" w:rsidRPr="006D2720">
        <w:rPr>
          <w:rFonts w:ascii="Times New Roman" w:hAnsi="Times New Roman" w:cs="Times New Roman"/>
          <w:lang w:val="en-GB"/>
        </w:rPr>
        <w:t xml:space="preserve"> </w:t>
      </w:r>
    </w:p>
    <w:p w14:paraId="3A7EAD9D" w14:textId="06B2F85B" w:rsidR="00200DD3" w:rsidRPr="006D2720" w:rsidRDefault="00DE7DC2" w:rsidP="0066337D">
      <w:pPr>
        <w:pStyle w:val="Heading3"/>
        <w:rPr>
          <w:rFonts w:ascii="Times New Roman" w:hAnsi="Times New Roman" w:cs="Times New Roman"/>
          <w:lang w:val="en-GB"/>
        </w:rPr>
      </w:pPr>
      <w:r w:rsidRPr="006D2720">
        <w:rPr>
          <w:rFonts w:ascii="Times New Roman" w:hAnsi="Times New Roman" w:cs="Times New Roman"/>
          <w:lang w:val="en-GB"/>
        </w:rPr>
        <w:t xml:space="preserve">While the general rule is a prohibition on the use of listening devices, there </w:t>
      </w:r>
      <w:r w:rsidR="0064050C" w:rsidRPr="006D2720">
        <w:rPr>
          <w:rFonts w:ascii="Times New Roman" w:hAnsi="Times New Roman" w:cs="Times New Roman"/>
          <w:lang w:val="en-GB"/>
        </w:rPr>
        <w:t>are exceptions</w:t>
      </w:r>
      <w:r w:rsidR="00C15D27" w:rsidRPr="006D2720">
        <w:rPr>
          <w:rFonts w:ascii="Times New Roman" w:hAnsi="Times New Roman" w:cs="Times New Roman"/>
          <w:lang w:val="en-GB"/>
        </w:rPr>
        <w:t>.</w:t>
      </w:r>
      <w:r w:rsidR="0064050C" w:rsidRPr="006D2720">
        <w:rPr>
          <w:rFonts w:ascii="Times New Roman" w:hAnsi="Times New Roman" w:cs="Times New Roman"/>
          <w:vertAlign w:val="superscript"/>
          <w:lang w:val="en-GB"/>
        </w:rPr>
        <w:footnoteReference w:id="331"/>
      </w:r>
      <w:r w:rsidRPr="006D2720">
        <w:rPr>
          <w:rFonts w:ascii="Times New Roman" w:hAnsi="Times New Roman" w:cs="Times New Roman"/>
          <w:lang w:val="en-GB"/>
        </w:rPr>
        <w:t xml:space="preserve"> </w:t>
      </w:r>
      <w:r w:rsidR="00C15D27" w:rsidRPr="006D2720">
        <w:rPr>
          <w:rFonts w:ascii="Times New Roman" w:hAnsi="Times New Roman" w:cs="Times New Roman"/>
          <w:lang w:val="en-GB"/>
        </w:rPr>
        <w:t xml:space="preserve">They </w:t>
      </w:r>
      <w:r w:rsidRPr="006D2720">
        <w:rPr>
          <w:rFonts w:ascii="Times New Roman" w:hAnsi="Times New Roman" w:cs="Times New Roman"/>
          <w:lang w:val="en-GB"/>
        </w:rPr>
        <w:t>includ</w:t>
      </w:r>
      <w:r w:rsidR="00C15D27" w:rsidRPr="006D2720">
        <w:rPr>
          <w:rFonts w:ascii="Times New Roman" w:hAnsi="Times New Roman" w:cs="Times New Roman"/>
          <w:lang w:val="en-GB"/>
        </w:rPr>
        <w:t>e</w:t>
      </w:r>
      <w:r w:rsidR="0064050C" w:rsidRPr="006D2720">
        <w:rPr>
          <w:rFonts w:ascii="Times New Roman" w:hAnsi="Times New Roman" w:cs="Times New Roman"/>
          <w:lang w:val="en-GB"/>
        </w:rPr>
        <w:t>:</w:t>
      </w:r>
    </w:p>
    <w:p w14:paraId="0C8B74D6" w14:textId="2D5298FE" w:rsidR="00200DD3"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warrants issued under the Act</w:t>
      </w:r>
      <w:r w:rsidR="00DE31EE" w:rsidRPr="006D2720">
        <w:rPr>
          <w:rFonts w:ascii="Times New Roman" w:hAnsi="Times New Roman" w:cs="Times New Roman"/>
          <w:lang w:val="en-GB"/>
        </w:rPr>
        <w:t xml:space="preserve"> for law enforcement</w:t>
      </w:r>
      <w:r w:rsidR="003F1AC6" w:rsidRPr="006D2720">
        <w:rPr>
          <w:rFonts w:ascii="Times New Roman" w:hAnsi="Times New Roman" w:cs="Times New Roman"/>
          <w:lang w:val="en-GB"/>
        </w:rPr>
        <w:t xml:space="preserve"> activities</w:t>
      </w:r>
      <w:r w:rsidRPr="006D2720">
        <w:rPr>
          <w:rFonts w:ascii="Times New Roman" w:hAnsi="Times New Roman" w:cs="Times New Roman"/>
          <w:lang w:val="en-GB"/>
        </w:rPr>
        <w:t>;</w:t>
      </w:r>
      <w:r w:rsidR="00DE31EE" w:rsidRPr="006D2720">
        <w:rPr>
          <w:rFonts w:ascii="Times New Roman" w:hAnsi="Times New Roman" w:cs="Times New Roman"/>
          <w:bCs/>
          <w:vertAlign w:val="superscript"/>
          <w:lang w:val="en-GB"/>
        </w:rPr>
        <w:footnoteReference w:id="332"/>
      </w:r>
      <w:r w:rsidRPr="006D2720">
        <w:rPr>
          <w:rFonts w:ascii="Times New Roman" w:hAnsi="Times New Roman" w:cs="Times New Roman"/>
          <w:lang w:val="en-GB"/>
        </w:rPr>
        <w:t xml:space="preserve"> </w:t>
      </w:r>
    </w:p>
    <w:p w14:paraId="6C82C02F" w14:textId="77777777" w:rsidR="00200DD3"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activities authorised under other legislation, including Commonwealth legislation;</w:t>
      </w:r>
      <w:r w:rsidRPr="006D2720">
        <w:rPr>
          <w:rFonts w:ascii="Times New Roman" w:hAnsi="Times New Roman" w:cs="Times New Roman"/>
          <w:vertAlign w:val="superscript"/>
          <w:lang w:val="en-GB"/>
        </w:rPr>
        <w:footnoteReference w:id="333"/>
      </w:r>
      <w:r w:rsidRPr="006D2720">
        <w:rPr>
          <w:rFonts w:ascii="Times New Roman" w:hAnsi="Times New Roman" w:cs="Times New Roman"/>
          <w:lang w:val="en-GB"/>
        </w:rPr>
        <w:t xml:space="preserve"> </w:t>
      </w:r>
    </w:p>
    <w:p w14:paraId="422CB1BA" w14:textId="77777777" w:rsidR="00200DD3"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 xml:space="preserve">unintentional hearing through use of a listening device; </w:t>
      </w:r>
    </w:p>
    <w:p w14:paraId="552B1BF6" w14:textId="77777777" w:rsidR="00200DD3"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 xml:space="preserve">recording interviews between a police officer and a person suspected of having committed a statutory offence; </w:t>
      </w:r>
    </w:p>
    <w:p w14:paraId="1E379D6C" w14:textId="77777777" w:rsidR="00200DD3"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 xml:space="preserve">consent; and </w:t>
      </w:r>
    </w:p>
    <w:p w14:paraId="2A0D6203" w14:textId="443502E8" w:rsidR="0064050C" w:rsidRPr="006D2720" w:rsidRDefault="0064050C">
      <w:pPr>
        <w:numPr>
          <w:ilvl w:val="0"/>
          <w:numId w:val="18"/>
        </w:numPr>
        <w:rPr>
          <w:rFonts w:ascii="Times New Roman" w:hAnsi="Times New Roman" w:cs="Times New Roman"/>
          <w:lang w:val="en-GB"/>
        </w:rPr>
      </w:pPr>
      <w:r w:rsidRPr="006D2720">
        <w:rPr>
          <w:rFonts w:ascii="Times New Roman" w:hAnsi="Times New Roman" w:cs="Times New Roman"/>
          <w:lang w:val="en-GB"/>
        </w:rPr>
        <w:t xml:space="preserve">where evidence or information needs to be obtained through a listening device in connection with </w:t>
      </w:r>
      <w:r w:rsidR="002F4A12" w:rsidRPr="006D2720">
        <w:rPr>
          <w:rFonts w:ascii="Times New Roman" w:hAnsi="Times New Roman" w:cs="Times New Roman"/>
          <w:lang w:val="en-GB"/>
        </w:rPr>
        <w:t xml:space="preserve">various </w:t>
      </w:r>
      <w:r w:rsidRPr="006D2720">
        <w:rPr>
          <w:rFonts w:ascii="Times New Roman" w:hAnsi="Times New Roman" w:cs="Times New Roman"/>
          <w:lang w:val="en-GB"/>
        </w:rPr>
        <w:t xml:space="preserve">serious </w:t>
      </w:r>
      <w:r w:rsidR="002F4A12" w:rsidRPr="006D2720">
        <w:rPr>
          <w:rFonts w:ascii="Times New Roman" w:hAnsi="Times New Roman" w:cs="Times New Roman"/>
          <w:lang w:val="en-GB"/>
        </w:rPr>
        <w:t>offences or threats.</w:t>
      </w:r>
      <w:r w:rsidR="002F4A12" w:rsidRPr="006D2720">
        <w:rPr>
          <w:rStyle w:val="FootnoteReference"/>
          <w:rFonts w:ascii="Times New Roman" w:hAnsi="Times New Roman" w:cs="Times New Roman"/>
          <w:bCs/>
          <w:lang w:val="en-GB"/>
        </w:rPr>
        <w:footnoteReference w:id="334"/>
      </w:r>
    </w:p>
    <w:p w14:paraId="575DFA18" w14:textId="6EECB756" w:rsidR="00F663F6" w:rsidRPr="006D2720" w:rsidRDefault="002F4A12" w:rsidP="005F27AB">
      <w:pPr>
        <w:pStyle w:val="Heading3"/>
        <w:rPr>
          <w:rFonts w:ascii="Times New Roman" w:hAnsi="Times New Roman" w:cs="Times New Roman"/>
          <w:lang w:val="en-GB"/>
        </w:rPr>
      </w:pPr>
      <w:r w:rsidRPr="006D2720">
        <w:rPr>
          <w:rFonts w:ascii="Times New Roman" w:hAnsi="Times New Roman" w:cs="Times New Roman"/>
          <w:lang w:val="en-GB"/>
        </w:rPr>
        <w:t>Where a listening device is used in connection with a serious offence or threat, a report detailing the use of the device must be provided to the Chief Magistrate within three days.</w:t>
      </w:r>
      <w:r w:rsidR="0050319F" w:rsidRPr="006D2720">
        <w:rPr>
          <w:rStyle w:val="FootnoteReference"/>
          <w:rFonts w:ascii="Times New Roman" w:hAnsi="Times New Roman" w:cs="Times New Roman"/>
          <w:lang w:val="en-GB"/>
        </w:rPr>
        <w:footnoteReference w:id="335"/>
      </w:r>
      <w:r w:rsidRPr="006D2720">
        <w:rPr>
          <w:rFonts w:ascii="Times New Roman" w:hAnsi="Times New Roman" w:cs="Times New Roman"/>
          <w:lang w:val="en-GB"/>
        </w:rPr>
        <w:t xml:space="preserve"> </w:t>
      </w:r>
      <w:r w:rsidR="005F27AB" w:rsidRPr="006D2720">
        <w:rPr>
          <w:rFonts w:ascii="Times New Roman" w:hAnsi="Times New Roman" w:cs="Times New Roman"/>
          <w:lang w:val="en-GB"/>
        </w:rPr>
        <w:t xml:space="preserve">If the Chief Magistrate is satisfied that it was an unnecessary interference with the privacy of the person whose conversation was listened to, </w:t>
      </w:r>
      <w:r w:rsidR="00264860" w:rsidRPr="006D2720">
        <w:rPr>
          <w:rFonts w:ascii="Times New Roman" w:hAnsi="Times New Roman" w:cs="Times New Roman"/>
          <w:lang w:val="en-GB"/>
        </w:rPr>
        <w:t>they</w:t>
      </w:r>
      <w:r w:rsidRPr="006D2720">
        <w:rPr>
          <w:rFonts w:ascii="Times New Roman" w:hAnsi="Times New Roman" w:cs="Times New Roman"/>
          <w:lang w:val="en-GB"/>
        </w:rPr>
        <w:t xml:space="preserve"> </w:t>
      </w:r>
      <w:r w:rsidRPr="006D2720">
        <w:rPr>
          <w:rFonts w:ascii="Times New Roman" w:hAnsi="Times New Roman" w:cs="Times New Roman"/>
          <w:i/>
          <w:iCs/>
          <w:lang w:val="en-GB"/>
        </w:rPr>
        <w:t>may</w:t>
      </w:r>
      <w:r w:rsidRPr="006D2720">
        <w:rPr>
          <w:rFonts w:ascii="Times New Roman" w:hAnsi="Times New Roman" w:cs="Times New Roman"/>
          <w:lang w:val="en-GB"/>
        </w:rPr>
        <w:t xml:space="preserve"> order that notice be given to </w:t>
      </w:r>
      <w:r w:rsidR="00D21B88" w:rsidRPr="006D2720">
        <w:rPr>
          <w:rFonts w:ascii="Times New Roman" w:hAnsi="Times New Roman" w:cs="Times New Roman"/>
          <w:lang w:val="en-GB"/>
        </w:rPr>
        <w:t>that individual</w:t>
      </w:r>
      <w:r w:rsidR="0064050C" w:rsidRPr="006D2720">
        <w:rPr>
          <w:rFonts w:ascii="Times New Roman" w:hAnsi="Times New Roman" w:cs="Times New Roman"/>
          <w:lang w:val="en-GB"/>
        </w:rPr>
        <w:t>.</w:t>
      </w:r>
      <w:r w:rsidR="0064050C" w:rsidRPr="006D2720">
        <w:rPr>
          <w:rFonts w:ascii="Times New Roman" w:hAnsi="Times New Roman" w:cs="Times New Roman"/>
          <w:vertAlign w:val="superscript"/>
          <w:lang w:val="en-GB"/>
        </w:rPr>
        <w:footnoteReference w:id="336"/>
      </w:r>
      <w:r w:rsidR="0064050C" w:rsidRPr="006D2720">
        <w:rPr>
          <w:rFonts w:ascii="Times New Roman" w:hAnsi="Times New Roman" w:cs="Times New Roman"/>
          <w:lang w:val="en-GB"/>
        </w:rPr>
        <w:t xml:space="preserve"> </w:t>
      </w:r>
    </w:p>
    <w:p w14:paraId="6AD019A6" w14:textId="40EF6C7F" w:rsidR="0064050C" w:rsidRPr="006D2720" w:rsidRDefault="00F663F6" w:rsidP="0066337D">
      <w:pPr>
        <w:pStyle w:val="Heading3"/>
        <w:rPr>
          <w:rFonts w:ascii="Times New Roman" w:hAnsi="Times New Roman" w:cs="Times New Roman"/>
          <w:lang w:val="en-GB"/>
        </w:rPr>
      </w:pPr>
      <w:r w:rsidRPr="006D2720">
        <w:rPr>
          <w:rFonts w:ascii="Times New Roman" w:hAnsi="Times New Roman" w:cs="Times New Roman"/>
          <w:lang w:val="en-GB"/>
        </w:rPr>
        <w:t>In these circumstances, p</w:t>
      </w:r>
      <w:r w:rsidR="002F4A12" w:rsidRPr="006D2720">
        <w:rPr>
          <w:rFonts w:ascii="Times New Roman" w:hAnsi="Times New Roman" w:cs="Times New Roman"/>
          <w:lang w:val="en-GB"/>
        </w:rPr>
        <w:t>rivacy is not always protected through judicial intervention</w:t>
      </w:r>
      <w:r w:rsidR="000558EC" w:rsidRPr="006D2720">
        <w:rPr>
          <w:rFonts w:ascii="Times New Roman" w:hAnsi="Times New Roman" w:cs="Times New Roman"/>
          <w:lang w:val="en-GB"/>
        </w:rPr>
        <w:t>. Rather,</w:t>
      </w:r>
      <w:r w:rsidR="002F4A12" w:rsidRPr="006D2720">
        <w:rPr>
          <w:rFonts w:ascii="Times New Roman" w:hAnsi="Times New Roman" w:cs="Times New Roman"/>
          <w:lang w:val="en-GB"/>
        </w:rPr>
        <w:t xml:space="preserve"> </w:t>
      </w:r>
      <w:r w:rsidR="000558EC" w:rsidRPr="006D2720">
        <w:rPr>
          <w:rFonts w:ascii="Times New Roman" w:hAnsi="Times New Roman" w:cs="Times New Roman"/>
          <w:lang w:val="en-GB"/>
        </w:rPr>
        <w:t xml:space="preserve">privacy </w:t>
      </w:r>
      <w:r w:rsidR="002F4A12" w:rsidRPr="006D2720">
        <w:rPr>
          <w:rFonts w:ascii="Times New Roman" w:hAnsi="Times New Roman" w:cs="Times New Roman"/>
          <w:lang w:val="en-GB"/>
        </w:rPr>
        <w:t xml:space="preserve">merely acts as a precondition before the </w:t>
      </w:r>
      <w:r w:rsidR="00C15D27" w:rsidRPr="006D2720">
        <w:rPr>
          <w:rFonts w:ascii="Times New Roman" w:hAnsi="Times New Roman" w:cs="Times New Roman"/>
          <w:lang w:val="en-GB"/>
        </w:rPr>
        <w:t>Chief M</w:t>
      </w:r>
      <w:r w:rsidR="002F4A12" w:rsidRPr="006D2720">
        <w:rPr>
          <w:rFonts w:ascii="Times New Roman" w:hAnsi="Times New Roman" w:cs="Times New Roman"/>
          <w:lang w:val="en-GB"/>
        </w:rPr>
        <w:t xml:space="preserve">agistrate can make an order requiring notice to be given. </w:t>
      </w:r>
      <w:r w:rsidR="00977DA4" w:rsidRPr="006D2720">
        <w:rPr>
          <w:rFonts w:ascii="Times New Roman" w:hAnsi="Times New Roman" w:cs="Times New Roman"/>
          <w:lang w:val="en-GB"/>
        </w:rPr>
        <w:t xml:space="preserve">Even if it was an unnecessary privacy </w:t>
      </w:r>
      <w:r w:rsidR="00F321FF" w:rsidRPr="006D2720">
        <w:rPr>
          <w:rFonts w:ascii="Times New Roman" w:hAnsi="Times New Roman" w:cs="Times New Roman"/>
          <w:lang w:val="en-GB"/>
        </w:rPr>
        <w:t>interference</w:t>
      </w:r>
      <w:r w:rsidR="00977DA4" w:rsidRPr="006D2720">
        <w:rPr>
          <w:rFonts w:ascii="Times New Roman" w:hAnsi="Times New Roman" w:cs="Times New Roman"/>
          <w:lang w:val="en-GB"/>
        </w:rPr>
        <w:t>, t</w:t>
      </w:r>
      <w:r w:rsidR="0050319F" w:rsidRPr="006D2720">
        <w:rPr>
          <w:rFonts w:ascii="Times New Roman" w:hAnsi="Times New Roman" w:cs="Times New Roman"/>
          <w:lang w:val="en-GB"/>
        </w:rPr>
        <w:t>here is no compulsion for notice to be ordered</w:t>
      </w:r>
      <w:r w:rsidR="00977DA4" w:rsidRPr="006D2720">
        <w:rPr>
          <w:rFonts w:ascii="Times New Roman" w:hAnsi="Times New Roman" w:cs="Times New Roman"/>
          <w:lang w:val="en-GB"/>
        </w:rPr>
        <w:t xml:space="preserve">. </w:t>
      </w:r>
      <w:r w:rsidR="006D3B95" w:rsidRPr="006D2720">
        <w:rPr>
          <w:rFonts w:ascii="Times New Roman" w:hAnsi="Times New Roman" w:cs="Times New Roman"/>
          <w:lang w:val="en-GB"/>
        </w:rPr>
        <w:t>Further, even if no notice is provided, i</w:t>
      </w:r>
      <w:r w:rsidR="0050319F" w:rsidRPr="006D2720">
        <w:rPr>
          <w:rFonts w:ascii="Times New Roman" w:hAnsi="Times New Roman" w:cs="Times New Roman"/>
          <w:lang w:val="en-GB"/>
        </w:rPr>
        <w:t xml:space="preserve">nformation obtained in these circumstances is </w:t>
      </w:r>
      <w:r w:rsidR="006D3B95" w:rsidRPr="006D2720">
        <w:rPr>
          <w:rFonts w:ascii="Times New Roman" w:hAnsi="Times New Roman" w:cs="Times New Roman"/>
          <w:lang w:val="en-GB"/>
        </w:rPr>
        <w:t xml:space="preserve">still </w:t>
      </w:r>
      <w:r w:rsidR="009A6590" w:rsidRPr="006D2720">
        <w:rPr>
          <w:rFonts w:ascii="Times New Roman" w:hAnsi="Times New Roman" w:cs="Times New Roman"/>
          <w:lang w:val="en-GB"/>
        </w:rPr>
        <w:t>lawfully obtained</w:t>
      </w:r>
      <w:r w:rsidR="0050319F" w:rsidRPr="006D2720">
        <w:rPr>
          <w:rFonts w:ascii="Times New Roman" w:hAnsi="Times New Roman" w:cs="Times New Roman"/>
          <w:lang w:val="en-GB"/>
        </w:rPr>
        <w:t>.</w:t>
      </w:r>
    </w:p>
    <w:p w14:paraId="48349475" w14:textId="3C220E17" w:rsidR="0064050C" w:rsidRPr="006D2720" w:rsidRDefault="0064050C" w:rsidP="0066337D">
      <w:pPr>
        <w:pStyle w:val="Heading3"/>
        <w:rPr>
          <w:rFonts w:ascii="Times New Roman" w:hAnsi="Times New Roman" w:cs="Times New Roman"/>
          <w:lang w:val="en-GB"/>
        </w:rPr>
      </w:pPr>
      <w:bookmarkStart w:id="378" w:name="_Toc91536747"/>
      <w:bookmarkEnd w:id="378"/>
      <w:r w:rsidRPr="006D2720">
        <w:rPr>
          <w:rFonts w:ascii="Times New Roman" w:hAnsi="Times New Roman" w:cs="Times New Roman"/>
          <w:lang w:val="en-GB"/>
        </w:rPr>
        <w:t xml:space="preserve">The </w:t>
      </w:r>
      <w:r w:rsidR="0050319F" w:rsidRPr="006D2720">
        <w:rPr>
          <w:rFonts w:ascii="Times New Roman" w:hAnsi="Times New Roman" w:cs="Times New Roman"/>
          <w:i/>
          <w:iCs/>
          <w:lang w:val="en-GB"/>
        </w:rPr>
        <w:t xml:space="preserve">Listening Devices </w:t>
      </w:r>
      <w:r w:rsidRPr="006D2720">
        <w:rPr>
          <w:rFonts w:ascii="Times New Roman" w:hAnsi="Times New Roman" w:cs="Times New Roman"/>
          <w:i/>
          <w:iCs/>
          <w:lang w:val="en-GB"/>
        </w:rPr>
        <w:t>Act</w:t>
      </w:r>
      <w:r w:rsidR="00C15D27" w:rsidRPr="006D2720">
        <w:rPr>
          <w:rFonts w:ascii="Times New Roman" w:hAnsi="Times New Roman" w:cs="Times New Roman"/>
          <w:i/>
          <w:iCs/>
          <w:lang w:val="en-GB"/>
        </w:rPr>
        <w:t xml:space="preserve"> 1991 </w:t>
      </w:r>
      <w:r w:rsidR="00C15D27" w:rsidRPr="006D2720">
        <w:rPr>
          <w:rFonts w:ascii="Times New Roman" w:hAnsi="Times New Roman" w:cs="Times New Roman"/>
          <w:lang w:val="en-GB"/>
        </w:rPr>
        <w:t>(Tas)</w:t>
      </w:r>
      <w:r w:rsidRPr="006D2720">
        <w:rPr>
          <w:rFonts w:ascii="Times New Roman" w:hAnsi="Times New Roman" w:cs="Times New Roman"/>
          <w:lang w:val="en-GB"/>
        </w:rPr>
        <w:t xml:space="preserve"> </w:t>
      </w:r>
      <w:r w:rsidR="0050319F" w:rsidRPr="006D2720">
        <w:rPr>
          <w:rFonts w:ascii="Times New Roman" w:hAnsi="Times New Roman" w:cs="Times New Roman"/>
          <w:lang w:val="en-GB"/>
        </w:rPr>
        <w:t xml:space="preserve">also </w:t>
      </w:r>
      <w:r w:rsidRPr="006D2720">
        <w:rPr>
          <w:rFonts w:ascii="Times New Roman" w:hAnsi="Times New Roman" w:cs="Times New Roman"/>
          <w:lang w:val="en-GB"/>
        </w:rPr>
        <w:t xml:space="preserve">refers to </w:t>
      </w:r>
      <w:r w:rsidR="00210AC5" w:rsidRPr="006D2720">
        <w:rPr>
          <w:rFonts w:ascii="Times New Roman" w:hAnsi="Times New Roman" w:cs="Times New Roman"/>
          <w:lang w:val="en-GB"/>
        </w:rPr>
        <w:t>‘</w:t>
      </w:r>
      <w:r w:rsidRPr="006D2720">
        <w:rPr>
          <w:rFonts w:ascii="Times New Roman" w:hAnsi="Times New Roman" w:cs="Times New Roman"/>
          <w:lang w:val="en-GB"/>
        </w:rPr>
        <w:t>privacy</w:t>
      </w:r>
      <w:r w:rsidR="00210AC5" w:rsidRPr="006D2720">
        <w:rPr>
          <w:rFonts w:ascii="Times New Roman" w:hAnsi="Times New Roman" w:cs="Times New Roman"/>
          <w:lang w:val="en-GB"/>
        </w:rPr>
        <w:t>’</w:t>
      </w:r>
      <w:r w:rsidRPr="006D2720">
        <w:rPr>
          <w:rFonts w:ascii="Times New Roman" w:hAnsi="Times New Roman" w:cs="Times New Roman"/>
          <w:lang w:val="en-GB"/>
        </w:rPr>
        <w:t xml:space="preserve"> in the context of </w:t>
      </w:r>
      <w:r w:rsidR="00C15D27" w:rsidRPr="006D2720">
        <w:rPr>
          <w:rFonts w:ascii="Times New Roman" w:hAnsi="Times New Roman" w:cs="Times New Roman"/>
          <w:lang w:val="en-GB"/>
        </w:rPr>
        <w:t xml:space="preserve">courts </w:t>
      </w:r>
      <w:r w:rsidRPr="006D2720">
        <w:rPr>
          <w:rFonts w:ascii="Times New Roman" w:hAnsi="Times New Roman" w:cs="Times New Roman"/>
          <w:lang w:val="en-GB"/>
        </w:rPr>
        <w:t xml:space="preserve">issuing warrants </w:t>
      </w:r>
      <w:r w:rsidR="00210AC5" w:rsidRPr="006D2720">
        <w:rPr>
          <w:rFonts w:ascii="Times New Roman" w:hAnsi="Times New Roman" w:cs="Times New Roman"/>
          <w:lang w:val="en-GB"/>
        </w:rPr>
        <w:t>for law enforcement</w:t>
      </w:r>
      <w:r w:rsidR="00913D69" w:rsidRPr="006D2720">
        <w:rPr>
          <w:rFonts w:ascii="Times New Roman" w:hAnsi="Times New Roman" w:cs="Times New Roman"/>
          <w:lang w:val="en-GB"/>
        </w:rPr>
        <w:t xml:space="preserve"> to use listening devices</w:t>
      </w:r>
      <w:r w:rsidRPr="006D2720">
        <w:rPr>
          <w:rFonts w:ascii="Times New Roman" w:hAnsi="Times New Roman" w:cs="Times New Roman"/>
          <w:lang w:val="en-GB"/>
        </w:rPr>
        <w:t xml:space="preserve">. When determining whether to issue a warrant, </w:t>
      </w:r>
      <w:r w:rsidR="00C15D27" w:rsidRPr="006D2720">
        <w:rPr>
          <w:rFonts w:ascii="Times New Roman" w:hAnsi="Times New Roman" w:cs="Times New Roman"/>
          <w:lang w:val="en-GB"/>
        </w:rPr>
        <w:t xml:space="preserve">a </w:t>
      </w:r>
      <w:r w:rsidRPr="006D2720">
        <w:rPr>
          <w:rFonts w:ascii="Times New Roman" w:hAnsi="Times New Roman" w:cs="Times New Roman"/>
          <w:lang w:val="en-GB"/>
        </w:rPr>
        <w:t xml:space="preserve">magistrate must have regard to several factors, including the extent </w:t>
      </w:r>
      <w:r w:rsidR="00DF0336" w:rsidRPr="006D2720">
        <w:rPr>
          <w:rFonts w:ascii="Times New Roman" w:hAnsi="Times New Roman" w:cs="Times New Roman"/>
          <w:lang w:val="en-GB"/>
        </w:rPr>
        <w:t xml:space="preserve">to </w:t>
      </w:r>
      <w:r w:rsidRPr="006D2720">
        <w:rPr>
          <w:rFonts w:ascii="Times New Roman" w:hAnsi="Times New Roman" w:cs="Times New Roman"/>
          <w:lang w:val="en-GB"/>
        </w:rPr>
        <w:t>which the privacy of any person is likely to be affected by the surveillance.</w:t>
      </w:r>
      <w:r w:rsidRPr="006D2720">
        <w:rPr>
          <w:rFonts w:ascii="Times New Roman" w:hAnsi="Times New Roman" w:cs="Times New Roman"/>
          <w:vertAlign w:val="superscript"/>
          <w:lang w:val="en-GB"/>
        </w:rPr>
        <w:footnoteReference w:id="337"/>
      </w:r>
      <w:r w:rsidRPr="006D2720">
        <w:rPr>
          <w:rFonts w:ascii="Times New Roman" w:hAnsi="Times New Roman" w:cs="Times New Roman"/>
          <w:lang w:val="en-GB"/>
        </w:rPr>
        <w:t xml:space="preserve"> </w:t>
      </w:r>
      <w:r w:rsidR="00210AC5" w:rsidRPr="006D2720">
        <w:rPr>
          <w:rFonts w:ascii="Times New Roman" w:hAnsi="Times New Roman" w:cs="Times New Roman"/>
          <w:lang w:val="en-GB"/>
        </w:rPr>
        <w:t xml:space="preserve">The Supreme Court has reiterated that this </w:t>
      </w:r>
      <w:r w:rsidR="00913D69" w:rsidRPr="006D2720">
        <w:rPr>
          <w:rFonts w:ascii="Times New Roman" w:hAnsi="Times New Roman" w:cs="Times New Roman"/>
          <w:lang w:val="en-GB"/>
        </w:rPr>
        <w:t xml:space="preserve">factor </w:t>
      </w:r>
      <w:r w:rsidR="00210AC5" w:rsidRPr="006D2720">
        <w:rPr>
          <w:rFonts w:ascii="Times New Roman" w:hAnsi="Times New Roman" w:cs="Times New Roman"/>
          <w:lang w:val="en-GB"/>
        </w:rPr>
        <w:t>must be considered.</w:t>
      </w:r>
      <w:r w:rsidR="00210AC5" w:rsidRPr="006D2720">
        <w:rPr>
          <w:rFonts w:ascii="Times New Roman" w:hAnsi="Times New Roman" w:cs="Times New Roman"/>
          <w:vertAlign w:val="superscript"/>
          <w:lang w:val="en-GB"/>
        </w:rPr>
        <w:footnoteReference w:id="338"/>
      </w:r>
      <w:r w:rsidR="00210AC5" w:rsidRPr="006D2720">
        <w:rPr>
          <w:rFonts w:ascii="Times New Roman" w:hAnsi="Times New Roman" w:cs="Times New Roman"/>
          <w:lang w:val="en-GB"/>
        </w:rPr>
        <w:t xml:space="preserve"> </w:t>
      </w:r>
      <w:r w:rsidR="00D559BA" w:rsidRPr="006D2720">
        <w:rPr>
          <w:rFonts w:ascii="Times New Roman" w:hAnsi="Times New Roman" w:cs="Times New Roman"/>
          <w:lang w:val="en-GB"/>
        </w:rPr>
        <w:t>Other</w:t>
      </w:r>
      <w:r w:rsidRPr="006D2720">
        <w:rPr>
          <w:rFonts w:ascii="Times New Roman" w:hAnsi="Times New Roman" w:cs="Times New Roman"/>
          <w:lang w:val="en-GB"/>
        </w:rPr>
        <w:t xml:space="preserve"> factors </w:t>
      </w:r>
      <w:r w:rsidR="00913D69" w:rsidRPr="006D2720">
        <w:rPr>
          <w:rFonts w:ascii="Times New Roman" w:hAnsi="Times New Roman" w:cs="Times New Roman"/>
          <w:lang w:val="en-GB"/>
        </w:rPr>
        <w:t xml:space="preserve">to be </w:t>
      </w:r>
      <w:r w:rsidR="00DF0336" w:rsidRPr="006D2720">
        <w:rPr>
          <w:rFonts w:ascii="Times New Roman" w:hAnsi="Times New Roman" w:cs="Times New Roman"/>
          <w:lang w:val="en-GB"/>
        </w:rPr>
        <w:t>taken into account</w:t>
      </w:r>
      <w:r w:rsidR="00913D69" w:rsidRPr="006D2720">
        <w:rPr>
          <w:rFonts w:ascii="Times New Roman" w:hAnsi="Times New Roman" w:cs="Times New Roman"/>
          <w:lang w:val="en-GB"/>
        </w:rPr>
        <w:t xml:space="preserve">, and which weigh </w:t>
      </w:r>
      <w:r w:rsidRPr="006D2720">
        <w:rPr>
          <w:rFonts w:ascii="Times New Roman" w:hAnsi="Times New Roman" w:cs="Times New Roman"/>
          <w:lang w:val="en-GB"/>
        </w:rPr>
        <w:t xml:space="preserve">against </w:t>
      </w:r>
      <w:r w:rsidR="00210AC5" w:rsidRPr="006D2720">
        <w:rPr>
          <w:rFonts w:ascii="Times New Roman" w:hAnsi="Times New Roman" w:cs="Times New Roman"/>
          <w:lang w:val="en-GB"/>
        </w:rPr>
        <w:t xml:space="preserve">the privacy </w:t>
      </w:r>
      <w:r w:rsidR="00DF0336" w:rsidRPr="006D2720">
        <w:rPr>
          <w:rFonts w:ascii="Times New Roman" w:hAnsi="Times New Roman" w:cs="Times New Roman"/>
          <w:lang w:val="en-GB"/>
        </w:rPr>
        <w:t>factor</w:t>
      </w:r>
      <w:r w:rsidR="003B0329" w:rsidRPr="006D2720">
        <w:rPr>
          <w:rFonts w:ascii="Times New Roman" w:hAnsi="Times New Roman" w:cs="Times New Roman"/>
          <w:lang w:val="en-GB"/>
        </w:rPr>
        <w:t>,</w:t>
      </w:r>
      <w:r w:rsidRPr="006D2720">
        <w:rPr>
          <w:rFonts w:ascii="Times New Roman" w:hAnsi="Times New Roman" w:cs="Times New Roman"/>
          <w:lang w:val="en-GB"/>
        </w:rPr>
        <w:t xml:space="preserve"> include the evidentiary value of the evidence to be obtained and the nature of the offence.</w:t>
      </w:r>
    </w:p>
    <w:p w14:paraId="1E104503" w14:textId="7B9BED09" w:rsidR="004A528B" w:rsidRPr="006D2720" w:rsidRDefault="004A528B" w:rsidP="004A528B">
      <w:pPr>
        <w:pStyle w:val="Heading3"/>
        <w:rPr>
          <w:rFonts w:ascii="Times New Roman" w:hAnsi="Times New Roman" w:cs="Times New Roman"/>
          <w:lang w:val="en-GB"/>
        </w:rPr>
      </w:pPr>
      <w:r w:rsidRPr="006D2720">
        <w:rPr>
          <w:rFonts w:ascii="Times New Roman" w:hAnsi="Times New Roman" w:cs="Times New Roman"/>
          <w:lang w:val="en-GB"/>
        </w:rPr>
        <w:t xml:space="preserve">It should be noted that the </w:t>
      </w:r>
      <w:r w:rsidRPr="006D2720">
        <w:rPr>
          <w:rFonts w:ascii="Times New Roman" w:hAnsi="Times New Roman" w:cs="Times New Roman"/>
          <w:i/>
          <w:lang w:val="en-GB"/>
        </w:rPr>
        <w:t xml:space="preserve">Police Powers (Surveillance Devices) Act 2006 </w:t>
      </w:r>
      <w:r w:rsidRPr="006D2720">
        <w:rPr>
          <w:rFonts w:ascii="Times New Roman" w:hAnsi="Times New Roman" w:cs="Times New Roman"/>
          <w:iCs/>
          <w:lang w:val="en-GB"/>
        </w:rPr>
        <w:t>(Tas)</w:t>
      </w:r>
      <w:r w:rsidRPr="006D2720">
        <w:rPr>
          <w:rFonts w:ascii="Times New Roman" w:hAnsi="Times New Roman" w:cs="Times New Roman"/>
          <w:lang w:val="en-GB"/>
        </w:rPr>
        <w:t xml:space="preserve"> further authorises the issuing of police surveillance warrants by the courts, in circumstances where there is a reasonable suspicion or belief of an offence.</w:t>
      </w:r>
      <w:r w:rsidRPr="006D2720">
        <w:rPr>
          <w:rStyle w:val="FootnoteReference"/>
          <w:rFonts w:ascii="Times New Roman" w:hAnsi="Times New Roman" w:cs="Times New Roman"/>
          <w:lang w:val="en-GB"/>
        </w:rPr>
        <w:footnoteReference w:id="339"/>
      </w:r>
      <w:r w:rsidRPr="006D2720">
        <w:rPr>
          <w:rFonts w:ascii="Times New Roman" w:hAnsi="Times New Roman" w:cs="Times New Roman"/>
          <w:lang w:val="en-GB"/>
        </w:rPr>
        <w:t xml:space="preserve"> Senior officers may also authorise use of a surveillance device in emergency circumstances.</w:t>
      </w:r>
      <w:r w:rsidRPr="006D2720">
        <w:rPr>
          <w:rStyle w:val="FootnoteReference"/>
          <w:rFonts w:ascii="Times New Roman" w:hAnsi="Times New Roman" w:cs="Times New Roman"/>
          <w:lang w:val="en-GB"/>
        </w:rPr>
        <w:footnoteReference w:id="340"/>
      </w:r>
      <w:r w:rsidRPr="006D2720">
        <w:rPr>
          <w:rFonts w:ascii="Times New Roman" w:hAnsi="Times New Roman" w:cs="Times New Roman"/>
          <w:lang w:val="en-GB"/>
        </w:rPr>
        <w:t xml:space="preserve"> Amendments introduced in 2018 also permit the use of a personal camera by on-duty police officers to record private conversations.</w:t>
      </w:r>
      <w:r w:rsidRPr="006D2720">
        <w:rPr>
          <w:rStyle w:val="FootnoteReference"/>
          <w:rFonts w:ascii="Times New Roman" w:hAnsi="Times New Roman" w:cs="Times New Roman"/>
          <w:lang w:val="en-GB"/>
        </w:rPr>
        <w:footnoteReference w:id="341"/>
      </w:r>
      <w:r w:rsidRPr="006D2720">
        <w:rPr>
          <w:rFonts w:ascii="Times New Roman" w:hAnsi="Times New Roman" w:cs="Times New Roman"/>
          <w:lang w:val="en-GB"/>
        </w:rPr>
        <w:t xml:space="preserve"> To this extent, this Act permits law enforcement officers to interfere with privacy. </w:t>
      </w:r>
    </w:p>
    <w:p w14:paraId="7134377D" w14:textId="29F5F758" w:rsidR="004A528B" w:rsidRPr="006D2720" w:rsidRDefault="004A528B" w:rsidP="004A528B">
      <w:pPr>
        <w:pStyle w:val="Heading3"/>
        <w:rPr>
          <w:rFonts w:ascii="Times New Roman" w:hAnsi="Times New Roman" w:cs="Times New Roman"/>
          <w:lang w:val="en-GB"/>
        </w:rPr>
      </w:pPr>
      <w:r w:rsidRPr="006D2720">
        <w:rPr>
          <w:rFonts w:ascii="Times New Roman" w:hAnsi="Times New Roman" w:cs="Times New Roman"/>
          <w:lang w:val="en-GB"/>
        </w:rPr>
        <w:t xml:space="preserve">However, </w:t>
      </w:r>
      <w:r w:rsidR="00C41DC1" w:rsidRPr="006D2720">
        <w:rPr>
          <w:rFonts w:ascii="Times New Roman" w:hAnsi="Times New Roman" w:cs="Times New Roman"/>
          <w:lang w:val="en-GB"/>
        </w:rPr>
        <w:t xml:space="preserve">under this Act, </w:t>
      </w:r>
      <w:r w:rsidRPr="006D2720">
        <w:rPr>
          <w:rFonts w:ascii="Times New Roman" w:hAnsi="Times New Roman" w:cs="Times New Roman"/>
          <w:lang w:val="en-GB"/>
        </w:rPr>
        <w:t>the power to undertake surveillance under warrants is subject to monitoring, review</w:t>
      </w:r>
      <w:r w:rsidR="002E5DF5" w:rsidRPr="006D2720">
        <w:rPr>
          <w:rFonts w:ascii="Times New Roman" w:hAnsi="Times New Roman" w:cs="Times New Roman"/>
          <w:lang w:val="en-GB"/>
        </w:rPr>
        <w:t>,</w:t>
      </w:r>
      <w:r w:rsidRPr="006D2720">
        <w:rPr>
          <w:rFonts w:ascii="Times New Roman" w:hAnsi="Times New Roman" w:cs="Times New Roman"/>
          <w:lang w:val="en-GB"/>
        </w:rPr>
        <w:t xml:space="preserve"> and inspection.</w:t>
      </w:r>
      <w:r w:rsidRPr="006D2720">
        <w:rPr>
          <w:rStyle w:val="FootnoteReference"/>
          <w:rFonts w:ascii="Times New Roman" w:hAnsi="Times New Roman" w:cs="Times New Roman"/>
          <w:lang w:val="en-GB"/>
        </w:rPr>
        <w:footnoteReference w:id="342"/>
      </w:r>
      <w:r w:rsidRPr="006D2720">
        <w:rPr>
          <w:rFonts w:ascii="Times New Roman" w:hAnsi="Times New Roman" w:cs="Times New Roman"/>
          <w:lang w:val="en-GB"/>
        </w:rPr>
        <w:t xml:space="preserve"> Further, the Act limits how the recorded information can be used. Specifically, it makes it an offence to use information obtained through surveillance under th</w:t>
      </w:r>
      <w:r w:rsidR="00C41DC1" w:rsidRPr="006D2720">
        <w:rPr>
          <w:rFonts w:ascii="Times New Roman" w:hAnsi="Times New Roman" w:cs="Times New Roman"/>
          <w:lang w:val="en-GB"/>
        </w:rPr>
        <w:t>e</w:t>
      </w:r>
      <w:r w:rsidRPr="006D2720">
        <w:rPr>
          <w:rFonts w:ascii="Times New Roman" w:hAnsi="Times New Roman" w:cs="Times New Roman"/>
          <w:lang w:val="en-GB"/>
        </w:rPr>
        <w:t xml:space="preserve"> Act, or information relating to warrants or authorisations for surveillance, unless that use is for various specific purposes </w:t>
      </w:r>
      <w:r w:rsidR="00C41DC1" w:rsidRPr="006D2720">
        <w:rPr>
          <w:rFonts w:ascii="Times New Roman" w:hAnsi="Times New Roman" w:cs="Times New Roman"/>
          <w:lang w:val="en-GB"/>
        </w:rPr>
        <w:t>(</w:t>
      </w:r>
      <w:r w:rsidRPr="006D2720">
        <w:rPr>
          <w:rFonts w:ascii="Times New Roman" w:hAnsi="Times New Roman" w:cs="Times New Roman"/>
          <w:lang w:val="en-GB"/>
        </w:rPr>
        <w:t>listed in the Act</w:t>
      </w:r>
      <w:r w:rsidR="00C41DC1" w:rsidRPr="006D2720">
        <w:rPr>
          <w:rFonts w:ascii="Times New Roman" w:hAnsi="Times New Roman" w:cs="Times New Roman"/>
          <w:lang w:val="en-GB"/>
        </w:rPr>
        <w:t>)</w:t>
      </w:r>
      <w:r w:rsidRPr="006D2720">
        <w:rPr>
          <w:rFonts w:ascii="Times New Roman" w:hAnsi="Times New Roman" w:cs="Times New Roman"/>
          <w:lang w:val="en-GB"/>
        </w:rPr>
        <w:t>.</w:t>
      </w:r>
      <w:r w:rsidRPr="006D2720">
        <w:rPr>
          <w:rFonts w:ascii="Times New Roman" w:hAnsi="Times New Roman" w:cs="Times New Roman"/>
          <w:vertAlign w:val="superscript"/>
          <w:lang w:val="en-GB"/>
        </w:rPr>
        <w:footnoteReference w:id="343"/>
      </w:r>
    </w:p>
    <w:p w14:paraId="20C7305C" w14:textId="1C3181E9" w:rsidR="004A528B" w:rsidRPr="006D2720" w:rsidRDefault="004A528B" w:rsidP="00A13273">
      <w:pPr>
        <w:rPr>
          <w:rFonts w:ascii="Times New Roman" w:hAnsi="Times New Roman" w:cs="Times New Roman"/>
          <w:b/>
          <w:lang w:val="en-GB"/>
        </w:rPr>
      </w:pPr>
      <w:r w:rsidRPr="006D2720">
        <w:rPr>
          <w:rFonts w:ascii="Times New Roman" w:hAnsi="Times New Roman" w:cs="Times New Roman"/>
          <w:b/>
          <w:bCs/>
          <w:i/>
          <w:lang w:val="en-GB"/>
        </w:rPr>
        <w:t xml:space="preserve">Police Offences Act 1935 </w:t>
      </w:r>
      <w:r w:rsidRPr="006D2720">
        <w:rPr>
          <w:rFonts w:ascii="Times New Roman" w:hAnsi="Times New Roman" w:cs="Times New Roman"/>
          <w:b/>
          <w:bCs/>
          <w:iCs/>
          <w:lang w:val="en-GB"/>
        </w:rPr>
        <w:t>(Tas)</w:t>
      </w:r>
    </w:p>
    <w:p w14:paraId="71604B10" w14:textId="060BD339" w:rsidR="00665D37" w:rsidRPr="006D2720" w:rsidRDefault="0064050C" w:rsidP="000D2C84">
      <w:pPr>
        <w:pStyle w:val="Heading3"/>
        <w:rPr>
          <w:rFonts w:ascii="Times New Roman" w:hAnsi="Times New Roman" w:cs="Times New Roman"/>
          <w:lang w:val="en-GB"/>
        </w:rPr>
      </w:pPr>
      <w:r w:rsidRPr="006D2720">
        <w:rPr>
          <w:rFonts w:ascii="Times New Roman" w:hAnsi="Times New Roman" w:cs="Times New Roman"/>
          <w:lang w:val="en-GB"/>
        </w:rPr>
        <w:t xml:space="preserve">The </w:t>
      </w:r>
      <w:r w:rsidRPr="006D2720">
        <w:rPr>
          <w:rFonts w:ascii="Times New Roman" w:hAnsi="Times New Roman" w:cs="Times New Roman"/>
          <w:i/>
          <w:lang w:val="en-GB"/>
        </w:rPr>
        <w:t xml:space="preserve">Police Offences Act 1935 </w:t>
      </w:r>
      <w:r w:rsidRPr="006D2720">
        <w:rPr>
          <w:rFonts w:ascii="Times New Roman" w:hAnsi="Times New Roman" w:cs="Times New Roman"/>
          <w:iCs/>
          <w:lang w:val="en-GB"/>
        </w:rPr>
        <w:t>(Tas)</w:t>
      </w:r>
      <w:r w:rsidRPr="006D2720">
        <w:rPr>
          <w:rFonts w:ascii="Times New Roman" w:hAnsi="Times New Roman" w:cs="Times New Roman"/>
          <w:lang w:val="en-GB"/>
        </w:rPr>
        <w:t xml:space="preserve"> provides that it is </w:t>
      </w:r>
      <w:r w:rsidR="00A72A52" w:rsidRPr="006D2720">
        <w:rPr>
          <w:rFonts w:ascii="Times New Roman" w:hAnsi="Times New Roman" w:cs="Times New Roman"/>
          <w:lang w:val="en-GB"/>
        </w:rPr>
        <w:t xml:space="preserve">an </w:t>
      </w:r>
      <w:r w:rsidRPr="006D2720">
        <w:rPr>
          <w:rFonts w:ascii="Times New Roman" w:hAnsi="Times New Roman" w:cs="Times New Roman"/>
          <w:lang w:val="en-GB"/>
        </w:rPr>
        <w:t>offence to observe or visually record another person in breach of privacy.</w:t>
      </w:r>
      <w:r w:rsidRPr="006D2720">
        <w:rPr>
          <w:rFonts w:ascii="Times New Roman" w:hAnsi="Times New Roman" w:cs="Times New Roman"/>
          <w:vertAlign w:val="superscript"/>
          <w:lang w:val="en-GB"/>
        </w:rPr>
        <w:footnoteReference w:id="344"/>
      </w:r>
      <w:r w:rsidRPr="006D2720">
        <w:rPr>
          <w:rFonts w:ascii="Times New Roman" w:hAnsi="Times New Roman" w:cs="Times New Roman"/>
          <w:lang w:val="en-GB"/>
        </w:rPr>
        <w:t xml:space="preserve"> This is another general prohibition on surveillance</w:t>
      </w:r>
      <w:r w:rsidR="00A72A52" w:rsidRPr="006D2720">
        <w:rPr>
          <w:rFonts w:ascii="Times New Roman" w:hAnsi="Times New Roman" w:cs="Times New Roman"/>
          <w:lang w:val="en-GB"/>
        </w:rPr>
        <w:t>—</w:t>
      </w:r>
      <w:r w:rsidRPr="006D2720">
        <w:rPr>
          <w:rFonts w:ascii="Times New Roman" w:hAnsi="Times New Roman" w:cs="Times New Roman"/>
          <w:lang w:val="en-GB"/>
        </w:rPr>
        <w:t>in this case</w:t>
      </w:r>
      <w:r w:rsidR="00A72A52" w:rsidRPr="006D2720">
        <w:rPr>
          <w:rFonts w:ascii="Times New Roman" w:hAnsi="Times New Roman" w:cs="Times New Roman"/>
          <w:lang w:val="en-GB"/>
        </w:rPr>
        <w:t>,</w:t>
      </w:r>
      <w:r w:rsidRPr="006D2720">
        <w:rPr>
          <w:rFonts w:ascii="Times New Roman" w:hAnsi="Times New Roman" w:cs="Times New Roman"/>
          <w:lang w:val="en-GB"/>
        </w:rPr>
        <w:t xml:space="preserve"> visual observation</w:t>
      </w:r>
      <w:r w:rsidR="00A72A52" w:rsidRPr="006D2720">
        <w:rPr>
          <w:rFonts w:ascii="Times New Roman" w:hAnsi="Times New Roman" w:cs="Times New Roman"/>
          <w:lang w:val="en-GB"/>
        </w:rPr>
        <w:t xml:space="preserve"> </w:t>
      </w:r>
      <w:r w:rsidR="00A0447A" w:rsidRPr="006D2720">
        <w:rPr>
          <w:rFonts w:ascii="Times New Roman" w:hAnsi="Times New Roman" w:cs="Times New Roman"/>
          <w:lang w:val="en-GB"/>
        </w:rPr>
        <w:t xml:space="preserve">rather than </w:t>
      </w:r>
      <w:r w:rsidRPr="006D2720">
        <w:rPr>
          <w:rFonts w:ascii="Times New Roman" w:hAnsi="Times New Roman" w:cs="Times New Roman"/>
          <w:lang w:val="en-GB"/>
        </w:rPr>
        <w:t xml:space="preserve">listening to private conversations. </w:t>
      </w:r>
      <w:r w:rsidR="00150A09" w:rsidRPr="006D2720">
        <w:rPr>
          <w:rFonts w:ascii="Times New Roman" w:hAnsi="Times New Roman" w:cs="Times New Roman"/>
          <w:lang w:val="en-GB"/>
        </w:rPr>
        <w:t>As with</w:t>
      </w:r>
      <w:r w:rsidR="00C41DC1" w:rsidRPr="006D2720">
        <w:rPr>
          <w:rFonts w:ascii="Times New Roman" w:hAnsi="Times New Roman" w:cs="Times New Roman"/>
          <w:lang w:val="en-GB"/>
        </w:rPr>
        <w:t xml:space="preserve"> offences provided under the</w:t>
      </w:r>
      <w:r w:rsidR="00150A09" w:rsidRPr="006D2720">
        <w:rPr>
          <w:rFonts w:ascii="Times New Roman" w:hAnsi="Times New Roman" w:cs="Times New Roman"/>
          <w:lang w:val="en-GB"/>
        </w:rPr>
        <w:t xml:space="preserve"> </w:t>
      </w:r>
      <w:r w:rsidR="00C41DC1" w:rsidRPr="006D2720">
        <w:rPr>
          <w:rFonts w:ascii="Times New Roman" w:hAnsi="Times New Roman" w:cs="Times New Roman"/>
          <w:i/>
          <w:lang w:val="en-GB"/>
        </w:rPr>
        <w:t>Listening Devices Act 1991 (Tas</w:t>
      </w:r>
      <w:r w:rsidR="00C41DC1" w:rsidRPr="006D2720">
        <w:rPr>
          <w:rFonts w:ascii="Times New Roman" w:hAnsi="Times New Roman" w:cs="Times New Roman"/>
          <w:iCs/>
          <w:lang w:val="en-GB"/>
        </w:rPr>
        <w:t>)</w:t>
      </w:r>
      <w:r w:rsidR="00150A09" w:rsidRPr="006D2720">
        <w:rPr>
          <w:rFonts w:ascii="Times New Roman" w:hAnsi="Times New Roman" w:cs="Times New Roman"/>
          <w:iCs/>
          <w:lang w:val="en-GB"/>
        </w:rPr>
        <w:t>,</w:t>
      </w:r>
      <w:r w:rsidR="00150A09" w:rsidRPr="006D2720">
        <w:rPr>
          <w:rFonts w:ascii="Times New Roman" w:hAnsi="Times New Roman" w:cs="Times New Roman"/>
          <w:lang w:val="en-GB"/>
        </w:rPr>
        <w:t xml:space="preserve"> the offence </w:t>
      </w:r>
      <w:r w:rsidRPr="006D2720">
        <w:rPr>
          <w:rFonts w:ascii="Times New Roman" w:hAnsi="Times New Roman" w:cs="Times New Roman"/>
          <w:lang w:val="en-GB"/>
        </w:rPr>
        <w:t xml:space="preserve">is not limited to any </w:t>
      </w:r>
      <w:r w:rsidR="00C41DC1" w:rsidRPr="006D2720">
        <w:rPr>
          <w:rFonts w:ascii="Times New Roman" w:hAnsi="Times New Roman" w:cs="Times New Roman"/>
          <w:lang w:val="en-GB"/>
        </w:rPr>
        <w:t xml:space="preserve">specific </w:t>
      </w:r>
      <w:r w:rsidRPr="006D2720">
        <w:rPr>
          <w:rFonts w:ascii="Times New Roman" w:hAnsi="Times New Roman" w:cs="Times New Roman"/>
          <w:lang w:val="en-GB"/>
        </w:rPr>
        <w:t xml:space="preserve">type of device and would cover the use of </w:t>
      </w:r>
      <w:r w:rsidR="002A36A1" w:rsidRPr="006D2720">
        <w:rPr>
          <w:rFonts w:ascii="Times New Roman" w:hAnsi="Times New Roman" w:cs="Times New Roman"/>
          <w:lang w:val="en-GB"/>
        </w:rPr>
        <w:t>drones</w:t>
      </w:r>
      <w:r w:rsidRPr="006D2720">
        <w:rPr>
          <w:rFonts w:ascii="Times New Roman" w:hAnsi="Times New Roman" w:cs="Times New Roman"/>
          <w:lang w:val="en-GB"/>
        </w:rPr>
        <w:t>.</w:t>
      </w:r>
      <w:r w:rsidR="00665D37" w:rsidRPr="006D2720">
        <w:rPr>
          <w:rFonts w:ascii="Times New Roman" w:hAnsi="Times New Roman" w:cs="Times New Roman"/>
          <w:lang w:val="en-GB"/>
        </w:rPr>
        <w:t xml:space="preserve"> </w:t>
      </w:r>
    </w:p>
    <w:p w14:paraId="4587F3B6" w14:textId="7DFB875F" w:rsidR="00665D37" w:rsidRPr="006D2720" w:rsidRDefault="0064050C" w:rsidP="00CA5606">
      <w:pPr>
        <w:pStyle w:val="Heading3"/>
        <w:rPr>
          <w:rFonts w:ascii="Times New Roman" w:hAnsi="Times New Roman" w:cs="Times New Roman"/>
          <w:lang w:val="en-GB"/>
        </w:rPr>
      </w:pPr>
      <w:bookmarkStart w:id="379" w:name="_Toc91536750"/>
      <w:bookmarkEnd w:id="379"/>
      <w:r w:rsidRPr="006D2720">
        <w:rPr>
          <w:rFonts w:ascii="Times New Roman" w:hAnsi="Times New Roman" w:cs="Times New Roman"/>
          <w:lang w:val="en-GB"/>
        </w:rPr>
        <w:t xml:space="preserve">The offence is limited to observing or visually recording a person </w:t>
      </w:r>
      <w:r w:rsidR="00A64674" w:rsidRPr="006D2720">
        <w:rPr>
          <w:rFonts w:ascii="Times New Roman" w:hAnsi="Times New Roman" w:cs="Times New Roman"/>
          <w:lang w:val="en-GB"/>
        </w:rPr>
        <w:t>‘</w:t>
      </w:r>
      <w:r w:rsidRPr="006D2720">
        <w:rPr>
          <w:rFonts w:ascii="Times New Roman" w:hAnsi="Times New Roman" w:cs="Times New Roman"/>
          <w:lang w:val="en-GB"/>
        </w:rPr>
        <w:t>in circumstances where a reasonable person would expect to be afforded privacy</w:t>
      </w:r>
      <w:r w:rsidR="00A64674" w:rsidRPr="006D2720">
        <w:rPr>
          <w:rFonts w:ascii="Times New Roman" w:hAnsi="Times New Roman" w:cs="Times New Roman"/>
          <w:lang w:val="en-GB"/>
        </w:rPr>
        <w:t xml:space="preserve">’. </w:t>
      </w:r>
      <w:r w:rsidR="00C41DC1" w:rsidRPr="006D2720">
        <w:rPr>
          <w:rFonts w:ascii="Times New Roman" w:hAnsi="Times New Roman" w:cs="Times New Roman"/>
          <w:lang w:val="en-GB"/>
        </w:rPr>
        <w:t>The recording</w:t>
      </w:r>
      <w:r w:rsidR="00A64674" w:rsidRPr="006D2720">
        <w:rPr>
          <w:rFonts w:ascii="Times New Roman" w:hAnsi="Times New Roman" w:cs="Times New Roman"/>
          <w:lang w:val="en-GB"/>
        </w:rPr>
        <w:t xml:space="preserve"> must be done </w:t>
      </w:r>
      <w:r w:rsidRPr="006D2720">
        <w:rPr>
          <w:rFonts w:ascii="Times New Roman" w:hAnsi="Times New Roman" w:cs="Times New Roman"/>
          <w:lang w:val="en-GB"/>
        </w:rPr>
        <w:t xml:space="preserve">without that person’s consent </w:t>
      </w:r>
      <w:r w:rsidRPr="006D2720">
        <w:rPr>
          <w:rFonts w:ascii="Times New Roman" w:hAnsi="Times New Roman" w:cs="Times New Roman"/>
          <w:i/>
          <w:lang w:val="en-GB"/>
        </w:rPr>
        <w:t>and</w:t>
      </w:r>
      <w:r w:rsidRPr="006D2720">
        <w:rPr>
          <w:rFonts w:ascii="Times New Roman" w:hAnsi="Times New Roman" w:cs="Times New Roman"/>
          <w:lang w:val="en-GB"/>
        </w:rPr>
        <w:t xml:space="preserve"> when that person is either</w:t>
      </w:r>
      <w:r w:rsidR="00F40FA0" w:rsidRPr="006D2720">
        <w:rPr>
          <w:rFonts w:ascii="Times New Roman" w:hAnsi="Times New Roman" w:cs="Times New Roman"/>
          <w:lang w:val="en-GB"/>
        </w:rPr>
        <w:t>:</w:t>
      </w:r>
      <w:r w:rsidRPr="006D2720">
        <w:rPr>
          <w:rFonts w:ascii="Times New Roman" w:hAnsi="Times New Roman" w:cs="Times New Roman"/>
          <w:lang w:val="en-GB"/>
        </w:rPr>
        <w:t xml:space="preserve"> </w:t>
      </w:r>
      <w:r w:rsidR="00CF383F" w:rsidRPr="006D2720">
        <w:rPr>
          <w:rFonts w:ascii="Times New Roman" w:hAnsi="Times New Roman" w:cs="Times New Roman"/>
          <w:lang w:val="en-GB"/>
        </w:rPr>
        <w:t xml:space="preserve">1) </w:t>
      </w:r>
      <w:r w:rsidRPr="006D2720">
        <w:rPr>
          <w:rFonts w:ascii="Times New Roman" w:hAnsi="Times New Roman" w:cs="Times New Roman"/>
          <w:lang w:val="en-GB"/>
        </w:rPr>
        <w:t>in a private place</w:t>
      </w:r>
      <w:r w:rsidR="00F40FA0" w:rsidRPr="006D2720">
        <w:rPr>
          <w:rFonts w:ascii="Times New Roman" w:hAnsi="Times New Roman" w:cs="Times New Roman"/>
          <w:lang w:val="en-GB"/>
        </w:rPr>
        <w:t>;</w:t>
      </w:r>
      <w:r w:rsidRPr="006D2720">
        <w:rPr>
          <w:rFonts w:ascii="Times New Roman" w:hAnsi="Times New Roman" w:cs="Times New Roman"/>
          <w:lang w:val="en-GB"/>
        </w:rPr>
        <w:t xml:space="preserve"> or </w:t>
      </w:r>
      <w:r w:rsidR="00CF383F" w:rsidRPr="006D2720">
        <w:rPr>
          <w:rFonts w:ascii="Times New Roman" w:hAnsi="Times New Roman" w:cs="Times New Roman"/>
          <w:lang w:val="en-GB"/>
        </w:rPr>
        <w:t xml:space="preserve">2) </w:t>
      </w:r>
      <w:r w:rsidRPr="006D2720">
        <w:rPr>
          <w:rFonts w:ascii="Times New Roman" w:hAnsi="Times New Roman" w:cs="Times New Roman"/>
          <w:lang w:val="en-GB"/>
        </w:rPr>
        <w:t xml:space="preserve">is engaging in a private act and the recording is made for the purpose of observing or visually recording a private act. </w:t>
      </w:r>
      <w:r w:rsidR="00CA5606" w:rsidRPr="006D2720">
        <w:rPr>
          <w:rFonts w:ascii="Times New Roman" w:hAnsi="Times New Roman" w:cs="Times New Roman"/>
          <w:lang w:val="en-GB"/>
        </w:rPr>
        <w:t xml:space="preserve">The maximum penalty is 12 months’ imprisonment and/or 50 penalty units. </w:t>
      </w:r>
    </w:p>
    <w:p w14:paraId="6E3135D3" w14:textId="77777777" w:rsidR="00CA5606" w:rsidRPr="006D2720" w:rsidRDefault="00A90ED9" w:rsidP="006F52D5">
      <w:pPr>
        <w:pStyle w:val="Heading3"/>
        <w:rPr>
          <w:rFonts w:ascii="Times New Roman" w:hAnsi="Times New Roman" w:cs="Times New Roman"/>
          <w:lang w:val="en-GB"/>
        </w:rPr>
      </w:pPr>
      <w:r w:rsidRPr="006D2720">
        <w:rPr>
          <w:rFonts w:ascii="Times New Roman" w:hAnsi="Times New Roman" w:cs="Times New Roman"/>
          <w:lang w:val="en-GB"/>
        </w:rPr>
        <w:t>This offence has been held by the Supreme Court to be a ‘reportable offence’ within the meaning of section 6(1) the</w:t>
      </w:r>
      <w:r w:rsidRPr="006D2720">
        <w:rPr>
          <w:rFonts w:ascii="Times New Roman" w:hAnsi="Times New Roman" w:cs="Times New Roman"/>
          <w:i/>
          <w:lang w:val="en-GB"/>
        </w:rPr>
        <w:t xml:space="preserve"> Community Protection (Offender Reporting) Act 2005 </w:t>
      </w:r>
      <w:r w:rsidRPr="006D2720">
        <w:rPr>
          <w:rFonts w:ascii="Times New Roman" w:hAnsi="Times New Roman" w:cs="Times New Roman"/>
          <w:iCs/>
          <w:lang w:val="en-GB"/>
        </w:rPr>
        <w:t>(Tas)</w:t>
      </w:r>
      <w:r w:rsidRPr="006D2720">
        <w:rPr>
          <w:rFonts w:ascii="Times New Roman" w:hAnsi="Times New Roman" w:cs="Times New Roman"/>
          <w:lang w:val="en-GB"/>
        </w:rPr>
        <w:t>.</w:t>
      </w:r>
      <w:r w:rsidRPr="006D2720">
        <w:rPr>
          <w:rFonts w:ascii="Times New Roman" w:hAnsi="Times New Roman" w:cs="Times New Roman"/>
          <w:vertAlign w:val="superscript"/>
          <w:lang w:val="en-GB"/>
        </w:rPr>
        <w:footnoteReference w:id="345"/>
      </w:r>
      <w:r w:rsidRPr="006D2720">
        <w:rPr>
          <w:rFonts w:ascii="Times New Roman" w:hAnsi="Times New Roman" w:cs="Times New Roman"/>
          <w:lang w:val="en-GB"/>
        </w:rPr>
        <w:t xml:space="preserve"> In essence, the effect of this classification is that offenders may be ordered to keep police informed of their whereabouts and other personal details for a period of time. </w:t>
      </w:r>
    </w:p>
    <w:p w14:paraId="2E97D543" w14:textId="2FA56128" w:rsidR="00CA5606" w:rsidRPr="006D2720" w:rsidRDefault="00CA5606" w:rsidP="00CA5606">
      <w:pPr>
        <w:pStyle w:val="Heading3"/>
        <w:rPr>
          <w:rFonts w:ascii="Times New Roman" w:hAnsi="Times New Roman" w:cs="Times New Roman"/>
          <w:lang w:val="en-GB"/>
        </w:rPr>
      </w:pPr>
      <w:r w:rsidRPr="006D2720">
        <w:rPr>
          <w:rFonts w:ascii="Times New Roman" w:hAnsi="Times New Roman" w:cs="Times New Roman"/>
          <w:lang w:val="en-GB"/>
        </w:rPr>
        <w:t xml:space="preserve">Closely related to this offence, the </w:t>
      </w:r>
      <w:r w:rsidRPr="006D2720">
        <w:rPr>
          <w:rFonts w:ascii="Times New Roman" w:hAnsi="Times New Roman" w:cs="Times New Roman"/>
          <w:i/>
          <w:lang w:val="en-GB"/>
        </w:rPr>
        <w:t>Police Offences Act 1935</w:t>
      </w:r>
      <w:r w:rsidRPr="006D2720">
        <w:rPr>
          <w:rFonts w:ascii="Times New Roman" w:hAnsi="Times New Roman" w:cs="Times New Roman"/>
          <w:iCs/>
          <w:lang w:val="en-GB"/>
        </w:rPr>
        <w:t xml:space="preserve"> (Tas) </w:t>
      </w:r>
      <w:r w:rsidR="00926459" w:rsidRPr="006D2720">
        <w:rPr>
          <w:rFonts w:ascii="Times New Roman" w:hAnsi="Times New Roman" w:cs="Times New Roman"/>
          <w:iCs/>
          <w:lang w:val="en-GB"/>
        </w:rPr>
        <w:t xml:space="preserve">also </w:t>
      </w:r>
      <w:r w:rsidRPr="006D2720">
        <w:rPr>
          <w:rFonts w:ascii="Times New Roman" w:hAnsi="Times New Roman" w:cs="Times New Roman"/>
          <w:lang w:val="en-GB"/>
        </w:rPr>
        <w:t>makes it an offence</w:t>
      </w:r>
      <w:r w:rsidR="00C41DC1" w:rsidRPr="006D2720">
        <w:rPr>
          <w:rFonts w:ascii="Times New Roman" w:hAnsi="Times New Roman" w:cs="Times New Roman"/>
          <w:lang w:val="en-GB"/>
        </w:rPr>
        <w:t xml:space="preserve"> to</w:t>
      </w:r>
      <w:r w:rsidRPr="006D2720">
        <w:rPr>
          <w:rFonts w:ascii="Times New Roman" w:hAnsi="Times New Roman" w:cs="Times New Roman"/>
          <w:lang w:val="en-GB"/>
        </w:rPr>
        <w:t>:</w:t>
      </w:r>
    </w:p>
    <w:p w14:paraId="51DF78E7" w14:textId="5125D964" w:rsidR="00CA5606" w:rsidRPr="006D2720" w:rsidRDefault="00CA5606" w:rsidP="00CA5606">
      <w:pPr>
        <w:pStyle w:val="Dotpointlist"/>
        <w:rPr>
          <w:rFonts w:ascii="Times New Roman" w:hAnsi="Times New Roman" w:cs="Times New Roman"/>
          <w:lang w:val="en-GB"/>
        </w:rPr>
      </w:pPr>
      <w:r w:rsidRPr="006D2720">
        <w:rPr>
          <w:rFonts w:ascii="Times New Roman" w:hAnsi="Times New Roman" w:cs="Times New Roman"/>
          <w:lang w:val="en-GB"/>
        </w:rPr>
        <w:t>possess a prohibited visual recording;</w:t>
      </w:r>
      <w:r w:rsidRPr="006D2720">
        <w:rPr>
          <w:rFonts w:ascii="Times New Roman" w:hAnsi="Times New Roman" w:cs="Times New Roman"/>
          <w:vertAlign w:val="superscript"/>
          <w:lang w:val="en-GB"/>
        </w:rPr>
        <w:footnoteReference w:id="346"/>
      </w:r>
      <w:r w:rsidRPr="006D2720">
        <w:rPr>
          <w:rFonts w:ascii="Times New Roman" w:hAnsi="Times New Roman" w:cs="Times New Roman"/>
          <w:lang w:val="en-GB"/>
        </w:rPr>
        <w:t xml:space="preserve"> </w:t>
      </w:r>
    </w:p>
    <w:p w14:paraId="22E14EBC" w14:textId="3411C1CC" w:rsidR="00CA5606" w:rsidRPr="006D2720" w:rsidRDefault="00CA5606" w:rsidP="00CA1A69">
      <w:pPr>
        <w:pStyle w:val="Dotpointlist"/>
        <w:rPr>
          <w:rFonts w:ascii="Times New Roman" w:hAnsi="Times New Roman" w:cs="Times New Roman"/>
          <w:lang w:val="en-GB"/>
        </w:rPr>
      </w:pPr>
      <w:r w:rsidRPr="006D2720">
        <w:rPr>
          <w:rFonts w:ascii="Times New Roman" w:hAnsi="Times New Roman" w:cs="Times New Roman"/>
          <w:lang w:val="en-GB"/>
        </w:rPr>
        <w:t>publish or distribute such a recording;</w:t>
      </w:r>
      <w:r w:rsidRPr="006D2720">
        <w:rPr>
          <w:rFonts w:ascii="Times New Roman" w:hAnsi="Times New Roman" w:cs="Times New Roman"/>
          <w:vertAlign w:val="superscript"/>
          <w:lang w:val="en-GB"/>
        </w:rPr>
        <w:footnoteReference w:id="347"/>
      </w:r>
      <w:r w:rsidR="00C41DC1" w:rsidRPr="006D2720">
        <w:rPr>
          <w:rFonts w:ascii="Times New Roman" w:hAnsi="Times New Roman" w:cs="Times New Roman"/>
          <w:lang w:val="en-GB"/>
        </w:rPr>
        <w:t xml:space="preserve"> and</w:t>
      </w:r>
    </w:p>
    <w:p w14:paraId="1530FC7A" w14:textId="0A1DC96B" w:rsidR="0064050C" w:rsidRPr="006D2720" w:rsidRDefault="00CA5606" w:rsidP="0066337D">
      <w:pPr>
        <w:pStyle w:val="Dotpointlist"/>
        <w:rPr>
          <w:rFonts w:ascii="Times New Roman" w:hAnsi="Times New Roman" w:cs="Times New Roman"/>
          <w:bCs/>
          <w:lang w:val="en-GB"/>
        </w:rPr>
      </w:pPr>
      <w:r w:rsidRPr="006D2720">
        <w:rPr>
          <w:rFonts w:ascii="Times New Roman" w:hAnsi="Times New Roman" w:cs="Times New Roman"/>
          <w:lang w:val="en-GB"/>
        </w:rPr>
        <w:t xml:space="preserve">observe or visually record </w:t>
      </w:r>
      <w:r w:rsidR="0064050C" w:rsidRPr="006D2720">
        <w:rPr>
          <w:rFonts w:ascii="Times New Roman" w:hAnsi="Times New Roman" w:cs="Times New Roman"/>
          <w:bCs/>
          <w:lang w:val="en-GB"/>
        </w:rPr>
        <w:t xml:space="preserve">another person's genital or anal region, in circumstances where a reasonable person would expect to be afforded privacy in relation to that region, and where </w:t>
      </w:r>
      <w:r w:rsidR="006F52D5" w:rsidRPr="006D2720">
        <w:rPr>
          <w:rFonts w:ascii="Times New Roman" w:hAnsi="Times New Roman" w:cs="Times New Roman"/>
          <w:bCs/>
          <w:lang w:val="en-GB"/>
        </w:rPr>
        <w:t>it is done for</w:t>
      </w:r>
      <w:r w:rsidR="0064050C" w:rsidRPr="006D2720">
        <w:rPr>
          <w:rFonts w:ascii="Times New Roman" w:hAnsi="Times New Roman" w:cs="Times New Roman"/>
          <w:bCs/>
          <w:lang w:val="en-GB"/>
        </w:rPr>
        <w:t xml:space="preserve"> the purpose of observing or visually recording the other person's genital or anal region</w:t>
      </w:r>
      <w:r w:rsidR="00C41DC1" w:rsidRPr="006D2720">
        <w:rPr>
          <w:rFonts w:ascii="Times New Roman" w:hAnsi="Times New Roman" w:cs="Times New Roman"/>
          <w:bCs/>
          <w:lang w:val="en-GB"/>
        </w:rPr>
        <w:t xml:space="preserve"> (a specialised version of the general observing or recording offence, which carries a defence of consent)</w:t>
      </w:r>
      <w:r w:rsidR="0064050C" w:rsidRPr="006D2720">
        <w:rPr>
          <w:rFonts w:ascii="Times New Roman" w:hAnsi="Times New Roman" w:cs="Times New Roman"/>
          <w:bCs/>
          <w:lang w:val="en-GB"/>
        </w:rPr>
        <w:t>.</w:t>
      </w:r>
      <w:r w:rsidR="0064050C" w:rsidRPr="006D2720">
        <w:rPr>
          <w:rFonts w:ascii="Times New Roman" w:hAnsi="Times New Roman" w:cs="Times New Roman"/>
          <w:bCs/>
          <w:vertAlign w:val="superscript"/>
          <w:lang w:val="en-GB"/>
        </w:rPr>
        <w:footnoteReference w:id="348"/>
      </w:r>
    </w:p>
    <w:p w14:paraId="59A5A260" w14:textId="4A13838F" w:rsidR="00BE4C3C" w:rsidRPr="006D2720" w:rsidRDefault="00D976EA" w:rsidP="0066337D">
      <w:pPr>
        <w:pStyle w:val="Heading3"/>
        <w:rPr>
          <w:rFonts w:ascii="Times New Roman" w:hAnsi="Times New Roman" w:cs="Times New Roman"/>
          <w:lang w:val="en-GB"/>
        </w:rPr>
      </w:pPr>
      <w:r w:rsidRPr="006D2720">
        <w:rPr>
          <w:rFonts w:ascii="Times New Roman" w:hAnsi="Times New Roman" w:cs="Times New Roman"/>
          <w:lang w:val="en-GB"/>
        </w:rPr>
        <w:t>Regarding th</w:t>
      </w:r>
      <w:r w:rsidR="004A528B" w:rsidRPr="006D2720">
        <w:rPr>
          <w:rFonts w:ascii="Times New Roman" w:hAnsi="Times New Roman" w:cs="Times New Roman"/>
          <w:lang w:val="en-GB"/>
        </w:rPr>
        <w:t>is range of</w:t>
      </w:r>
      <w:r w:rsidRPr="006D2720">
        <w:rPr>
          <w:rFonts w:ascii="Times New Roman" w:hAnsi="Times New Roman" w:cs="Times New Roman"/>
          <w:lang w:val="en-GB"/>
        </w:rPr>
        <w:t xml:space="preserve"> offences of observing and recording in breach of privacy, there </w:t>
      </w:r>
      <w:r w:rsidR="0064050C" w:rsidRPr="006D2720">
        <w:rPr>
          <w:rFonts w:ascii="Times New Roman" w:hAnsi="Times New Roman" w:cs="Times New Roman"/>
          <w:lang w:val="en-GB"/>
        </w:rPr>
        <w:t xml:space="preserve">are </w:t>
      </w:r>
      <w:r w:rsidR="00BE4C3C" w:rsidRPr="006D2720">
        <w:rPr>
          <w:rFonts w:ascii="Times New Roman" w:hAnsi="Times New Roman" w:cs="Times New Roman"/>
          <w:lang w:val="en-GB"/>
        </w:rPr>
        <w:t xml:space="preserve">three categories </w:t>
      </w:r>
      <w:r w:rsidRPr="006D2720">
        <w:rPr>
          <w:rFonts w:ascii="Times New Roman" w:hAnsi="Times New Roman" w:cs="Times New Roman"/>
          <w:lang w:val="en-GB"/>
        </w:rPr>
        <w:t>of people who</w:t>
      </w:r>
      <w:r w:rsidR="00BE4C3C" w:rsidRPr="006D2720">
        <w:rPr>
          <w:rFonts w:ascii="Times New Roman" w:hAnsi="Times New Roman" w:cs="Times New Roman"/>
          <w:lang w:val="en-GB"/>
        </w:rPr>
        <w:t xml:space="preserve"> </w:t>
      </w:r>
      <w:r w:rsidRPr="006D2720">
        <w:rPr>
          <w:rFonts w:ascii="Times New Roman" w:hAnsi="Times New Roman" w:cs="Times New Roman"/>
          <w:lang w:val="en-GB"/>
        </w:rPr>
        <w:t xml:space="preserve">are excluded </w:t>
      </w:r>
      <w:r w:rsidR="002E7990" w:rsidRPr="006D2720">
        <w:rPr>
          <w:rFonts w:ascii="Times New Roman" w:hAnsi="Times New Roman" w:cs="Times New Roman"/>
          <w:lang w:val="en-GB"/>
        </w:rPr>
        <w:t>from criminal responsibility</w:t>
      </w:r>
      <w:r w:rsidR="00C41DC1" w:rsidRPr="006D2720">
        <w:rPr>
          <w:rFonts w:ascii="Times New Roman" w:hAnsi="Times New Roman" w:cs="Times New Roman"/>
          <w:lang w:val="en-GB"/>
        </w:rPr>
        <w:t xml:space="preserve">, provided that they </w:t>
      </w:r>
      <w:r w:rsidR="001F0E7D" w:rsidRPr="006D2720">
        <w:rPr>
          <w:rFonts w:ascii="Times New Roman" w:hAnsi="Times New Roman" w:cs="Times New Roman"/>
          <w:lang w:val="en-GB"/>
        </w:rPr>
        <w:t xml:space="preserve">meet the onus of </w:t>
      </w:r>
      <w:r w:rsidR="00611869" w:rsidRPr="006D2720">
        <w:rPr>
          <w:rFonts w:ascii="Times New Roman" w:hAnsi="Times New Roman" w:cs="Times New Roman"/>
          <w:lang w:val="en-GB"/>
        </w:rPr>
        <w:t>prov</w:t>
      </w:r>
      <w:r w:rsidR="001F0E7D" w:rsidRPr="006D2720">
        <w:rPr>
          <w:rFonts w:ascii="Times New Roman" w:hAnsi="Times New Roman" w:cs="Times New Roman"/>
          <w:lang w:val="en-GB"/>
        </w:rPr>
        <w:t>ing</w:t>
      </w:r>
      <w:r w:rsidR="00611869" w:rsidRPr="006D2720">
        <w:rPr>
          <w:rFonts w:ascii="Times New Roman" w:hAnsi="Times New Roman" w:cs="Times New Roman"/>
          <w:lang w:val="en-GB"/>
        </w:rPr>
        <w:t xml:space="preserve"> </w:t>
      </w:r>
      <w:r w:rsidRPr="006D2720">
        <w:rPr>
          <w:rFonts w:ascii="Times New Roman" w:hAnsi="Times New Roman" w:cs="Times New Roman"/>
          <w:lang w:val="en-GB"/>
        </w:rPr>
        <w:t>that they fall within one of three categories</w:t>
      </w:r>
      <w:r w:rsidR="00C41DC1" w:rsidRPr="006D2720">
        <w:rPr>
          <w:rFonts w:ascii="Times New Roman" w:hAnsi="Times New Roman" w:cs="Times New Roman"/>
          <w:lang w:val="en-GB"/>
        </w:rPr>
        <w:t>. They are as follows:</w:t>
      </w:r>
      <w:r w:rsidRPr="006D2720">
        <w:rPr>
          <w:rFonts w:ascii="Times New Roman" w:hAnsi="Times New Roman" w:cs="Times New Roman"/>
          <w:vertAlign w:val="superscript"/>
          <w:lang w:val="en-GB"/>
        </w:rPr>
        <w:footnoteReference w:id="349"/>
      </w:r>
    </w:p>
    <w:p w14:paraId="77DBAD6F" w14:textId="2B223374" w:rsidR="00BE4C3C" w:rsidRPr="006D2720" w:rsidRDefault="0064050C">
      <w:pPr>
        <w:numPr>
          <w:ilvl w:val="0"/>
          <w:numId w:val="19"/>
        </w:numPr>
        <w:rPr>
          <w:rFonts w:ascii="Times New Roman" w:hAnsi="Times New Roman" w:cs="Times New Roman"/>
          <w:lang w:val="en-GB"/>
        </w:rPr>
      </w:pPr>
      <w:r w:rsidRPr="006D2720">
        <w:rPr>
          <w:rFonts w:ascii="Times New Roman" w:hAnsi="Times New Roman" w:cs="Times New Roman"/>
          <w:lang w:val="en-GB"/>
        </w:rPr>
        <w:t>a law enforcement officer acting reasonably in the course of performing his or her duties;</w:t>
      </w:r>
    </w:p>
    <w:p w14:paraId="37EACCBF" w14:textId="5A1CA0BC" w:rsidR="00BE4C3C" w:rsidRPr="006D2720" w:rsidRDefault="0064050C">
      <w:pPr>
        <w:numPr>
          <w:ilvl w:val="0"/>
          <w:numId w:val="19"/>
        </w:numPr>
        <w:rPr>
          <w:rFonts w:ascii="Times New Roman" w:hAnsi="Times New Roman" w:cs="Times New Roman"/>
          <w:lang w:val="en-GB"/>
        </w:rPr>
      </w:pPr>
      <w:r w:rsidRPr="006D2720">
        <w:rPr>
          <w:rFonts w:ascii="Times New Roman" w:hAnsi="Times New Roman" w:cs="Times New Roman"/>
          <w:lang w:val="en-GB"/>
        </w:rPr>
        <w:t>a person acting reasonably in the course of his or her duties in relation to someone who is in lawful custody</w:t>
      </w:r>
      <w:r w:rsidR="00D976EA" w:rsidRPr="006D2720">
        <w:rPr>
          <w:rFonts w:ascii="Times New Roman" w:hAnsi="Times New Roman" w:cs="Times New Roman"/>
          <w:lang w:val="en-GB"/>
        </w:rPr>
        <w:t xml:space="preserve"> (for example, officers in prisons)</w:t>
      </w:r>
      <w:r w:rsidRPr="006D2720">
        <w:rPr>
          <w:rFonts w:ascii="Times New Roman" w:hAnsi="Times New Roman" w:cs="Times New Roman"/>
          <w:lang w:val="en-GB"/>
        </w:rPr>
        <w:t xml:space="preserve">; and </w:t>
      </w:r>
    </w:p>
    <w:p w14:paraId="762A4E2C" w14:textId="174F43F6" w:rsidR="00443FAE" w:rsidRPr="006D2720" w:rsidRDefault="0064050C">
      <w:pPr>
        <w:numPr>
          <w:ilvl w:val="0"/>
          <w:numId w:val="19"/>
        </w:numPr>
        <w:rPr>
          <w:rFonts w:ascii="Times New Roman" w:hAnsi="Times New Roman" w:cs="Times New Roman"/>
          <w:lang w:val="en-GB"/>
        </w:rPr>
      </w:pPr>
      <w:r w:rsidRPr="006D2720">
        <w:rPr>
          <w:rFonts w:ascii="Times New Roman" w:hAnsi="Times New Roman" w:cs="Times New Roman"/>
          <w:lang w:val="en-GB"/>
        </w:rPr>
        <w:t xml:space="preserve">a person acting in the course of his or her occupation or employment and where his or her conduct is reasonable in that context. </w:t>
      </w:r>
    </w:p>
    <w:p w14:paraId="0C137753" w14:textId="0D2AF88E" w:rsidR="0064050C" w:rsidRPr="006D2720" w:rsidRDefault="00443FAE" w:rsidP="0066337D">
      <w:pPr>
        <w:pStyle w:val="Heading3"/>
        <w:rPr>
          <w:rFonts w:ascii="Times New Roman" w:hAnsi="Times New Roman" w:cs="Times New Roman"/>
          <w:lang w:val="en-GB"/>
        </w:rPr>
      </w:pPr>
      <w:r w:rsidRPr="006D2720">
        <w:rPr>
          <w:rFonts w:ascii="Times New Roman" w:hAnsi="Times New Roman" w:cs="Times New Roman"/>
          <w:lang w:val="en-GB"/>
        </w:rPr>
        <w:t xml:space="preserve">In essence, people who fall within these three categories are lawfully permitted to interfere with </w:t>
      </w:r>
      <w:r w:rsidR="00391AF4" w:rsidRPr="006D2720">
        <w:rPr>
          <w:rFonts w:ascii="Times New Roman" w:hAnsi="Times New Roman" w:cs="Times New Roman"/>
          <w:lang w:val="en-GB"/>
        </w:rPr>
        <w:t xml:space="preserve">individuals’ </w:t>
      </w:r>
      <w:r w:rsidRPr="006D2720">
        <w:rPr>
          <w:rFonts w:ascii="Times New Roman" w:hAnsi="Times New Roman" w:cs="Times New Roman"/>
          <w:lang w:val="en-GB"/>
        </w:rPr>
        <w:t xml:space="preserve">privacy through observation or visual recording.  </w:t>
      </w:r>
    </w:p>
    <w:p w14:paraId="46450764" w14:textId="52C92BA3" w:rsidR="00643D46" w:rsidRPr="006D2720" w:rsidRDefault="00643D46" w:rsidP="00D83805">
      <w:pPr>
        <w:keepNext/>
        <w:rPr>
          <w:rFonts w:ascii="Times New Roman" w:hAnsi="Times New Roman" w:cs="Times New Roman"/>
          <w:b/>
          <w:bCs/>
          <w:i/>
          <w:iCs/>
          <w:lang w:val="en-GB"/>
        </w:rPr>
      </w:pPr>
      <w:r w:rsidRPr="006D2720">
        <w:rPr>
          <w:rFonts w:ascii="Times New Roman" w:hAnsi="Times New Roman" w:cs="Times New Roman"/>
          <w:b/>
          <w:bCs/>
          <w:i/>
          <w:iCs/>
          <w:lang w:val="en-GB"/>
        </w:rPr>
        <w:t>Drones</w:t>
      </w:r>
    </w:p>
    <w:p w14:paraId="5EEF389B" w14:textId="5172D0AB" w:rsidR="00590897" w:rsidRPr="006D2720" w:rsidRDefault="00590897" w:rsidP="00BB0C6A">
      <w:pPr>
        <w:pStyle w:val="Heading3"/>
        <w:rPr>
          <w:rFonts w:ascii="Times New Roman" w:hAnsi="Times New Roman" w:cs="Times New Roman"/>
          <w:lang w:val="en-GB"/>
        </w:rPr>
      </w:pPr>
      <w:r w:rsidRPr="006D2720">
        <w:rPr>
          <w:rFonts w:ascii="Times New Roman" w:hAnsi="Times New Roman" w:cs="Times New Roman"/>
          <w:lang w:val="en-GB"/>
        </w:rPr>
        <w:t>The Commonwealth House of Representatives Standing Committee on Social Policy and Legal Affairs has commented that ‘[r]emotely piloted aircraft have the potential to pose a serious threat to Australians’ privacy. They can intrude on a person’s or a business’s private activities either intentionally, as in the case of deliberate surveillance, or inadvertently.’</w:t>
      </w:r>
      <w:r w:rsidRPr="006D2720">
        <w:rPr>
          <w:rFonts w:ascii="Times New Roman" w:hAnsi="Times New Roman" w:cs="Times New Roman"/>
          <w:vertAlign w:val="superscript"/>
          <w:lang w:val="en-GB"/>
        </w:rPr>
        <w:footnoteReference w:id="350"/>
      </w:r>
      <w:r w:rsidRPr="006D2720">
        <w:rPr>
          <w:rFonts w:ascii="Times New Roman" w:hAnsi="Times New Roman" w:cs="Times New Roman"/>
          <w:lang w:val="en-GB"/>
        </w:rPr>
        <w:t xml:space="preserve"> </w:t>
      </w:r>
    </w:p>
    <w:p w14:paraId="17274B1C" w14:textId="308AB9D2" w:rsidR="00B435F6" w:rsidRPr="006D2720" w:rsidRDefault="00B435F6" w:rsidP="00B435F6">
      <w:pPr>
        <w:pStyle w:val="Heading3"/>
        <w:rPr>
          <w:rFonts w:ascii="Times New Roman" w:hAnsi="Times New Roman" w:cs="Times New Roman"/>
          <w:lang w:val="en-GB"/>
        </w:rPr>
      </w:pPr>
      <w:r w:rsidRPr="006D2720">
        <w:rPr>
          <w:rFonts w:ascii="Times New Roman" w:hAnsi="Times New Roman" w:cs="Times New Roman"/>
          <w:lang w:val="en-GB"/>
        </w:rPr>
        <w:t xml:space="preserve">At the Commonwealth level, drones are considered ‘aircraft’ under the </w:t>
      </w:r>
      <w:r w:rsidRPr="006D2720">
        <w:rPr>
          <w:rFonts w:ascii="Times New Roman" w:hAnsi="Times New Roman" w:cs="Times New Roman"/>
          <w:i/>
          <w:lang w:val="en-GB"/>
        </w:rPr>
        <w:t xml:space="preserve">Civil Aviation Act 1988 </w:t>
      </w:r>
      <w:r w:rsidRPr="006D2720">
        <w:rPr>
          <w:rFonts w:ascii="Times New Roman" w:hAnsi="Times New Roman" w:cs="Times New Roman"/>
          <w:iCs/>
          <w:lang w:val="en-GB"/>
        </w:rPr>
        <w:t>(Cth) and</w:t>
      </w:r>
      <w:r w:rsidRPr="006D2720">
        <w:rPr>
          <w:rFonts w:ascii="Times New Roman" w:hAnsi="Times New Roman" w:cs="Times New Roman"/>
          <w:i/>
          <w:lang w:val="en-GB"/>
        </w:rPr>
        <w:t xml:space="preserve"> </w:t>
      </w:r>
      <w:r w:rsidRPr="006D2720">
        <w:rPr>
          <w:rFonts w:ascii="Times New Roman" w:hAnsi="Times New Roman" w:cs="Times New Roman"/>
          <w:lang w:val="en-GB"/>
        </w:rPr>
        <w:t>are subject to control by the Civil Aviation Safety Authority. The regulations include restrictions on the flying of drones over populous areas</w:t>
      </w:r>
      <w:r w:rsidR="00F40FA0" w:rsidRPr="006D2720">
        <w:rPr>
          <w:rFonts w:ascii="Times New Roman" w:hAnsi="Times New Roman" w:cs="Times New Roman"/>
          <w:lang w:val="en-GB"/>
        </w:rPr>
        <w:t>,</w:t>
      </w:r>
      <w:r w:rsidRPr="006D2720">
        <w:rPr>
          <w:rFonts w:ascii="Times New Roman" w:hAnsi="Times New Roman" w:cs="Times New Roman"/>
          <w:lang w:val="en-GB"/>
        </w:rPr>
        <w:t xml:space="preserve"> including private property.</w:t>
      </w:r>
      <w:r w:rsidRPr="006D2720">
        <w:rPr>
          <w:rStyle w:val="FootnoteReference"/>
          <w:rFonts w:ascii="Times New Roman" w:hAnsi="Times New Roman" w:cs="Times New Roman"/>
          <w:lang w:val="en-GB"/>
        </w:rPr>
        <w:footnoteReference w:id="351"/>
      </w:r>
      <w:r w:rsidRPr="006D2720">
        <w:rPr>
          <w:rFonts w:ascii="Times New Roman" w:hAnsi="Times New Roman" w:cs="Times New Roman"/>
          <w:lang w:val="en-GB"/>
        </w:rPr>
        <w:t xml:space="preserve"> However, there are no legislative limitations that explicitly and specifically relate to privacy.</w:t>
      </w:r>
    </w:p>
    <w:p w14:paraId="5F5F4212" w14:textId="3C93E9B8" w:rsidR="0064050C" w:rsidRPr="006D2720" w:rsidRDefault="00E841B1" w:rsidP="0066337D">
      <w:pPr>
        <w:pStyle w:val="Heading3"/>
        <w:rPr>
          <w:rFonts w:ascii="Times New Roman" w:hAnsi="Times New Roman" w:cs="Times New Roman"/>
          <w:lang w:val="en-GB"/>
        </w:rPr>
      </w:pPr>
      <w:r w:rsidRPr="006D2720">
        <w:rPr>
          <w:rFonts w:ascii="Times New Roman" w:hAnsi="Times New Roman" w:cs="Times New Roman"/>
          <w:lang w:val="en-GB"/>
        </w:rPr>
        <w:t xml:space="preserve">Tasmania does not have </w:t>
      </w:r>
      <w:r w:rsidR="006468B1" w:rsidRPr="006D2720">
        <w:rPr>
          <w:rFonts w:ascii="Times New Roman" w:hAnsi="Times New Roman" w:cs="Times New Roman"/>
          <w:lang w:val="en-GB"/>
        </w:rPr>
        <w:t>regulations that limit how</w:t>
      </w:r>
      <w:r w:rsidRPr="006D2720">
        <w:rPr>
          <w:rFonts w:ascii="Times New Roman" w:hAnsi="Times New Roman" w:cs="Times New Roman"/>
          <w:lang w:val="en-GB"/>
        </w:rPr>
        <w:t xml:space="preserve"> </w:t>
      </w:r>
      <w:r w:rsidR="0064050C" w:rsidRPr="006D2720">
        <w:rPr>
          <w:rFonts w:ascii="Times New Roman" w:hAnsi="Times New Roman" w:cs="Times New Roman"/>
          <w:lang w:val="en-GB"/>
        </w:rPr>
        <w:t xml:space="preserve">RPAs or UVAs (drones) </w:t>
      </w:r>
      <w:r w:rsidR="006468B1" w:rsidRPr="006D2720">
        <w:rPr>
          <w:rFonts w:ascii="Times New Roman" w:hAnsi="Times New Roman" w:cs="Times New Roman"/>
          <w:lang w:val="en-GB"/>
        </w:rPr>
        <w:t xml:space="preserve">can </w:t>
      </w:r>
      <w:r w:rsidR="008A359C" w:rsidRPr="006D2720">
        <w:rPr>
          <w:rFonts w:ascii="Times New Roman" w:hAnsi="Times New Roman" w:cs="Times New Roman"/>
          <w:lang w:val="en-GB"/>
        </w:rPr>
        <w:t>interfere</w:t>
      </w:r>
      <w:r w:rsidRPr="006D2720">
        <w:rPr>
          <w:rFonts w:ascii="Times New Roman" w:hAnsi="Times New Roman" w:cs="Times New Roman"/>
          <w:lang w:val="en-GB"/>
        </w:rPr>
        <w:t xml:space="preserve"> with </w:t>
      </w:r>
      <w:r w:rsidR="0064050C" w:rsidRPr="006D2720">
        <w:rPr>
          <w:rFonts w:ascii="Times New Roman" w:hAnsi="Times New Roman" w:cs="Times New Roman"/>
          <w:lang w:val="en-GB"/>
        </w:rPr>
        <w:t xml:space="preserve">privacy. </w:t>
      </w:r>
      <w:r w:rsidR="007A45CD" w:rsidRPr="006D2720">
        <w:rPr>
          <w:rFonts w:ascii="Times New Roman" w:hAnsi="Times New Roman" w:cs="Times New Roman"/>
          <w:lang w:val="en-GB"/>
        </w:rPr>
        <w:t xml:space="preserve">However, as discussed </w:t>
      </w:r>
      <w:r w:rsidR="00590897" w:rsidRPr="006D2720">
        <w:rPr>
          <w:rFonts w:ascii="Times New Roman" w:hAnsi="Times New Roman" w:cs="Times New Roman"/>
          <w:lang w:val="en-GB"/>
        </w:rPr>
        <w:t xml:space="preserve">earlier </w:t>
      </w:r>
      <w:r w:rsidR="007A45CD" w:rsidRPr="006D2720">
        <w:rPr>
          <w:rFonts w:ascii="Times New Roman" w:hAnsi="Times New Roman" w:cs="Times New Roman"/>
          <w:lang w:val="en-GB"/>
        </w:rPr>
        <w:t xml:space="preserve">in this part, </w:t>
      </w:r>
      <w:r w:rsidR="00140307" w:rsidRPr="006D2720">
        <w:rPr>
          <w:rFonts w:ascii="Times New Roman" w:hAnsi="Times New Roman" w:cs="Times New Roman"/>
          <w:lang w:val="en-GB"/>
        </w:rPr>
        <w:t>drones</w:t>
      </w:r>
      <w:r w:rsidR="007A45CD" w:rsidRPr="006D2720">
        <w:rPr>
          <w:rFonts w:ascii="Times New Roman" w:hAnsi="Times New Roman" w:cs="Times New Roman"/>
          <w:lang w:val="en-GB"/>
        </w:rPr>
        <w:t xml:space="preserve"> </w:t>
      </w:r>
      <w:r w:rsidR="00D61BB1" w:rsidRPr="006D2720">
        <w:rPr>
          <w:rFonts w:ascii="Times New Roman" w:hAnsi="Times New Roman" w:cs="Times New Roman"/>
          <w:lang w:val="en-GB"/>
        </w:rPr>
        <w:t xml:space="preserve">are encompassed </w:t>
      </w:r>
      <w:r w:rsidR="007A45CD" w:rsidRPr="006D2720">
        <w:rPr>
          <w:rFonts w:ascii="Times New Roman" w:hAnsi="Times New Roman" w:cs="Times New Roman"/>
          <w:lang w:val="en-GB"/>
        </w:rPr>
        <w:t xml:space="preserve">within the general </w:t>
      </w:r>
      <w:r w:rsidR="009C7FF4" w:rsidRPr="006D2720">
        <w:rPr>
          <w:rFonts w:ascii="Times New Roman" w:hAnsi="Times New Roman" w:cs="Times New Roman"/>
          <w:lang w:val="en-GB"/>
        </w:rPr>
        <w:t xml:space="preserve">criminal </w:t>
      </w:r>
      <w:r w:rsidR="007A45CD" w:rsidRPr="006D2720">
        <w:rPr>
          <w:rFonts w:ascii="Times New Roman" w:hAnsi="Times New Roman" w:cs="Times New Roman"/>
          <w:lang w:val="en-GB"/>
        </w:rPr>
        <w:t>prohibitions on the use of listening devices and on observing or visually recording</w:t>
      </w:r>
      <w:r w:rsidR="002E78F8" w:rsidRPr="006D2720">
        <w:rPr>
          <w:rFonts w:ascii="Times New Roman" w:hAnsi="Times New Roman" w:cs="Times New Roman"/>
          <w:lang w:val="en-GB"/>
        </w:rPr>
        <w:t xml:space="preserve"> people</w:t>
      </w:r>
      <w:r w:rsidR="007A45CD" w:rsidRPr="006D2720">
        <w:rPr>
          <w:rFonts w:ascii="Times New Roman" w:hAnsi="Times New Roman" w:cs="Times New Roman"/>
          <w:lang w:val="en-GB"/>
        </w:rPr>
        <w:t>.</w:t>
      </w:r>
      <w:r w:rsidR="0064050C" w:rsidRPr="006D2720">
        <w:rPr>
          <w:rFonts w:ascii="Times New Roman" w:hAnsi="Times New Roman" w:cs="Times New Roman"/>
          <w:lang w:val="en-GB"/>
        </w:rPr>
        <w:t xml:space="preserve"> Drones may also be subject to limitations in the law of </w:t>
      </w:r>
      <w:r w:rsidR="00BB0C6A" w:rsidRPr="006D2720">
        <w:rPr>
          <w:rFonts w:ascii="Times New Roman" w:hAnsi="Times New Roman" w:cs="Times New Roman"/>
          <w:lang w:val="en-GB"/>
        </w:rPr>
        <w:t xml:space="preserve">civil wrongs, specifically </w:t>
      </w:r>
      <w:r w:rsidR="0064050C" w:rsidRPr="006D2720">
        <w:rPr>
          <w:rFonts w:ascii="Times New Roman" w:hAnsi="Times New Roman" w:cs="Times New Roman"/>
          <w:lang w:val="en-GB"/>
        </w:rPr>
        <w:t>nuisance and trespass</w:t>
      </w:r>
      <w:r w:rsidR="00BB0C6A" w:rsidRPr="006D2720">
        <w:rPr>
          <w:rFonts w:ascii="Times New Roman" w:hAnsi="Times New Roman" w:cs="Times New Roman"/>
          <w:lang w:val="en-GB"/>
        </w:rPr>
        <w:t xml:space="preserve">. For example, </w:t>
      </w:r>
      <w:r w:rsidR="00FB5DE0" w:rsidRPr="006D2720">
        <w:rPr>
          <w:rFonts w:ascii="Times New Roman" w:hAnsi="Times New Roman" w:cs="Times New Roman"/>
          <w:lang w:val="en-GB"/>
        </w:rPr>
        <w:t xml:space="preserve">in the case of nuisance, </w:t>
      </w:r>
      <w:r w:rsidR="000A2B8E" w:rsidRPr="006D2720">
        <w:rPr>
          <w:rFonts w:ascii="Times New Roman" w:hAnsi="Times New Roman" w:cs="Times New Roman"/>
          <w:lang w:val="en-GB"/>
        </w:rPr>
        <w:t xml:space="preserve">a drone operator could be found liable </w:t>
      </w:r>
      <w:r w:rsidR="00BB0C6A" w:rsidRPr="006D2720">
        <w:rPr>
          <w:rFonts w:ascii="Times New Roman" w:hAnsi="Times New Roman" w:cs="Times New Roman"/>
          <w:lang w:val="en-GB"/>
        </w:rPr>
        <w:t xml:space="preserve">where they cause </w:t>
      </w:r>
      <w:r w:rsidR="0064050C" w:rsidRPr="006D2720">
        <w:rPr>
          <w:rFonts w:ascii="Times New Roman" w:hAnsi="Times New Roman" w:cs="Times New Roman"/>
          <w:lang w:val="en-GB"/>
        </w:rPr>
        <w:t xml:space="preserve">persistent and continuing interference with </w:t>
      </w:r>
      <w:r w:rsidR="00FB5DE0" w:rsidRPr="006D2720">
        <w:rPr>
          <w:rFonts w:ascii="Times New Roman" w:hAnsi="Times New Roman" w:cs="Times New Roman"/>
          <w:lang w:val="en-GB"/>
        </w:rPr>
        <w:t xml:space="preserve">use and enjoyment of </w:t>
      </w:r>
      <w:r w:rsidR="0064050C" w:rsidRPr="006D2720">
        <w:rPr>
          <w:rFonts w:ascii="Times New Roman" w:hAnsi="Times New Roman" w:cs="Times New Roman"/>
          <w:lang w:val="en-GB"/>
        </w:rPr>
        <w:t>property.</w:t>
      </w:r>
    </w:p>
    <w:p w14:paraId="6F3F4663" w14:textId="71027BC8" w:rsidR="0064050C" w:rsidRPr="006D2720" w:rsidRDefault="0064050C" w:rsidP="00CA1A69">
      <w:pPr>
        <w:pStyle w:val="Heading2"/>
        <w:numPr>
          <w:ilvl w:val="0"/>
          <w:numId w:val="0"/>
        </w:numPr>
        <w:ind w:left="578" w:hanging="578"/>
        <w:rPr>
          <w:rFonts w:ascii="Times New Roman" w:hAnsi="Times New Roman" w:cs="Times New Roman"/>
          <w:i/>
          <w:iCs/>
        </w:rPr>
      </w:pPr>
      <w:bookmarkStart w:id="380" w:name="_Toc77846305"/>
      <w:bookmarkStart w:id="381" w:name="_Toc77846357"/>
      <w:bookmarkStart w:id="382" w:name="_Toc77846409"/>
      <w:bookmarkStart w:id="383" w:name="_Toc77846569"/>
      <w:bookmarkStart w:id="384" w:name="_Toc77933360"/>
      <w:bookmarkStart w:id="385" w:name="_Toc77846306"/>
      <w:bookmarkStart w:id="386" w:name="_Toc77846358"/>
      <w:bookmarkStart w:id="387" w:name="_Toc77846410"/>
      <w:bookmarkStart w:id="388" w:name="_Toc77846570"/>
      <w:bookmarkStart w:id="389" w:name="_Toc77933361"/>
      <w:bookmarkStart w:id="390" w:name="_Toc91832018"/>
      <w:bookmarkStart w:id="391" w:name="_Toc130540453"/>
      <w:bookmarkEnd w:id="380"/>
      <w:bookmarkEnd w:id="381"/>
      <w:bookmarkEnd w:id="382"/>
      <w:bookmarkEnd w:id="383"/>
      <w:bookmarkEnd w:id="384"/>
      <w:bookmarkEnd w:id="385"/>
      <w:bookmarkEnd w:id="386"/>
      <w:bookmarkEnd w:id="387"/>
      <w:bookmarkEnd w:id="388"/>
      <w:bookmarkEnd w:id="389"/>
      <w:r w:rsidRPr="006D2720">
        <w:rPr>
          <w:rFonts w:ascii="Times New Roman" w:hAnsi="Times New Roman" w:cs="Times New Roman"/>
          <w:i/>
          <w:iCs/>
        </w:rPr>
        <w:t>Stalking and harassment</w:t>
      </w:r>
      <w:bookmarkEnd w:id="390"/>
      <w:bookmarkEnd w:id="391"/>
    </w:p>
    <w:p w14:paraId="5CFA1244" w14:textId="60338406"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Stalking, harassment and bullying may in some circumstances involve interference with privacy</w:t>
      </w:r>
      <w:r w:rsidR="00660662" w:rsidRPr="006D2720">
        <w:rPr>
          <w:rFonts w:ascii="Times New Roman" w:hAnsi="Times New Roman" w:cs="Times New Roman"/>
          <w:lang w:val="en-GB"/>
        </w:rPr>
        <w:t>—</w:t>
      </w:r>
      <w:r w:rsidRPr="006D2720">
        <w:rPr>
          <w:rFonts w:ascii="Times New Roman" w:hAnsi="Times New Roman" w:cs="Times New Roman"/>
          <w:lang w:val="en-GB"/>
        </w:rPr>
        <w:t xml:space="preserve">whether through intrusion upon </w:t>
      </w:r>
      <w:r w:rsidR="00A01043" w:rsidRPr="006D2720">
        <w:rPr>
          <w:rFonts w:ascii="Times New Roman" w:hAnsi="Times New Roman" w:cs="Times New Roman"/>
          <w:lang w:val="en-GB"/>
        </w:rPr>
        <w:t xml:space="preserve">seclusion (also referred to as </w:t>
      </w:r>
      <w:r w:rsidRPr="006D2720">
        <w:rPr>
          <w:rFonts w:ascii="Times New Roman" w:hAnsi="Times New Roman" w:cs="Times New Roman"/>
          <w:lang w:val="en-GB"/>
        </w:rPr>
        <w:t>physical privacy</w:t>
      </w:r>
      <w:r w:rsidR="00A01043" w:rsidRPr="006D2720">
        <w:rPr>
          <w:rFonts w:ascii="Times New Roman" w:hAnsi="Times New Roman" w:cs="Times New Roman"/>
          <w:lang w:val="en-GB"/>
        </w:rPr>
        <w:t xml:space="preserve">, meaning a person’s </w:t>
      </w:r>
      <w:r w:rsidR="00193AD6" w:rsidRPr="006D2720">
        <w:rPr>
          <w:rFonts w:ascii="Times New Roman" w:hAnsi="Times New Roman" w:cs="Times New Roman"/>
          <w:lang w:val="en-GB"/>
        </w:rPr>
        <w:t>bodily or territorial privacy)</w:t>
      </w:r>
      <w:r w:rsidRPr="006D2720">
        <w:rPr>
          <w:rFonts w:ascii="Times New Roman" w:hAnsi="Times New Roman" w:cs="Times New Roman"/>
          <w:lang w:val="en-GB"/>
        </w:rPr>
        <w:t xml:space="preserve"> or through the malicious use of private information against the person concerned (for example, to intimidate, blackmail, or otherwise coerce that person). </w:t>
      </w:r>
      <w:r w:rsidR="00193AD6" w:rsidRPr="006D2720">
        <w:rPr>
          <w:rFonts w:ascii="Times New Roman" w:hAnsi="Times New Roman" w:cs="Times New Roman"/>
          <w:lang w:val="en-GB"/>
        </w:rPr>
        <w:t>These behaviours</w:t>
      </w:r>
      <w:r w:rsidR="00622AAB" w:rsidRPr="006D2720">
        <w:rPr>
          <w:rFonts w:ascii="Times New Roman" w:hAnsi="Times New Roman" w:cs="Times New Roman"/>
          <w:lang w:val="en-GB"/>
        </w:rPr>
        <w:t xml:space="preserve"> may cause humiliation, psychological distress, or intimidation in the same way as </w:t>
      </w:r>
      <w:r w:rsidRPr="006D2720">
        <w:rPr>
          <w:rFonts w:ascii="Times New Roman" w:hAnsi="Times New Roman" w:cs="Times New Roman"/>
          <w:lang w:val="en-GB"/>
        </w:rPr>
        <w:t>egregious interferences with privacy.</w:t>
      </w:r>
      <w:r w:rsidR="005E4963" w:rsidRPr="006D2720">
        <w:rPr>
          <w:rStyle w:val="FootnoteReference"/>
          <w:rFonts w:ascii="Times New Roman" w:hAnsi="Times New Roman" w:cs="Times New Roman"/>
          <w:lang w:val="en-GB"/>
        </w:rPr>
        <w:footnoteReference w:id="352"/>
      </w:r>
      <w:r w:rsidRPr="006D2720">
        <w:rPr>
          <w:rFonts w:ascii="Times New Roman" w:hAnsi="Times New Roman" w:cs="Times New Roman"/>
          <w:lang w:val="en-GB"/>
        </w:rPr>
        <w:t xml:space="preserve"> </w:t>
      </w:r>
    </w:p>
    <w:p w14:paraId="6E926827" w14:textId="31D7221C"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In Tasmania, various legislation prohibits harassment and similar behaviour. Where harassment, stalking</w:t>
      </w:r>
      <w:r w:rsidR="001F03F9" w:rsidRPr="006D2720">
        <w:rPr>
          <w:rFonts w:ascii="Times New Roman" w:hAnsi="Times New Roman" w:cs="Times New Roman"/>
          <w:lang w:val="en-GB"/>
        </w:rPr>
        <w:t>,</w:t>
      </w:r>
      <w:r w:rsidRPr="006D2720">
        <w:rPr>
          <w:rFonts w:ascii="Times New Roman" w:hAnsi="Times New Roman" w:cs="Times New Roman"/>
          <w:lang w:val="en-GB"/>
        </w:rPr>
        <w:t xml:space="preserve"> or bullying </w:t>
      </w:r>
      <w:r w:rsidR="00A01043" w:rsidRPr="006D2720">
        <w:rPr>
          <w:rFonts w:ascii="Times New Roman" w:hAnsi="Times New Roman" w:cs="Times New Roman"/>
          <w:lang w:val="en-GB"/>
        </w:rPr>
        <w:t>that</w:t>
      </w:r>
      <w:r w:rsidR="00FD6416" w:rsidRPr="006D2720">
        <w:rPr>
          <w:rFonts w:ascii="Times New Roman" w:hAnsi="Times New Roman" w:cs="Times New Roman"/>
          <w:lang w:val="en-GB"/>
        </w:rPr>
        <w:t xml:space="preserve"> </w:t>
      </w:r>
      <w:r w:rsidRPr="006D2720">
        <w:rPr>
          <w:rFonts w:ascii="Times New Roman" w:hAnsi="Times New Roman" w:cs="Times New Roman"/>
          <w:lang w:val="en-GB"/>
        </w:rPr>
        <w:t xml:space="preserve">is already proscribed in law involves an interference with privacy, existing legislation may provide protection and redress for the </w:t>
      </w:r>
      <w:r w:rsidR="002D70A7" w:rsidRPr="006D2720">
        <w:rPr>
          <w:rFonts w:ascii="Times New Roman" w:hAnsi="Times New Roman" w:cs="Times New Roman"/>
          <w:lang w:val="en-GB"/>
        </w:rPr>
        <w:t xml:space="preserve">privacy-related </w:t>
      </w:r>
      <w:r w:rsidRPr="006D2720">
        <w:rPr>
          <w:rFonts w:ascii="Times New Roman" w:hAnsi="Times New Roman" w:cs="Times New Roman"/>
          <w:lang w:val="en-GB"/>
        </w:rPr>
        <w:t xml:space="preserve">harm. However, there is no legislation specifically orientated towards </w:t>
      </w:r>
      <w:r w:rsidR="002D70A7" w:rsidRPr="006D2720">
        <w:rPr>
          <w:rFonts w:ascii="Times New Roman" w:hAnsi="Times New Roman" w:cs="Times New Roman"/>
          <w:lang w:val="en-GB"/>
        </w:rPr>
        <w:t xml:space="preserve">protecting </w:t>
      </w:r>
      <w:r w:rsidRPr="006D2720">
        <w:rPr>
          <w:rFonts w:ascii="Times New Roman" w:hAnsi="Times New Roman" w:cs="Times New Roman"/>
          <w:lang w:val="en-GB"/>
        </w:rPr>
        <w:t xml:space="preserve">physical or information privacy </w:t>
      </w:r>
      <w:r w:rsidR="002D70A7" w:rsidRPr="006D2720">
        <w:rPr>
          <w:rFonts w:ascii="Times New Roman" w:hAnsi="Times New Roman" w:cs="Times New Roman"/>
          <w:lang w:val="en-GB"/>
        </w:rPr>
        <w:t xml:space="preserve">against </w:t>
      </w:r>
      <w:r w:rsidR="00565890" w:rsidRPr="006D2720">
        <w:rPr>
          <w:rFonts w:ascii="Times New Roman" w:hAnsi="Times New Roman" w:cs="Times New Roman"/>
          <w:lang w:val="en-GB"/>
        </w:rPr>
        <w:t>interferences</w:t>
      </w:r>
      <w:r w:rsidR="002D70A7" w:rsidRPr="006D2720">
        <w:rPr>
          <w:rFonts w:ascii="Times New Roman" w:hAnsi="Times New Roman" w:cs="Times New Roman"/>
          <w:lang w:val="en-GB"/>
        </w:rPr>
        <w:t xml:space="preserve"> </w:t>
      </w:r>
      <w:r w:rsidR="00AF073A" w:rsidRPr="006D2720">
        <w:rPr>
          <w:rFonts w:ascii="Times New Roman" w:hAnsi="Times New Roman" w:cs="Times New Roman"/>
          <w:lang w:val="en-GB"/>
        </w:rPr>
        <w:t xml:space="preserve">by </w:t>
      </w:r>
      <w:r w:rsidRPr="006D2720">
        <w:rPr>
          <w:rFonts w:ascii="Times New Roman" w:hAnsi="Times New Roman" w:cs="Times New Roman"/>
          <w:lang w:val="en-GB"/>
        </w:rPr>
        <w:t>behaviour involving harassment</w:t>
      </w:r>
      <w:r w:rsidR="00565890" w:rsidRPr="006D2720">
        <w:rPr>
          <w:rFonts w:ascii="Times New Roman" w:hAnsi="Times New Roman" w:cs="Times New Roman"/>
          <w:lang w:val="en-GB"/>
        </w:rPr>
        <w:t>,</w:t>
      </w:r>
      <w:r w:rsidRPr="006D2720">
        <w:rPr>
          <w:rFonts w:ascii="Times New Roman" w:hAnsi="Times New Roman" w:cs="Times New Roman"/>
          <w:lang w:val="en-GB"/>
        </w:rPr>
        <w:t xml:space="preserve"> </w:t>
      </w:r>
      <w:r w:rsidR="00565890" w:rsidRPr="006D2720">
        <w:rPr>
          <w:rFonts w:ascii="Times New Roman" w:hAnsi="Times New Roman" w:cs="Times New Roman"/>
          <w:lang w:val="en-GB"/>
        </w:rPr>
        <w:t xml:space="preserve">stalking, </w:t>
      </w:r>
      <w:r w:rsidRPr="006D2720">
        <w:rPr>
          <w:rFonts w:ascii="Times New Roman" w:hAnsi="Times New Roman" w:cs="Times New Roman"/>
          <w:lang w:val="en-GB"/>
        </w:rPr>
        <w:t xml:space="preserve">and bullying. </w:t>
      </w:r>
    </w:p>
    <w:p w14:paraId="3B3B2B2F" w14:textId="3DE17229"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It is a crime to stalk or bully someone with intent to cause </w:t>
      </w:r>
      <w:r w:rsidR="00120985" w:rsidRPr="006D2720">
        <w:rPr>
          <w:rFonts w:ascii="Times New Roman" w:hAnsi="Times New Roman" w:cs="Times New Roman"/>
          <w:lang w:val="en-GB"/>
        </w:rPr>
        <w:t>them</w:t>
      </w:r>
      <w:r w:rsidRPr="006D2720">
        <w:rPr>
          <w:rFonts w:ascii="Times New Roman" w:hAnsi="Times New Roman" w:cs="Times New Roman"/>
          <w:lang w:val="en-GB"/>
        </w:rPr>
        <w:t xml:space="preserve"> physical or mental harm, including self-harm, or extreme humiliation, or to be apprehensive or fearful.</w:t>
      </w:r>
      <w:r w:rsidRPr="006D2720">
        <w:rPr>
          <w:rFonts w:ascii="Times New Roman" w:hAnsi="Times New Roman" w:cs="Times New Roman"/>
          <w:vertAlign w:val="superscript"/>
          <w:lang w:val="en-GB"/>
        </w:rPr>
        <w:footnoteReference w:id="353"/>
      </w:r>
      <w:r w:rsidRPr="006D2720">
        <w:rPr>
          <w:rFonts w:ascii="Times New Roman" w:hAnsi="Times New Roman" w:cs="Times New Roman"/>
          <w:lang w:val="en-GB"/>
        </w:rPr>
        <w:t xml:space="preserve"> Stalking or bullying means pursuing a course of conduct involving one or more behaviours</w:t>
      </w:r>
      <w:r w:rsidR="00E25CD2" w:rsidRPr="006D2720">
        <w:rPr>
          <w:rFonts w:ascii="Times New Roman" w:hAnsi="Times New Roman" w:cs="Times New Roman"/>
          <w:lang w:val="en-GB"/>
        </w:rPr>
        <w:t xml:space="preserve"> listed in the provision. These include </w:t>
      </w:r>
      <w:r w:rsidRPr="006D2720">
        <w:rPr>
          <w:rFonts w:ascii="Times New Roman" w:hAnsi="Times New Roman" w:cs="Times New Roman"/>
          <w:lang w:val="en-GB"/>
        </w:rPr>
        <w:t xml:space="preserve">following a person, keeping a person under surveillance, loitering outside a person’s residence, using the internet in an intimidating way, and acting in any another way that could reasonably be expected to cause another person the </w:t>
      </w:r>
      <w:r w:rsidR="00D866BF" w:rsidRPr="006D2720">
        <w:rPr>
          <w:rFonts w:ascii="Times New Roman" w:hAnsi="Times New Roman" w:cs="Times New Roman"/>
          <w:lang w:val="en-GB"/>
        </w:rPr>
        <w:t xml:space="preserve">requisite </w:t>
      </w:r>
      <w:r w:rsidRPr="006D2720">
        <w:rPr>
          <w:rFonts w:ascii="Times New Roman" w:hAnsi="Times New Roman" w:cs="Times New Roman"/>
          <w:lang w:val="en-GB"/>
        </w:rPr>
        <w:t xml:space="preserve">physical or mental harm. </w:t>
      </w:r>
    </w:p>
    <w:p w14:paraId="2E184911" w14:textId="6B32B2B4" w:rsidR="00FB2C33" w:rsidRPr="006D2720" w:rsidRDefault="0064050C" w:rsidP="00590897">
      <w:pPr>
        <w:pStyle w:val="Heading3"/>
        <w:rPr>
          <w:rFonts w:ascii="Times New Roman" w:hAnsi="Times New Roman" w:cs="Times New Roman"/>
          <w:lang w:val="en-GB"/>
        </w:rPr>
      </w:pPr>
      <w:r w:rsidRPr="006D2720">
        <w:rPr>
          <w:rFonts w:ascii="Times New Roman" w:hAnsi="Times New Roman" w:cs="Times New Roman"/>
          <w:lang w:val="en-GB"/>
        </w:rPr>
        <w:t xml:space="preserve">Although this crime covers a reasonably wide range of behaviours that could amount interference with physical or information privacy and associated harms, there are </w:t>
      </w:r>
      <w:r w:rsidR="00E25CD2" w:rsidRPr="006D2720">
        <w:rPr>
          <w:rFonts w:ascii="Times New Roman" w:hAnsi="Times New Roman" w:cs="Times New Roman"/>
          <w:lang w:val="en-GB"/>
        </w:rPr>
        <w:t xml:space="preserve">limits </w:t>
      </w:r>
      <w:r w:rsidRPr="006D2720">
        <w:rPr>
          <w:rFonts w:ascii="Times New Roman" w:hAnsi="Times New Roman" w:cs="Times New Roman"/>
          <w:lang w:val="en-GB"/>
        </w:rPr>
        <w:t xml:space="preserve">on the </w:t>
      </w:r>
      <w:r w:rsidR="00080DD7" w:rsidRPr="006D2720">
        <w:rPr>
          <w:rFonts w:ascii="Times New Roman" w:hAnsi="Times New Roman" w:cs="Times New Roman"/>
          <w:lang w:val="en-GB"/>
        </w:rPr>
        <w:t>extent of</w:t>
      </w:r>
      <w:r w:rsidR="00E25CD2" w:rsidRPr="006D2720">
        <w:rPr>
          <w:rFonts w:ascii="Times New Roman" w:hAnsi="Times New Roman" w:cs="Times New Roman"/>
          <w:lang w:val="en-GB"/>
        </w:rPr>
        <w:t xml:space="preserve"> privacy </w:t>
      </w:r>
      <w:r w:rsidR="00080DD7" w:rsidRPr="006D2720">
        <w:rPr>
          <w:rFonts w:ascii="Times New Roman" w:hAnsi="Times New Roman" w:cs="Times New Roman"/>
          <w:lang w:val="en-GB"/>
        </w:rPr>
        <w:t xml:space="preserve">protection </w:t>
      </w:r>
      <w:r w:rsidRPr="006D2720">
        <w:rPr>
          <w:rFonts w:ascii="Times New Roman" w:hAnsi="Times New Roman" w:cs="Times New Roman"/>
          <w:lang w:val="en-GB"/>
        </w:rPr>
        <w:t>this provision</w:t>
      </w:r>
      <w:r w:rsidR="00E25CD2" w:rsidRPr="006D2720">
        <w:rPr>
          <w:rFonts w:ascii="Times New Roman" w:hAnsi="Times New Roman" w:cs="Times New Roman"/>
          <w:lang w:val="en-GB"/>
        </w:rPr>
        <w:t xml:space="preserve"> can achieve</w:t>
      </w:r>
      <w:r w:rsidRPr="006D2720">
        <w:rPr>
          <w:rFonts w:ascii="Times New Roman" w:hAnsi="Times New Roman" w:cs="Times New Roman"/>
          <w:lang w:val="en-GB"/>
        </w:rPr>
        <w:t xml:space="preserve">. </w:t>
      </w:r>
      <w:r w:rsidR="00775AA0" w:rsidRPr="006D2720">
        <w:rPr>
          <w:rFonts w:ascii="Times New Roman" w:hAnsi="Times New Roman" w:cs="Times New Roman"/>
          <w:lang w:val="en-GB"/>
        </w:rPr>
        <w:t xml:space="preserve">Some </w:t>
      </w:r>
      <w:r w:rsidR="00FB2C33" w:rsidRPr="006D2720">
        <w:rPr>
          <w:rFonts w:ascii="Times New Roman" w:hAnsi="Times New Roman" w:cs="Times New Roman"/>
          <w:lang w:val="en-GB"/>
        </w:rPr>
        <w:t>difficulties include:</w:t>
      </w:r>
    </w:p>
    <w:p w14:paraId="176908CA" w14:textId="121F6A34" w:rsidR="00610DB7" w:rsidRPr="006D2720" w:rsidRDefault="00FB2C33" w:rsidP="00FB2C33">
      <w:pPr>
        <w:pStyle w:val="Dotpointlist"/>
        <w:rPr>
          <w:rFonts w:ascii="Times New Roman" w:hAnsi="Times New Roman" w:cs="Times New Roman"/>
          <w:lang w:val="en-GB"/>
        </w:rPr>
      </w:pPr>
      <w:r w:rsidRPr="006D2720">
        <w:rPr>
          <w:rFonts w:ascii="Times New Roman" w:hAnsi="Times New Roman" w:cs="Times New Roman"/>
          <w:lang w:val="en-GB"/>
        </w:rPr>
        <w:t xml:space="preserve">Even if someone has allegedly engaged in the proscribed behaviour, </w:t>
      </w:r>
      <w:r w:rsidR="00643905" w:rsidRPr="006D2720">
        <w:rPr>
          <w:rFonts w:ascii="Times New Roman" w:hAnsi="Times New Roman" w:cs="Times New Roman"/>
          <w:lang w:val="en-GB"/>
        </w:rPr>
        <w:t xml:space="preserve">there may be insufficient evidence to proceed to </w:t>
      </w:r>
      <w:r w:rsidRPr="006D2720">
        <w:rPr>
          <w:rFonts w:ascii="Times New Roman" w:hAnsi="Times New Roman" w:cs="Times New Roman"/>
          <w:lang w:val="en-GB"/>
        </w:rPr>
        <w:t xml:space="preserve">prosecution. </w:t>
      </w:r>
    </w:p>
    <w:p w14:paraId="3C42084E" w14:textId="4BD0D559" w:rsidR="00610DB7" w:rsidRPr="006D2720" w:rsidRDefault="00610DB7" w:rsidP="006B7503">
      <w:pPr>
        <w:pStyle w:val="Dotpointlist"/>
        <w:rPr>
          <w:rFonts w:ascii="Times New Roman" w:hAnsi="Times New Roman" w:cs="Times New Roman"/>
          <w:lang w:val="en-GB"/>
        </w:rPr>
      </w:pPr>
      <w:r w:rsidRPr="006D2720">
        <w:rPr>
          <w:rFonts w:ascii="Times New Roman" w:hAnsi="Times New Roman" w:cs="Times New Roman"/>
          <w:lang w:val="en-GB"/>
        </w:rPr>
        <w:t xml:space="preserve">A finding of guilt requires a high criminal standard of proof—beyond reasonable doubt. </w:t>
      </w:r>
    </w:p>
    <w:p w14:paraId="45CE8124" w14:textId="4FB2814D" w:rsidR="00FB2C33" w:rsidRPr="006D2720" w:rsidRDefault="00610DB7" w:rsidP="00DD7541">
      <w:pPr>
        <w:pStyle w:val="Dotpointlist"/>
        <w:rPr>
          <w:rFonts w:ascii="Times New Roman" w:hAnsi="Times New Roman" w:cs="Times New Roman"/>
          <w:lang w:val="en-GB"/>
        </w:rPr>
      </w:pPr>
      <w:r w:rsidRPr="006D2720">
        <w:rPr>
          <w:rFonts w:ascii="Times New Roman" w:hAnsi="Times New Roman" w:cs="Times New Roman"/>
          <w:lang w:val="en-GB"/>
        </w:rPr>
        <w:t>E</w:t>
      </w:r>
      <w:r w:rsidR="00FB2C33" w:rsidRPr="006D2720">
        <w:rPr>
          <w:rFonts w:ascii="Times New Roman" w:hAnsi="Times New Roman" w:cs="Times New Roman"/>
          <w:lang w:val="en-GB"/>
        </w:rPr>
        <w:t>ven if prosecution is commenced</w:t>
      </w:r>
      <w:r w:rsidRPr="006D2720">
        <w:rPr>
          <w:rFonts w:ascii="Times New Roman" w:hAnsi="Times New Roman" w:cs="Times New Roman"/>
          <w:lang w:val="en-GB"/>
        </w:rPr>
        <w:t xml:space="preserve"> and there is a finding of guilt</w:t>
      </w:r>
      <w:r w:rsidR="00FB2C33" w:rsidRPr="006D2720">
        <w:rPr>
          <w:rFonts w:ascii="Times New Roman" w:hAnsi="Times New Roman" w:cs="Times New Roman"/>
          <w:lang w:val="en-GB"/>
        </w:rPr>
        <w:t>, it will not necessarily result in any remedies for the victim</w:t>
      </w:r>
      <w:r w:rsidR="00A01043" w:rsidRPr="006D2720">
        <w:rPr>
          <w:rFonts w:ascii="Times New Roman" w:hAnsi="Times New Roman" w:cs="Times New Roman"/>
          <w:lang w:val="en-GB"/>
        </w:rPr>
        <w:t xml:space="preserve"> in the same way as there may be </w:t>
      </w:r>
      <w:r w:rsidR="001116BB" w:rsidRPr="006D2720">
        <w:rPr>
          <w:rFonts w:ascii="Times New Roman" w:hAnsi="Times New Roman" w:cs="Times New Roman"/>
          <w:lang w:val="en-GB"/>
        </w:rPr>
        <w:t xml:space="preserve">available </w:t>
      </w:r>
      <w:r w:rsidR="00A01043" w:rsidRPr="006D2720">
        <w:rPr>
          <w:rFonts w:ascii="Times New Roman" w:hAnsi="Times New Roman" w:cs="Times New Roman"/>
          <w:lang w:val="en-GB"/>
        </w:rPr>
        <w:t>under civil law</w:t>
      </w:r>
      <w:r w:rsidR="00FB2C33" w:rsidRPr="006D2720">
        <w:rPr>
          <w:rFonts w:ascii="Times New Roman" w:hAnsi="Times New Roman" w:cs="Times New Roman"/>
          <w:lang w:val="en-GB"/>
        </w:rPr>
        <w:t>. Criminal law s</w:t>
      </w:r>
      <w:r w:rsidR="00A01043" w:rsidRPr="006D2720">
        <w:rPr>
          <w:rFonts w:ascii="Times New Roman" w:hAnsi="Times New Roman" w:cs="Times New Roman"/>
          <w:lang w:val="en-GB"/>
        </w:rPr>
        <w:t xml:space="preserve">pecifies that sentences may be imposed to achieve certain purposes, including </w:t>
      </w:r>
      <w:r w:rsidR="00FB2C33" w:rsidRPr="006D2720">
        <w:rPr>
          <w:rFonts w:ascii="Times New Roman" w:hAnsi="Times New Roman" w:cs="Times New Roman"/>
          <w:lang w:val="en-GB"/>
        </w:rPr>
        <w:t>punish</w:t>
      </w:r>
      <w:r w:rsidR="00A01043" w:rsidRPr="006D2720">
        <w:rPr>
          <w:rFonts w:ascii="Times New Roman" w:hAnsi="Times New Roman" w:cs="Times New Roman"/>
          <w:lang w:val="en-GB"/>
        </w:rPr>
        <w:t>ment</w:t>
      </w:r>
      <w:r w:rsidR="00FB2C33" w:rsidRPr="006D2720">
        <w:rPr>
          <w:rFonts w:ascii="Times New Roman" w:hAnsi="Times New Roman" w:cs="Times New Roman"/>
          <w:lang w:val="en-GB"/>
        </w:rPr>
        <w:t>, deter</w:t>
      </w:r>
      <w:r w:rsidR="00A01043" w:rsidRPr="006D2720">
        <w:rPr>
          <w:rFonts w:ascii="Times New Roman" w:hAnsi="Times New Roman" w:cs="Times New Roman"/>
          <w:lang w:val="en-GB"/>
        </w:rPr>
        <w:t>rence</w:t>
      </w:r>
      <w:r w:rsidR="00FB2C33" w:rsidRPr="006D2720">
        <w:rPr>
          <w:rFonts w:ascii="Times New Roman" w:hAnsi="Times New Roman" w:cs="Times New Roman"/>
          <w:lang w:val="en-GB"/>
        </w:rPr>
        <w:t xml:space="preserve">, and </w:t>
      </w:r>
      <w:r w:rsidR="00A01043" w:rsidRPr="006D2720">
        <w:rPr>
          <w:rFonts w:ascii="Times New Roman" w:hAnsi="Times New Roman" w:cs="Times New Roman"/>
          <w:lang w:val="en-GB"/>
        </w:rPr>
        <w:t xml:space="preserve">rehabilitation of </w:t>
      </w:r>
      <w:r w:rsidRPr="006D2720">
        <w:rPr>
          <w:rFonts w:ascii="Times New Roman" w:hAnsi="Times New Roman" w:cs="Times New Roman"/>
          <w:lang w:val="en-GB"/>
        </w:rPr>
        <w:t>the perpetrator</w:t>
      </w:r>
      <w:r w:rsidR="00A01043" w:rsidRPr="006D2720">
        <w:rPr>
          <w:rFonts w:ascii="Times New Roman" w:hAnsi="Times New Roman" w:cs="Times New Roman"/>
          <w:lang w:val="en-GB"/>
        </w:rPr>
        <w:t>, and community protection</w:t>
      </w:r>
      <w:r w:rsidR="00FB2C33" w:rsidRPr="006D2720">
        <w:rPr>
          <w:rFonts w:ascii="Times New Roman" w:hAnsi="Times New Roman" w:cs="Times New Roman"/>
          <w:lang w:val="en-GB"/>
        </w:rPr>
        <w:t xml:space="preserve">—it does not seek to compensate </w:t>
      </w:r>
      <w:r w:rsidRPr="006D2720">
        <w:rPr>
          <w:rFonts w:ascii="Times New Roman" w:hAnsi="Times New Roman" w:cs="Times New Roman"/>
          <w:lang w:val="en-GB"/>
        </w:rPr>
        <w:t xml:space="preserve">the victim </w:t>
      </w:r>
      <w:r w:rsidR="00FB2C33" w:rsidRPr="006D2720">
        <w:rPr>
          <w:rFonts w:ascii="Times New Roman" w:hAnsi="Times New Roman" w:cs="Times New Roman"/>
          <w:lang w:val="en-GB"/>
        </w:rPr>
        <w:t xml:space="preserve">for harm. </w:t>
      </w:r>
    </w:p>
    <w:p w14:paraId="2F9D7824" w14:textId="41345EF0" w:rsidR="00FB2C33" w:rsidRPr="006D2720" w:rsidRDefault="00FB2C33" w:rsidP="00FB2C33">
      <w:pPr>
        <w:pStyle w:val="Dotpointlist"/>
        <w:rPr>
          <w:rFonts w:ascii="Times New Roman" w:hAnsi="Times New Roman" w:cs="Times New Roman"/>
          <w:lang w:val="en-GB"/>
        </w:rPr>
      </w:pPr>
      <w:r w:rsidRPr="006D2720">
        <w:rPr>
          <w:rFonts w:ascii="Times New Roman" w:hAnsi="Times New Roman" w:cs="Times New Roman"/>
          <w:lang w:val="en-GB"/>
        </w:rPr>
        <w:t>The requirement that there be a ‘course of conduct’ means the behaviour must have occurred more than once—one-off instances of intrusion are excluded.</w:t>
      </w:r>
      <w:r w:rsidRPr="006D2720">
        <w:rPr>
          <w:rStyle w:val="FootnoteReference"/>
          <w:rFonts w:ascii="Times New Roman" w:hAnsi="Times New Roman" w:cs="Times New Roman"/>
          <w:lang w:val="en-GB"/>
        </w:rPr>
        <w:footnoteReference w:id="354"/>
      </w:r>
    </w:p>
    <w:p w14:paraId="44163FA5" w14:textId="4C8FEC54" w:rsidR="00FB2C33" w:rsidRPr="006D2720" w:rsidRDefault="00FB2C33" w:rsidP="00FB2C33">
      <w:pPr>
        <w:pStyle w:val="Dotpointlist"/>
        <w:rPr>
          <w:rFonts w:ascii="Times New Roman" w:hAnsi="Times New Roman" w:cs="Times New Roman"/>
          <w:lang w:val="en-GB"/>
        </w:rPr>
      </w:pPr>
      <w:r w:rsidRPr="006D2720">
        <w:rPr>
          <w:rFonts w:ascii="Times New Roman" w:hAnsi="Times New Roman" w:cs="Times New Roman"/>
          <w:lang w:val="en-GB"/>
        </w:rPr>
        <w:t>The offence requires</w:t>
      </w:r>
      <w:r w:rsidR="00643905" w:rsidRPr="006D2720">
        <w:rPr>
          <w:rFonts w:ascii="Times New Roman" w:hAnsi="Times New Roman" w:cs="Times New Roman"/>
          <w:lang w:val="en-GB"/>
        </w:rPr>
        <w:t xml:space="preserve"> the prosecutor to prove that the defendant knew </w:t>
      </w:r>
      <w:r w:rsidRPr="006D2720">
        <w:rPr>
          <w:rFonts w:ascii="Times New Roman" w:hAnsi="Times New Roman" w:cs="Times New Roman"/>
          <w:lang w:val="en-GB"/>
        </w:rPr>
        <w:t xml:space="preserve">that the course of conduct would be likely to cause the specific harm. </w:t>
      </w:r>
      <w:r w:rsidR="00C92DC3" w:rsidRPr="006D2720">
        <w:rPr>
          <w:rFonts w:ascii="Times New Roman" w:hAnsi="Times New Roman" w:cs="Times New Roman"/>
          <w:lang w:val="en-GB"/>
        </w:rPr>
        <w:t>Depending on the available evidence in any one case, it could be very difficult for a prosecutor to prove this ‘mental element’ of knowledge</w:t>
      </w:r>
      <w:r w:rsidRPr="006D2720">
        <w:rPr>
          <w:rFonts w:ascii="Times New Roman" w:hAnsi="Times New Roman" w:cs="Times New Roman"/>
          <w:lang w:val="en-GB"/>
        </w:rPr>
        <w:t>.</w:t>
      </w:r>
      <w:r w:rsidRPr="006D2720">
        <w:rPr>
          <w:rStyle w:val="FootnoteReference"/>
          <w:rFonts w:ascii="Times New Roman" w:hAnsi="Times New Roman" w:cs="Times New Roman"/>
          <w:lang w:val="en-GB"/>
        </w:rPr>
        <w:footnoteReference w:id="355"/>
      </w:r>
    </w:p>
    <w:p w14:paraId="6BAE53A5" w14:textId="43A4E114" w:rsidR="0064050C" w:rsidRPr="006D2720" w:rsidRDefault="0064050C" w:rsidP="0066337D">
      <w:pPr>
        <w:pStyle w:val="Heading3"/>
        <w:rPr>
          <w:rFonts w:ascii="Times New Roman" w:hAnsi="Times New Roman" w:cs="Times New Roman"/>
          <w:lang w:val="en-GB"/>
        </w:rPr>
      </w:pPr>
      <w:bookmarkStart w:id="392" w:name="_Toc91536766"/>
      <w:bookmarkStart w:id="393" w:name="_Toc91536767"/>
      <w:bookmarkEnd w:id="392"/>
      <w:bookmarkEnd w:id="393"/>
      <w:r w:rsidRPr="006D2720">
        <w:rPr>
          <w:rFonts w:ascii="Times New Roman" w:hAnsi="Times New Roman" w:cs="Times New Roman"/>
          <w:lang w:val="en-GB"/>
        </w:rPr>
        <w:t xml:space="preserve">Apart from this general </w:t>
      </w:r>
      <w:r w:rsidR="00942598" w:rsidRPr="006D2720">
        <w:rPr>
          <w:rFonts w:ascii="Times New Roman" w:hAnsi="Times New Roman" w:cs="Times New Roman"/>
          <w:lang w:val="en-GB"/>
        </w:rPr>
        <w:t>crime</w:t>
      </w:r>
      <w:r w:rsidRPr="006D2720">
        <w:rPr>
          <w:rFonts w:ascii="Times New Roman" w:hAnsi="Times New Roman" w:cs="Times New Roman"/>
          <w:lang w:val="en-GB"/>
        </w:rPr>
        <w:t>, other legislative or regulatory provisions prohibit harassment or similar behaviour in various specific contexts which may involve interferences with privacy</w:t>
      </w:r>
      <w:r w:rsidR="00942598" w:rsidRPr="006D2720">
        <w:rPr>
          <w:rFonts w:ascii="Times New Roman" w:hAnsi="Times New Roman" w:cs="Times New Roman"/>
          <w:lang w:val="en-GB"/>
        </w:rPr>
        <w:t xml:space="preserve">. This includes </w:t>
      </w:r>
      <w:r w:rsidRPr="006D2720">
        <w:rPr>
          <w:rFonts w:ascii="Times New Roman" w:hAnsi="Times New Roman" w:cs="Times New Roman"/>
          <w:lang w:val="en-GB"/>
        </w:rPr>
        <w:t>door to door trading,</w:t>
      </w:r>
      <w:r w:rsidRPr="006D2720">
        <w:rPr>
          <w:rFonts w:ascii="Times New Roman" w:hAnsi="Times New Roman" w:cs="Times New Roman"/>
          <w:vertAlign w:val="superscript"/>
          <w:lang w:val="en-GB"/>
        </w:rPr>
        <w:footnoteReference w:id="356"/>
      </w:r>
      <w:r w:rsidRPr="006D2720">
        <w:rPr>
          <w:rFonts w:ascii="Times New Roman" w:hAnsi="Times New Roman" w:cs="Times New Roman"/>
          <w:lang w:val="en-GB"/>
        </w:rPr>
        <w:t xml:space="preserve"> family relations</w:t>
      </w:r>
      <w:r w:rsidR="00A01043" w:rsidRPr="006D2720">
        <w:rPr>
          <w:rFonts w:ascii="Times New Roman" w:hAnsi="Times New Roman" w:cs="Times New Roman"/>
          <w:lang w:val="en-GB"/>
        </w:rPr>
        <w:t>hips</w:t>
      </w:r>
      <w:r w:rsidRPr="006D2720">
        <w:rPr>
          <w:rFonts w:ascii="Times New Roman" w:hAnsi="Times New Roman" w:cs="Times New Roman"/>
          <w:lang w:val="en-GB"/>
        </w:rPr>
        <w:t xml:space="preserve"> (harassment can lead to a Police Family Violence Order being imposed),</w:t>
      </w:r>
      <w:r w:rsidRPr="006D2720">
        <w:rPr>
          <w:rFonts w:ascii="Times New Roman" w:hAnsi="Times New Roman" w:cs="Times New Roman"/>
          <w:vertAlign w:val="superscript"/>
          <w:lang w:val="en-GB"/>
        </w:rPr>
        <w:footnoteReference w:id="357"/>
      </w:r>
      <w:r w:rsidRPr="006D2720">
        <w:rPr>
          <w:rFonts w:ascii="Times New Roman" w:hAnsi="Times New Roman" w:cs="Times New Roman"/>
          <w:lang w:val="en-GB"/>
        </w:rPr>
        <w:t xml:space="preserve"> solicitors’ conduct when engaging in court processes (particularly regarding how clients are advised and witnesses are treated),</w:t>
      </w:r>
      <w:r w:rsidRPr="006D2720">
        <w:rPr>
          <w:rFonts w:ascii="Times New Roman" w:hAnsi="Times New Roman" w:cs="Times New Roman"/>
          <w:vertAlign w:val="superscript"/>
          <w:lang w:val="en-GB"/>
        </w:rPr>
        <w:footnoteReference w:id="358"/>
      </w:r>
      <w:r w:rsidRPr="006D2720">
        <w:rPr>
          <w:rFonts w:ascii="Times New Roman" w:hAnsi="Times New Roman" w:cs="Times New Roman"/>
          <w:lang w:val="en-GB"/>
        </w:rPr>
        <w:t xml:space="preserve"> and public transport.</w:t>
      </w:r>
      <w:r w:rsidRPr="006D2720">
        <w:rPr>
          <w:rFonts w:ascii="Times New Roman" w:hAnsi="Times New Roman" w:cs="Times New Roman"/>
          <w:vertAlign w:val="superscript"/>
          <w:lang w:val="en-GB"/>
        </w:rPr>
        <w:footnoteReference w:id="359"/>
      </w:r>
    </w:p>
    <w:p w14:paraId="3CBFE33E" w14:textId="4FA8CC98"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Further, the </w:t>
      </w:r>
      <w:r w:rsidRPr="006D2720">
        <w:rPr>
          <w:rFonts w:ascii="Times New Roman" w:hAnsi="Times New Roman" w:cs="Times New Roman"/>
          <w:i/>
          <w:lang w:val="en-GB"/>
        </w:rPr>
        <w:t xml:space="preserve">Sex Discrimination Act 1994 </w:t>
      </w:r>
      <w:r w:rsidRPr="006D2720">
        <w:rPr>
          <w:rFonts w:ascii="Times New Roman" w:hAnsi="Times New Roman" w:cs="Times New Roman"/>
          <w:iCs/>
          <w:lang w:val="en-GB"/>
        </w:rPr>
        <w:t>(Tas)</w:t>
      </w:r>
      <w:r w:rsidRPr="006D2720">
        <w:rPr>
          <w:rFonts w:ascii="Times New Roman" w:hAnsi="Times New Roman" w:cs="Times New Roman"/>
          <w:lang w:val="en-GB"/>
        </w:rPr>
        <w:t xml:space="preserve"> prohibits conduct which offends, humiliates, intimidates, insults</w:t>
      </w:r>
      <w:r w:rsidR="008270A2" w:rsidRPr="006D2720">
        <w:rPr>
          <w:rFonts w:ascii="Times New Roman" w:hAnsi="Times New Roman" w:cs="Times New Roman"/>
          <w:lang w:val="en-GB"/>
        </w:rPr>
        <w:t>,</w:t>
      </w:r>
      <w:r w:rsidRPr="006D2720">
        <w:rPr>
          <w:rFonts w:ascii="Times New Roman" w:hAnsi="Times New Roman" w:cs="Times New Roman"/>
          <w:lang w:val="en-GB"/>
        </w:rPr>
        <w:t xml:space="preserve"> or ridicules another person on the basis of a specified attribute, where a reasonable person would have anticipated the conduct to have that effect on the other person.</w:t>
      </w:r>
      <w:r w:rsidRPr="006D2720">
        <w:rPr>
          <w:rFonts w:ascii="Times New Roman" w:hAnsi="Times New Roman" w:cs="Times New Roman"/>
          <w:vertAlign w:val="superscript"/>
          <w:lang w:val="en-GB"/>
        </w:rPr>
        <w:footnoteReference w:id="360"/>
      </w:r>
      <w:r w:rsidRPr="006D2720">
        <w:rPr>
          <w:rFonts w:ascii="Times New Roman" w:hAnsi="Times New Roman" w:cs="Times New Roman"/>
          <w:lang w:val="en-GB"/>
        </w:rPr>
        <w:t xml:space="preserve"> </w:t>
      </w:r>
      <w:r w:rsidR="00B42442" w:rsidRPr="006D2720">
        <w:rPr>
          <w:rFonts w:ascii="Times New Roman" w:hAnsi="Times New Roman" w:cs="Times New Roman"/>
          <w:lang w:val="en-GB"/>
        </w:rPr>
        <w:t xml:space="preserve">Specified attributes include gender, marital status, pregnancy, parental status, and family responsibilities. </w:t>
      </w:r>
      <w:r w:rsidRPr="006D2720">
        <w:rPr>
          <w:rFonts w:ascii="Times New Roman" w:hAnsi="Times New Roman" w:cs="Times New Roman"/>
          <w:lang w:val="en-GB"/>
        </w:rPr>
        <w:t xml:space="preserve">Given </w:t>
      </w:r>
      <w:r w:rsidR="008270A2" w:rsidRPr="006D2720">
        <w:rPr>
          <w:rFonts w:ascii="Times New Roman" w:hAnsi="Times New Roman" w:cs="Times New Roman"/>
          <w:lang w:val="en-GB"/>
        </w:rPr>
        <w:t xml:space="preserve">that </w:t>
      </w:r>
      <w:r w:rsidR="00B42442" w:rsidRPr="006D2720">
        <w:rPr>
          <w:rFonts w:ascii="Times New Roman" w:hAnsi="Times New Roman" w:cs="Times New Roman"/>
          <w:lang w:val="en-GB"/>
        </w:rPr>
        <w:t>these</w:t>
      </w:r>
      <w:r w:rsidRPr="006D2720">
        <w:rPr>
          <w:rFonts w:ascii="Times New Roman" w:hAnsi="Times New Roman" w:cs="Times New Roman"/>
          <w:lang w:val="en-GB"/>
        </w:rPr>
        <w:t xml:space="preserve"> relate largely to a person’s private and family life, this </w:t>
      </w:r>
      <w:r w:rsidR="006E1F28" w:rsidRPr="006D2720">
        <w:rPr>
          <w:rFonts w:ascii="Times New Roman" w:hAnsi="Times New Roman" w:cs="Times New Roman"/>
          <w:lang w:val="en-GB"/>
        </w:rPr>
        <w:t>provision</w:t>
      </w:r>
      <w:r w:rsidRPr="006D2720">
        <w:rPr>
          <w:rFonts w:ascii="Times New Roman" w:hAnsi="Times New Roman" w:cs="Times New Roman"/>
          <w:lang w:val="en-GB"/>
        </w:rPr>
        <w:t xml:space="preserve"> may protect individuals from harmful interferences with their private and family lives, or</w:t>
      </w:r>
      <w:r w:rsidR="0076778A" w:rsidRPr="006D2720">
        <w:rPr>
          <w:rFonts w:ascii="Times New Roman" w:hAnsi="Times New Roman" w:cs="Times New Roman"/>
          <w:lang w:val="en-GB"/>
        </w:rPr>
        <w:t xml:space="preserve"> from</w:t>
      </w:r>
      <w:r w:rsidRPr="006D2720">
        <w:rPr>
          <w:rFonts w:ascii="Times New Roman" w:hAnsi="Times New Roman" w:cs="Times New Roman"/>
          <w:lang w:val="en-GB"/>
        </w:rPr>
        <w:t xml:space="preserve"> misuse of their private information</w:t>
      </w:r>
      <w:r w:rsidR="00A37425" w:rsidRPr="006D2720">
        <w:rPr>
          <w:rFonts w:ascii="Times New Roman" w:hAnsi="Times New Roman" w:cs="Times New Roman"/>
          <w:lang w:val="en-GB"/>
        </w:rPr>
        <w:t>. However,</w:t>
      </w:r>
      <w:r w:rsidRPr="006D2720">
        <w:rPr>
          <w:rFonts w:ascii="Times New Roman" w:hAnsi="Times New Roman" w:cs="Times New Roman"/>
          <w:lang w:val="en-GB"/>
        </w:rPr>
        <w:t xml:space="preserve"> the harmful conduct </w:t>
      </w:r>
      <w:r w:rsidR="00A37425" w:rsidRPr="006D2720">
        <w:rPr>
          <w:rFonts w:ascii="Times New Roman" w:hAnsi="Times New Roman" w:cs="Times New Roman"/>
          <w:lang w:val="en-GB"/>
        </w:rPr>
        <w:t xml:space="preserve">must be done </w:t>
      </w:r>
      <w:r w:rsidR="00E57F37" w:rsidRPr="006D2720">
        <w:rPr>
          <w:rFonts w:ascii="Times New Roman" w:hAnsi="Times New Roman" w:cs="Times New Roman"/>
          <w:lang w:val="en-GB"/>
        </w:rPr>
        <w:t>on</w:t>
      </w:r>
      <w:r w:rsidR="00A37425" w:rsidRPr="006D2720">
        <w:rPr>
          <w:rFonts w:ascii="Times New Roman" w:hAnsi="Times New Roman" w:cs="Times New Roman"/>
          <w:lang w:val="en-GB"/>
        </w:rPr>
        <w:t xml:space="preserve"> </w:t>
      </w:r>
      <w:r w:rsidRPr="006D2720">
        <w:rPr>
          <w:rFonts w:ascii="Times New Roman" w:hAnsi="Times New Roman" w:cs="Times New Roman"/>
          <w:lang w:val="en-GB"/>
        </w:rPr>
        <w:t>the requisite discriminatory basis</w:t>
      </w:r>
      <w:r w:rsidR="00E57F37" w:rsidRPr="006D2720">
        <w:rPr>
          <w:rFonts w:ascii="Times New Roman" w:hAnsi="Times New Roman" w:cs="Times New Roman"/>
          <w:lang w:val="en-GB"/>
        </w:rPr>
        <w:t xml:space="preserve"> and with the required intent</w:t>
      </w:r>
      <w:r w:rsidR="00136568" w:rsidRPr="006D2720">
        <w:rPr>
          <w:rFonts w:ascii="Times New Roman" w:hAnsi="Times New Roman" w:cs="Times New Roman"/>
          <w:lang w:val="en-GB"/>
        </w:rPr>
        <w:t xml:space="preserve"> in order to fall within the scope of this prohibition</w:t>
      </w:r>
      <w:r w:rsidRPr="006D2720">
        <w:rPr>
          <w:rFonts w:ascii="Times New Roman" w:hAnsi="Times New Roman" w:cs="Times New Roman"/>
          <w:lang w:val="en-GB"/>
        </w:rPr>
        <w:t>.</w:t>
      </w:r>
    </w:p>
    <w:p w14:paraId="73F50504" w14:textId="7D5B1626" w:rsidR="0064050C" w:rsidRPr="006D2720" w:rsidRDefault="0064050C" w:rsidP="00CA1A69">
      <w:pPr>
        <w:pStyle w:val="Heading2"/>
        <w:numPr>
          <w:ilvl w:val="0"/>
          <w:numId w:val="0"/>
        </w:numPr>
        <w:ind w:left="578" w:hanging="578"/>
        <w:rPr>
          <w:rFonts w:ascii="Times New Roman" w:hAnsi="Times New Roman" w:cs="Times New Roman"/>
          <w:i/>
          <w:iCs/>
        </w:rPr>
      </w:pPr>
      <w:bookmarkStart w:id="394" w:name="_Toc91832019"/>
      <w:bookmarkStart w:id="395" w:name="_Toc130540454"/>
      <w:r w:rsidRPr="006D2720">
        <w:rPr>
          <w:rFonts w:ascii="Times New Roman" w:hAnsi="Times New Roman" w:cs="Times New Roman"/>
          <w:i/>
          <w:iCs/>
        </w:rPr>
        <w:t>Unauthorised sharing of intimate images</w:t>
      </w:r>
      <w:bookmarkEnd w:id="394"/>
      <w:bookmarkEnd w:id="395"/>
    </w:p>
    <w:p w14:paraId="1F431C54" w14:textId="6FCB3944"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The Commonwealth Parliament has legislated to protect individuals from online harassment and unauthorised (online) sharing of intimate images. The underlying rationale is to address instances of </w:t>
      </w:r>
      <w:r w:rsidR="00D05431">
        <w:rPr>
          <w:rFonts w:ascii="Times New Roman" w:hAnsi="Times New Roman" w:cs="Times New Roman"/>
          <w:lang w:val="en-GB"/>
        </w:rPr>
        <w:t>image</w:t>
      </w:r>
      <w:r w:rsidR="007422E6">
        <w:rPr>
          <w:rFonts w:ascii="Times New Roman" w:hAnsi="Times New Roman" w:cs="Times New Roman"/>
          <w:lang w:val="en-GB"/>
        </w:rPr>
        <w:t>-</w:t>
      </w:r>
      <w:r w:rsidR="00D05431">
        <w:rPr>
          <w:rFonts w:ascii="Times New Roman" w:hAnsi="Times New Roman" w:cs="Times New Roman"/>
          <w:lang w:val="en-GB"/>
        </w:rPr>
        <w:t>based abuse</w:t>
      </w:r>
      <w:r w:rsidRPr="006D2720">
        <w:rPr>
          <w:rFonts w:ascii="Times New Roman" w:hAnsi="Times New Roman" w:cs="Times New Roman"/>
          <w:lang w:val="en-GB"/>
        </w:rPr>
        <w:t xml:space="preserve"> and other egregious, largely online, interferences with privacy. </w:t>
      </w:r>
    </w:p>
    <w:p w14:paraId="32FC5BC3" w14:textId="733116D1"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The </w:t>
      </w:r>
      <w:r w:rsidR="009C34F8" w:rsidRPr="006D2720">
        <w:rPr>
          <w:rFonts w:ascii="Times New Roman" w:hAnsi="Times New Roman" w:cs="Times New Roman"/>
          <w:i/>
          <w:lang w:val="en-GB"/>
        </w:rPr>
        <w:t xml:space="preserve">Enhancing Online Safety (Non-consensual Sharing of Intimate Images) Act 2018 </w:t>
      </w:r>
      <w:r w:rsidR="009C34F8" w:rsidRPr="006D2720">
        <w:rPr>
          <w:rFonts w:ascii="Times New Roman" w:hAnsi="Times New Roman" w:cs="Times New Roman"/>
          <w:iCs/>
          <w:lang w:val="en-GB"/>
        </w:rPr>
        <w:t>(Cth)</w:t>
      </w:r>
      <w:r w:rsidR="009C34F8" w:rsidRPr="006D2720">
        <w:rPr>
          <w:rFonts w:ascii="Times New Roman" w:hAnsi="Times New Roman" w:cs="Times New Roman"/>
          <w:lang w:val="en-GB"/>
        </w:rPr>
        <w:t xml:space="preserve"> </w:t>
      </w:r>
      <w:r w:rsidRPr="006D2720">
        <w:rPr>
          <w:rFonts w:ascii="Times New Roman" w:hAnsi="Times New Roman" w:cs="Times New Roman"/>
          <w:lang w:val="en-GB"/>
        </w:rPr>
        <w:t xml:space="preserve">amended the </w:t>
      </w:r>
      <w:r w:rsidRPr="006D2720">
        <w:rPr>
          <w:rFonts w:ascii="Times New Roman" w:hAnsi="Times New Roman" w:cs="Times New Roman"/>
          <w:i/>
          <w:lang w:val="en-GB"/>
        </w:rPr>
        <w:t>Criminal Code Act 1995</w:t>
      </w:r>
      <w:r w:rsidRPr="006D2720">
        <w:rPr>
          <w:rFonts w:ascii="Times New Roman" w:hAnsi="Times New Roman" w:cs="Times New Roman"/>
          <w:iCs/>
          <w:lang w:val="en-GB"/>
        </w:rPr>
        <w:t xml:space="preserve"> (Cth)</w:t>
      </w:r>
      <w:r w:rsidR="00074F2C" w:rsidRPr="006D2720">
        <w:rPr>
          <w:rFonts w:ascii="Times New Roman" w:hAnsi="Times New Roman" w:cs="Times New Roman"/>
          <w:iCs/>
          <w:lang w:val="en-GB"/>
        </w:rPr>
        <w:t xml:space="preserve"> to provide for an </w:t>
      </w:r>
      <w:r w:rsidR="00074F2C" w:rsidRPr="006D2720">
        <w:rPr>
          <w:rFonts w:ascii="Times New Roman" w:hAnsi="Times New Roman" w:cs="Times New Roman"/>
          <w:lang w:val="en-GB"/>
        </w:rPr>
        <w:t xml:space="preserve">aggravated </w:t>
      </w:r>
      <w:r w:rsidR="005D1415" w:rsidRPr="006D2720">
        <w:rPr>
          <w:rFonts w:ascii="Times New Roman" w:hAnsi="Times New Roman" w:cs="Times New Roman"/>
          <w:lang w:val="en-GB"/>
        </w:rPr>
        <w:t xml:space="preserve">version of the </w:t>
      </w:r>
      <w:r w:rsidR="00074F2C" w:rsidRPr="006D2720">
        <w:rPr>
          <w:rFonts w:ascii="Times New Roman" w:hAnsi="Times New Roman" w:cs="Times New Roman"/>
          <w:lang w:val="en-GB"/>
        </w:rPr>
        <w:t>existing offence of using a carriage service to menace, harass, or cause offence.</w:t>
      </w:r>
      <w:r w:rsidR="00074F2C" w:rsidRPr="006D2720">
        <w:rPr>
          <w:rStyle w:val="FootnoteReference"/>
          <w:rFonts w:ascii="Times New Roman" w:hAnsi="Times New Roman" w:cs="Times New Roman"/>
          <w:lang w:val="en-GB"/>
        </w:rPr>
        <w:footnoteReference w:id="361"/>
      </w:r>
      <w:r w:rsidR="00074F2C" w:rsidRPr="006D2720">
        <w:rPr>
          <w:rFonts w:ascii="Times New Roman" w:hAnsi="Times New Roman" w:cs="Times New Roman"/>
          <w:lang w:val="en-GB"/>
        </w:rPr>
        <w:t xml:space="preserve"> The aggravated offence applies where commission of the underlying offence </w:t>
      </w:r>
      <w:r w:rsidRPr="006D2720">
        <w:rPr>
          <w:rFonts w:ascii="Times New Roman" w:hAnsi="Times New Roman" w:cs="Times New Roman"/>
          <w:lang w:val="en-GB"/>
        </w:rPr>
        <w:t>involves transmi</w:t>
      </w:r>
      <w:r w:rsidR="009C34F8" w:rsidRPr="006D2720">
        <w:rPr>
          <w:rFonts w:ascii="Times New Roman" w:hAnsi="Times New Roman" w:cs="Times New Roman"/>
          <w:lang w:val="en-GB"/>
        </w:rPr>
        <w:t>tting</w:t>
      </w:r>
      <w:r w:rsidRPr="006D2720">
        <w:rPr>
          <w:rFonts w:ascii="Times New Roman" w:hAnsi="Times New Roman" w:cs="Times New Roman"/>
          <w:lang w:val="en-GB"/>
        </w:rPr>
        <w:t>, making available, publi</w:t>
      </w:r>
      <w:r w:rsidR="009C34F8" w:rsidRPr="006D2720">
        <w:rPr>
          <w:rFonts w:ascii="Times New Roman" w:hAnsi="Times New Roman" w:cs="Times New Roman"/>
          <w:lang w:val="en-GB"/>
        </w:rPr>
        <w:t>shing</w:t>
      </w:r>
      <w:r w:rsidRPr="006D2720">
        <w:rPr>
          <w:rFonts w:ascii="Times New Roman" w:hAnsi="Times New Roman" w:cs="Times New Roman"/>
          <w:lang w:val="en-GB"/>
        </w:rPr>
        <w:t>, distributi</w:t>
      </w:r>
      <w:r w:rsidR="009C34F8" w:rsidRPr="006D2720">
        <w:rPr>
          <w:rFonts w:ascii="Times New Roman" w:hAnsi="Times New Roman" w:cs="Times New Roman"/>
          <w:lang w:val="en-GB"/>
        </w:rPr>
        <w:t>ng</w:t>
      </w:r>
      <w:r w:rsidRPr="006D2720">
        <w:rPr>
          <w:rFonts w:ascii="Times New Roman" w:hAnsi="Times New Roman" w:cs="Times New Roman"/>
          <w:lang w:val="en-GB"/>
        </w:rPr>
        <w:t>, advertis</w:t>
      </w:r>
      <w:r w:rsidR="009C34F8" w:rsidRPr="006D2720">
        <w:rPr>
          <w:rFonts w:ascii="Times New Roman" w:hAnsi="Times New Roman" w:cs="Times New Roman"/>
          <w:lang w:val="en-GB"/>
        </w:rPr>
        <w:t>ing,</w:t>
      </w:r>
      <w:r w:rsidRPr="006D2720">
        <w:rPr>
          <w:rFonts w:ascii="Times New Roman" w:hAnsi="Times New Roman" w:cs="Times New Roman"/>
          <w:lang w:val="en-GB"/>
        </w:rPr>
        <w:t xml:space="preserve"> or promoti</w:t>
      </w:r>
      <w:r w:rsidR="009C34F8" w:rsidRPr="006D2720">
        <w:rPr>
          <w:rFonts w:ascii="Times New Roman" w:hAnsi="Times New Roman" w:cs="Times New Roman"/>
          <w:lang w:val="en-GB"/>
        </w:rPr>
        <w:t>ng</w:t>
      </w:r>
      <w:r w:rsidRPr="006D2720">
        <w:rPr>
          <w:rFonts w:ascii="Times New Roman" w:hAnsi="Times New Roman" w:cs="Times New Roman"/>
          <w:lang w:val="en-GB"/>
        </w:rPr>
        <w:t xml:space="preserve"> private sexual material. This amendment is largely targeted at </w:t>
      </w:r>
      <w:r w:rsidR="00D05431">
        <w:rPr>
          <w:rFonts w:ascii="Times New Roman" w:hAnsi="Times New Roman" w:cs="Times New Roman"/>
          <w:lang w:val="en-GB"/>
        </w:rPr>
        <w:t>image</w:t>
      </w:r>
      <w:r w:rsidR="007422E6">
        <w:rPr>
          <w:rFonts w:ascii="Times New Roman" w:hAnsi="Times New Roman" w:cs="Times New Roman"/>
          <w:lang w:val="en-GB"/>
        </w:rPr>
        <w:t>-</w:t>
      </w:r>
      <w:r w:rsidR="00D05431">
        <w:rPr>
          <w:rFonts w:ascii="Times New Roman" w:hAnsi="Times New Roman" w:cs="Times New Roman"/>
          <w:lang w:val="en-GB"/>
        </w:rPr>
        <w:t>based abuse</w:t>
      </w:r>
      <w:r w:rsidRPr="006D2720">
        <w:rPr>
          <w:rFonts w:ascii="Times New Roman" w:hAnsi="Times New Roman" w:cs="Times New Roman"/>
          <w:lang w:val="en-GB"/>
        </w:rPr>
        <w:t xml:space="preserve">, which involves the non-consensual online publication of intimate sexual images of an individual, usually with the intent or effect of harassing, blackmail, shaming, or demeaning </w:t>
      </w:r>
      <w:r w:rsidR="009C34F8" w:rsidRPr="006D2720">
        <w:rPr>
          <w:rFonts w:ascii="Times New Roman" w:hAnsi="Times New Roman" w:cs="Times New Roman"/>
          <w:lang w:val="en-GB"/>
        </w:rPr>
        <w:t>them</w:t>
      </w:r>
      <w:r w:rsidRPr="006D2720">
        <w:rPr>
          <w:rFonts w:ascii="Times New Roman" w:hAnsi="Times New Roman" w:cs="Times New Roman"/>
          <w:lang w:val="en-GB"/>
        </w:rPr>
        <w:t>.</w:t>
      </w:r>
    </w:p>
    <w:p w14:paraId="4CC30A74" w14:textId="5A8E2B05" w:rsidR="00E16E3B"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The 2018 Act also amended the </w:t>
      </w:r>
      <w:r w:rsidRPr="006D2720">
        <w:rPr>
          <w:rFonts w:ascii="Times New Roman" w:hAnsi="Times New Roman" w:cs="Times New Roman"/>
          <w:i/>
          <w:lang w:val="en-GB"/>
        </w:rPr>
        <w:t xml:space="preserve">Enhancing Online Safety Act 2015 </w:t>
      </w:r>
      <w:r w:rsidRPr="006D2720">
        <w:rPr>
          <w:rFonts w:ascii="Times New Roman" w:hAnsi="Times New Roman" w:cs="Times New Roman"/>
          <w:iCs/>
          <w:lang w:val="en-GB"/>
        </w:rPr>
        <w:t xml:space="preserve">(Cth) </w:t>
      </w:r>
      <w:r w:rsidRPr="006D2720">
        <w:rPr>
          <w:rFonts w:ascii="Times New Roman" w:hAnsi="Times New Roman" w:cs="Times New Roman"/>
          <w:lang w:val="en-GB"/>
        </w:rPr>
        <w:t>to create civil penalty offences for posting intimate images on social media without a person’s consent</w:t>
      </w:r>
      <w:r w:rsidR="005D1415" w:rsidRPr="006D2720">
        <w:rPr>
          <w:rFonts w:ascii="Times New Roman" w:hAnsi="Times New Roman" w:cs="Times New Roman"/>
          <w:lang w:val="en-GB"/>
        </w:rPr>
        <w:t xml:space="preserve">. The </w:t>
      </w:r>
      <w:r w:rsidR="00E6195E" w:rsidRPr="006D2720">
        <w:rPr>
          <w:rFonts w:ascii="Times New Roman" w:hAnsi="Times New Roman" w:cs="Times New Roman"/>
          <w:lang w:val="en-GB"/>
        </w:rPr>
        <w:t>penalties</w:t>
      </w:r>
      <w:r w:rsidRPr="006D2720">
        <w:rPr>
          <w:rFonts w:ascii="Times New Roman" w:hAnsi="Times New Roman" w:cs="Times New Roman"/>
          <w:lang w:val="en-GB"/>
        </w:rPr>
        <w:t xml:space="preserve"> can be imposed by a Federal Court or the Federal Circuit Court following application by the National e-Safety Commissioner. The National e-Safety Commissioner also </w:t>
      </w:r>
      <w:r w:rsidR="00E6195E" w:rsidRPr="006D2720">
        <w:rPr>
          <w:rFonts w:ascii="Times New Roman" w:hAnsi="Times New Roman" w:cs="Times New Roman"/>
          <w:lang w:val="en-GB"/>
        </w:rPr>
        <w:t>gained various</w:t>
      </w:r>
      <w:r w:rsidRPr="006D2720">
        <w:rPr>
          <w:rFonts w:ascii="Times New Roman" w:hAnsi="Times New Roman" w:cs="Times New Roman"/>
          <w:lang w:val="en-GB"/>
        </w:rPr>
        <w:t xml:space="preserve"> powers</w:t>
      </w:r>
      <w:r w:rsidR="00E6195E" w:rsidRPr="006D2720">
        <w:rPr>
          <w:rFonts w:ascii="Times New Roman" w:hAnsi="Times New Roman" w:cs="Times New Roman"/>
          <w:lang w:val="en-GB"/>
        </w:rPr>
        <w:t xml:space="preserve"> under the amendments, </w:t>
      </w:r>
      <w:r w:rsidRPr="006D2720">
        <w:rPr>
          <w:rFonts w:ascii="Times New Roman" w:hAnsi="Times New Roman" w:cs="Times New Roman"/>
          <w:lang w:val="en-GB"/>
        </w:rPr>
        <w:t>including powers to investigate complaints</w:t>
      </w:r>
      <w:r w:rsidR="00E6195E" w:rsidRPr="006D2720">
        <w:rPr>
          <w:rFonts w:ascii="Times New Roman" w:hAnsi="Times New Roman" w:cs="Times New Roman"/>
          <w:lang w:val="en-GB"/>
        </w:rPr>
        <w:t xml:space="preserve"> with respect to intimate images, </w:t>
      </w:r>
      <w:r w:rsidRPr="006D2720">
        <w:rPr>
          <w:rFonts w:ascii="Times New Roman" w:hAnsi="Times New Roman" w:cs="Times New Roman"/>
          <w:lang w:val="en-GB"/>
        </w:rPr>
        <w:t>issue infringement notices</w:t>
      </w:r>
      <w:r w:rsidR="00E6195E" w:rsidRPr="006D2720">
        <w:rPr>
          <w:rFonts w:ascii="Times New Roman" w:hAnsi="Times New Roman" w:cs="Times New Roman"/>
          <w:lang w:val="en-GB"/>
        </w:rPr>
        <w:t>,</w:t>
      </w:r>
      <w:r w:rsidRPr="006D2720">
        <w:rPr>
          <w:rFonts w:ascii="Times New Roman" w:hAnsi="Times New Roman" w:cs="Times New Roman"/>
          <w:lang w:val="en-GB"/>
        </w:rPr>
        <w:t xml:space="preserve"> and require social media providers to take reasonable steps to remove intimate images. </w:t>
      </w:r>
      <w:r w:rsidR="00E6195E" w:rsidRPr="006D2720">
        <w:rPr>
          <w:rFonts w:ascii="Times New Roman" w:hAnsi="Times New Roman" w:cs="Times New Roman"/>
          <w:lang w:val="en-GB"/>
        </w:rPr>
        <w:t>As with the amendments to the federal criminal law</w:t>
      </w:r>
      <w:r w:rsidRPr="006D2720">
        <w:rPr>
          <w:rFonts w:ascii="Times New Roman" w:hAnsi="Times New Roman" w:cs="Times New Roman"/>
          <w:lang w:val="en-GB"/>
        </w:rPr>
        <w:t xml:space="preserve">, this is </w:t>
      </w:r>
      <w:r w:rsidR="00121813" w:rsidRPr="006D2720">
        <w:rPr>
          <w:rFonts w:ascii="Times New Roman" w:hAnsi="Times New Roman" w:cs="Times New Roman"/>
          <w:lang w:val="en-GB"/>
        </w:rPr>
        <w:t xml:space="preserve">largely </w:t>
      </w:r>
      <w:r w:rsidRPr="006D2720">
        <w:rPr>
          <w:rFonts w:ascii="Times New Roman" w:hAnsi="Times New Roman" w:cs="Times New Roman"/>
          <w:lang w:val="en-GB"/>
        </w:rPr>
        <w:t xml:space="preserve">targeted at </w:t>
      </w:r>
      <w:r w:rsidR="00D05431">
        <w:rPr>
          <w:rFonts w:ascii="Times New Roman" w:hAnsi="Times New Roman" w:cs="Times New Roman"/>
          <w:lang w:val="en-GB"/>
        </w:rPr>
        <w:t>image</w:t>
      </w:r>
      <w:r w:rsidR="007422E6">
        <w:rPr>
          <w:rFonts w:ascii="Times New Roman" w:hAnsi="Times New Roman" w:cs="Times New Roman"/>
          <w:lang w:val="en-GB"/>
        </w:rPr>
        <w:t>-</w:t>
      </w:r>
      <w:r w:rsidR="00D05431">
        <w:rPr>
          <w:rFonts w:ascii="Times New Roman" w:hAnsi="Times New Roman" w:cs="Times New Roman"/>
          <w:lang w:val="en-GB"/>
        </w:rPr>
        <w:t>based abuse</w:t>
      </w:r>
      <w:r w:rsidRPr="006D2720">
        <w:rPr>
          <w:rFonts w:ascii="Times New Roman" w:hAnsi="Times New Roman" w:cs="Times New Roman"/>
          <w:lang w:val="en-GB"/>
        </w:rPr>
        <w:t>.</w:t>
      </w:r>
      <w:r w:rsidR="00322F76" w:rsidRPr="006D2720">
        <w:rPr>
          <w:rFonts w:ascii="Times New Roman" w:hAnsi="Times New Roman" w:cs="Times New Roman"/>
          <w:lang w:val="en-GB"/>
        </w:rPr>
        <w:t xml:space="preserve"> </w:t>
      </w:r>
    </w:p>
    <w:p w14:paraId="7137C6DE" w14:textId="117C64DE" w:rsidR="0064050C" w:rsidRPr="006D2720" w:rsidRDefault="00322F76" w:rsidP="0066337D">
      <w:pPr>
        <w:pStyle w:val="Heading3"/>
        <w:rPr>
          <w:rFonts w:ascii="Times New Roman" w:hAnsi="Times New Roman" w:cs="Times New Roman"/>
          <w:lang w:val="en-GB"/>
        </w:rPr>
      </w:pPr>
      <w:r w:rsidRPr="006D2720">
        <w:rPr>
          <w:rFonts w:ascii="Times New Roman" w:hAnsi="Times New Roman" w:cs="Times New Roman"/>
          <w:lang w:val="en-GB"/>
        </w:rPr>
        <w:t>The</w:t>
      </w:r>
      <w:r w:rsidR="00E16E3B" w:rsidRPr="006D2720">
        <w:rPr>
          <w:rFonts w:ascii="Times New Roman" w:hAnsi="Times New Roman" w:cs="Times New Roman"/>
          <w:lang w:val="en-GB"/>
        </w:rPr>
        <w:t xml:space="preserve">se provisions were retained and largely replicated in the </w:t>
      </w:r>
      <w:r w:rsidRPr="006D2720">
        <w:rPr>
          <w:rFonts w:ascii="Times New Roman" w:hAnsi="Times New Roman" w:cs="Times New Roman"/>
          <w:i/>
          <w:lang w:val="en-GB"/>
        </w:rPr>
        <w:t>Online Safety Act 2021</w:t>
      </w:r>
      <w:r w:rsidRPr="006D2720">
        <w:rPr>
          <w:rFonts w:ascii="Times New Roman" w:hAnsi="Times New Roman" w:cs="Times New Roman"/>
          <w:lang w:val="en-GB"/>
        </w:rPr>
        <w:t xml:space="preserve"> (Cth)</w:t>
      </w:r>
      <w:r w:rsidR="00E16E3B" w:rsidRPr="006D2720">
        <w:rPr>
          <w:rFonts w:ascii="Times New Roman" w:hAnsi="Times New Roman" w:cs="Times New Roman"/>
          <w:lang w:val="en-GB"/>
        </w:rPr>
        <w:t xml:space="preserve">. </w:t>
      </w:r>
      <w:r w:rsidR="001F3402" w:rsidRPr="006D2720">
        <w:rPr>
          <w:rFonts w:ascii="Times New Roman" w:hAnsi="Times New Roman" w:cs="Times New Roman"/>
          <w:lang w:val="en-GB"/>
        </w:rPr>
        <w:t>This</w:t>
      </w:r>
      <w:r w:rsidR="00E16E3B" w:rsidRPr="006D2720">
        <w:rPr>
          <w:rFonts w:ascii="Times New Roman" w:hAnsi="Times New Roman" w:cs="Times New Roman"/>
          <w:lang w:val="en-GB"/>
        </w:rPr>
        <w:t xml:space="preserve"> Act </w:t>
      </w:r>
      <w:r w:rsidR="005B1399" w:rsidRPr="006D2720">
        <w:rPr>
          <w:rFonts w:ascii="Times New Roman" w:hAnsi="Times New Roman" w:cs="Times New Roman"/>
          <w:lang w:val="en-GB"/>
        </w:rPr>
        <w:t>further</w:t>
      </w:r>
      <w:r w:rsidR="00E16E3B" w:rsidRPr="006D2720">
        <w:rPr>
          <w:rFonts w:ascii="Times New Roman" w:hAnsi="Times New Roman" w:cs="Times New Roman"/>
          <w:lang w:val="en-GB"/>
        </w:rPr>
        <w:t xml:space="preserve"> introduced a complaints-based removal notice system and </w:t>
      </w:r>
      <w:r w:rsidRPr="006D2720">
        <w:rPr>
          <w:rFonts w:ascii="Times New Roman" w:hAnsi="Times New Roman" w:cs="Times New Roman"/>
          <w:lang w:val="en-GB"/>
        </w:rPr>
        <w:t>further strengthened the e-Safety Commissioner’s powers</w:t>
      </w:r>
      <w:r w:rsidR="00760886" w:rsidRPr="006D2720">
        <w:rPr>
          <w:rFonts w:ascii="Times New Roman" w:hAnsi="Times New Roman" w:cs="Times New Roman"/>
          <w:lang w:val="en-GB"/>
        </w:rPr>
        <w:t xml:space="preserve"> to allow for </w:t>
      </w:r>
      <w:r w:rsidRPr="006D2720">
        <w:rPr>
          <w:rFonts w:ascii="Times New Roman" w:hAnsi="Times New Roman" w:cs="Times New Roman"/>
          <w:lang w:val="en-GB"/>
        </w:rPr>
        <w:t>order</w:t>
      </w:r>
      <w:r w:rsidR="00760886" w:rsidRPr="006D2720">
        <w:rPr>
          <w:rFonts w:ascii="Times New Roman" w:hAnsi="Times New Roman" w:cs="Times New Roman"/>
          <w:lang w:val="en-GB"/>
        </w:rPr>
        <w:t>ing the</w:t>
      </w:r>
      <w:r w:rsidRPr="006D2720">
        <w:rPr>
          <w:rFonts w:ascii="Times New Roman" w:hAnsi="Times New Roman" w:cs="Times New Roman"/>
          <w:lang w:val="en-GB"/>
        </w:rPr>
        <w:t xml:space="preserve"> removal of material posted with the likely intention of causing serious harm,</w:t>
      </w:r>
      <w:r w:rsidR="00E16E3B" w:rsidRPr="006D2720">
        <w:rPr>
          <w:rFonts w:ascii="Times New Roman" w:hAnsi="Times New Roman" w:cs="Times New Roman"/>
          <w:lang w:val="en-GB"/>
        </w:rPr>
        <w:t xml:space="preserve"> including cyber-bullying and image-based abuse.</w:t>
      </w:r>
      <w:r w:rsidR="00E16E3B" w:rsidRPr="006D2720">
        <w:rPr>
          <w:rStyle w:val="FootnoteReference"/>
          <w:rFonts w:ascii="Times New Roman" w:hAnsi="Times New Roman" w:cs="Times New Roman"/>
          <w:lang w:val="en-GB"/>
        </w:rPr>
        <w:footnoteReference w:id="362"/>
      </w:r>
      <w:r w:rsidRPr="006D2720">
        <w:rPr>
          <w:rFonts w:ascii="Times New Roman" w:hAnsi="Times New Roman" w:cs="Times New Roman"/>
          <w:lang w:val="en-GB"/>
        </w:rPr>
        <w:t xml:space="preserve"> </w:t>
      </w:r>
      <w:r w:rsidR="00BE00B4" w:rsidRPr="006D2720">
        <w:rPr>
          <w:rFonts w:ascii="Times New Roman" w:hAnsi="Times New Roman" w:cs="Times New Roman"/>
          <w:lang w:val="en-GB"/>
        </w:rPr>
        <w:t xml:space="preserve">This Act is intended to operate concurrently with </w:t>
      </w:r>
      <w:r w:rsidR="00760886" w:rsidRPr="006D2720">
        <w:rPr>
          <w:rFonts w:ascii="Times New Roman" w:hAnsi="Times New Roman" w:cs="Times New Roman"/>
          <w:lang w:val="en-GB"/>
        </w:rPr>
        <w:t>s</w:t>
      </w:r>
      <w:r w:rsidR="00BE00B4" w:rsidRPr="006D2720">
        <w:rPr>
          <w:rFonts w:ascii="Times New Roman" w:hAnsi="Times New Roman" w:cs="Times New Roman"/>
          <w:lang w:val="en-GB"/>
        </w:rPr>
        <w:t xml:space="preserve">tate and </w:t>
      </w:r>
      <w:r w:rsidR="00760886" w:rsidRPr="006D2720">
        <w:rPr>
          <w:rFonts w:ascii="Times New Roman" w:hAnsi="Times New Roman" w:cs="Times New Roman"/>
          <w:lang w:val="en-GB"/>
        </w:rPr>
        <w:t>t</w:t>
      </w:r>
      <w:r w:rsidR="00BE00B4" w:rsidRPr="006D2720">
        <w:rPr>
          <w:rFonts w:ascii="Times New Roman" w:hAnsi="Times New Roman" w:cs="Times New Roman"/>
          <w:lang w:val="en-GB"/>
        </w:rPr>
        <w:t>erritory laws.</w:t>
      </w:r>
      <w:r w:rsidR="00BE00B4" w:rsidRPr="006D2720">
        <w:rPr>
          <w:rStyle w:val="FootnoteReference"/>
          <w:rFonts w:ascii="Times New Roman" w:hAnsi="Times New Roman" w:cs="Times New Roman"/>
          <w:lang w:val="en-GB"/>
        </w:rPr>
        <w:footnoteReference w:id="363"/>
      </w:r>
    </w:p>
    <w:p w14:paraId="23633A16" w14:textId="6C364C92" w:rsidR="0064050C" w:rsidRPr="006D2720" w:rsidRDefault="0024469D" w:rsidP="0066337D">
      <w:pPr>
        <w:pStyle w:val="Heading3"/>
        <w:rPr>
          <w:rFonts w:ascii="Times New Roman" w:hAnsi="Times New Roman" w:cs="Times New Roman"/>
          <w:lang w:val="en-GB"/>
        </w:rPr>
      </w:pPr>
      <w:r w:rsidRPr="006D2720">
        <w:rPr>
          <w:rFonts w:ascii="Times New Roman" w:hAnsi="Times New Roman" w:cs="Times New Roman"/>
          <w:lang w:val="en-GB"/>
        </w:rPr>
        <w:t>S</w:t>
      </w:r>
      <w:r w:rsidR="0064050C" w:rsidRPr="006D2720">
        <w:rPr>
          <w:rFonts w:ascii="Times New Roman" w:hAnsi="Times New Roman" w:cs="Times New Roman"/>
          <w:lang w:val="en-GB"/>
        </w:rPr>
        <w:t xml:space="preserve">ome </w:t>
      </w:r>
      <w:r w:rsidR="00760886" w:rsidRPr="006D2720">
        <w:rPr>
          <w:rFonts w:ascii="Times New Roman" w:hAnsi="Times New Roman" w:cs="Times New Roman"/>
          <w:lang w:val="en-GB"/>
        </w:rPr>
        <w:t>jurisdictions</w:t>
      </w:r>
      <w:r w:rsidR="0064050C" w:rsidRPr="006D2720">
        <w:rPr>
          <w:rFonts w:ascii="Times New Roman" w:hAnsi="Times New Roman" w:cs="Times New Roman"/>
          <w:lang w:val="en-GB"/>
        </w:rPr>
        <w:t xml:space="preserve"> also have specific voyeurism offences which operate concurrently with the Commonwealth laws. For example, the </w:t>
      </w:r>
      <w:r w:rsidR="0064050C" w:rsidRPr="006D2720">
        <w:rPr>
          <w:rFonts w:ascii="Times New Roman" w:hAnsi="Times New Roman" w:cs="Times New Roman"/>
          <w:i/>
          <w:lang w:val="en-GB"/>
        </w:rPr>
        <w:t xml:space="preserve">Crimes Amendment (Sexual Offences) Act 2008 </w:t>
      </w:r>
      <w:r w:rsidR="0064050C" w:rsidRPr="006D2720">
        <w:rPr>
          <w:rFonts w:ascii="Times New Roman" w:hAnsi="Times New Roman" w:cs="Times New Roman"/>
          <w:iCs/>
          <w:lang w:val="en-GB"/>
        </w:rPr>
        <w:t xml:space="preserve">(NSW) </w:t>
      </w:r>
      <w:r w:rsidR="0064050C" w:rsidRPr="006D2720">
        <w:rPr>
          <w:rFonts w:ascii="Times New Roman" w:hAnsi="Times New Roman" w:cs="Times New Roman"/>
          <w:lang w:val="en-GB"/>
        </w:rPr>
        <w:t xml:space="preserve">introduced specific offences concerning voyeurism and filming a person engaged in a private act. Similar offences have also been introduced in Queensland, the ACT, Victoria, </w:t>
      </w:r>
      <w:r w:rsidR="00E16E3B" w:rsidRPr="006D2720">
        <w:rPr>
          <w:rFonts w:ascii="Times New Roman" w:hAnsi="Times New Roman" w:cs="Times New Roman"/>
          <w:lang w:val="en-GB"/>
        </w:rPr>
        <w:t xml:space="preserve">and </w:t>
      </w:r>
      <w:r w:rsidR="0064050C" w:rsidRPr="006D2720">
        <w:rPr>
          <w:rFonts w:ascii="Times New Roman" w:hAnsi="Times New Roman" w:cs="Times New Roman"/>
          <w:lang w:val="en-GB"/>
        </w:rPr>
        <w:t xml:space="preserve">South Australia. </w:t>
      </w:r>
    </w:p>
    <w:p w14:paraId="20E795BE" w14:textId="0D1140E9" w:rsidR="0064050C" w:rsidRPr="006D2720" w:rsidRDefault="0064050C" w:rsidP="0066337D">
      <w:pPr>
        <w:pStyle w:val="Heading3"/>
        <w:rPr>
          <w:rFonts w:ascii="Times New Roman" w:hAnsi="Times New Roman" w:cs="Times New Roman"/>
          <w:lang w:val="en-GB"/>
        </w:rPr>
      </w:pPr>
      <w:r w:rsidRPr="006D2720">
        <w:rPr>
          <w:rFonts w:ascii="Times New Roman" w:hAnsi="Times New Roman" w:cs="Times New Roman"/>
          <w:lang w:val="en-GB"/>
        </w:rPr>
        <w:t xml:space="preserve">In 2017, Commonwealth, </w:t>
      </w:r>
      <w:r w:rsidR="00760886" w:rsidRPr="006D2720">
        <w:rPr>
          <w:rFonts w:ascii="Times New Roman" w:hAnsi="Times New Roman" w:cs="Times New Roman"/>
          <w:lang w:val="en-GB"/>
        </w:rPr>
        <w:t>s</w:t>
      </w:r>
      <w:r w:rsidRPr="006D2720">
        <w:rPr>
          <w:rFonts w:ascii="Times New Roman" w:hAnsi="Times New Roman" w:cs="Times New Roman"/>
          <w:lang w:val="en-GB"/>
        </w:rPr>
        <w:t>tate</w:t>
      </w:r>
      <w:r w:rsidR="00F80172" w:rsidRPr="006D2720">
        <w:rPr>
          <w:rFonts w:ascii="Times New Roman" w:hAnsi="Times New Roman" w:cs="Times New Roman"/>
          <w:lang w:val="en-GB"/>
        </w:rPr>
        <w:t>,</w:t>
      </w:r>
      <w:r w:rsidRPr="006D2720">
        <w:rPr>
          <w:rFonts w:ascii="Times New Roman" w:hAnsi="Times New Roman" w:cs="Times New Roman"/>
          <w:lang w:val="en-GB"/>
        </w:rPr>
        <w:t xml:space="preserve"> and </w:t>
      </w:r>
      <w:r w:rsidR="00760886" w:rsidRPr="006D2720">
        <w:rPr>
          <w:rFonts w:ascii="Times New Roman" w:hAnsi="Times New Roman" w:cs="Times New Roman"/>
          <w:lang w:val="en-GB"/>
        </w:rPr>
        <w:t>t</w:t>
      </w:r>
      <w:r w:rsidRPr="006D2720">
        <w:rPr>
          <w:rFonts w:ascii="Times New Roman" w:hAnsi="Times New Roman" w:cs="Times New Roman"/>
          <w:lang w:val="en-GB"/>
        </w:rPr>
        <w:t xml:space="preserve">erritory jurisdictions agreed to the </w:t>
      </w:r>
      <w:r w:rsidRPr="006D2720">
        <w:rPr>
          <w:rFonts w:ascii="Times New Roman" w:hAnsi="Times New Roman" w:cs="Times New Roman"/>
          <w:i/>
          <w:lang w:val="en-GB"/>
        </w:rPr>
        <w:t xml:space="preserve">National Statement of Principles Relating to the </w:t>
      </w:r>
      <w:r w:rsidR="00F80172" w:rsidRPr="006D2720">
        <w:rPr>
          <w:rFonts w:ascii="Times New Roman" w:hAnsi="Times New Roman" w:cs="Times New Roman"/>
          <w:i/>
          <w:lang w:val="en-GB"/>
        </w:rPr>
        <w:t xml:space="preserve">Criminalisation </w:t>
      </w:r>
      <w:r w:rsidRPr="006D2720">
        <w:rPr>
          <w:rFonts w:ascii="Times New Roman" w:hAnsi="Times New Roman" w:cs="Times New Roman"/>
          <w:i/>
          <w:lang w:val="en-GB"/>
        </w:rPr>
        <w:t>of the Non-Consensual Sharing of Intimate Images</w:t>
      </w:r>
      <w:r w:rsidRPr="006D2720">
        <w:rPr>
          <w:rFonts w:ascii="Times New Roman" w:hAnsi="Times New Roman" w:cs="Times New Roman"/>
          <w:lang w:val="en-GB"/>
        </w:rPr>
        <w:t xml:space="preserve">. This led to </w:t>
      </w:r>
      <w:r w:rsidR="00F80172" w:rsidRPr="006D2720">
        <w:rPr>
          <w:rFonts w:ascii="Times New Roman" w:hAnsi="Times New Roman" w:cs="Times New Roman"/>
          <w:lang w:val="en-GB"/>
        </w:rPr>
        <w:t xml:space="preserve">nearly </w:t>
      </w:r>
      <w:r w:rsidRPr="006D2720">
        <w:rPr>
          <w:rFonts w:ascii="Times New Roman" w:hAnsi="Times New Roman" w:cs="Times New Roman"/>
          <w:lang w:val="en-GB"/>
        </w:rPr>
        <w:t xml:space="preserve">all </w:t>
      </w:r>
      <w:r w:rsidR="00760886" w:rsidRPr="006D2720">
        <w:rPr>
          <w:rFonts w:ascii="Times New Roman" w:hAnsi="Times New Roman" w:cs="Times New Roman"/>
          <w:lang w:val="en-GB"/>
        </w:rPr>
        <w:t>s</w:t>
      </w:r>
      <w:r w:rsidRPr="006D2720">
        <w:rPr>
          <w:rFonts w:ascii="Times New Roman" w:hAnsi="Times New Roman" w:cs="Times New Roman"/>
          <w:lang w:val="en-GB"/>
        </w:rPr>
        <w:t xml:space="preserve">tates and </w:t>
      </w:r>
      <w:r w:rsidR="00760886" w:rsidRPr="006D2720">
        <w:rPr>
          <w:rFonts w:ascii="Times New Roman" w:hAnsi="Times New Roman" w:cs="Times New Roman"/>
          <w:lang w:val="en-GB"/>
        </w:rPr>
        <w:t>t</w:t>
      </w:r>
      <w:r w:rsidRPr="006D2720">
        <w:rPr>
          <w:rFonts w:ascii="Times New Roman" w:hAnsi="Times New Roman" w:cs="Times New Roman"/>
          <w:lang w:val="en-GB"/>
        </w:rPr>
        <w:t>erritories passing laws that introduced offences concerning the distribution of images without consent.</w:t>
      </w:r>
      <w:r w:rsidR="00F80172" w:rsidRPr="006D2720">
        <w:rPr>
          <w:rStyle w:val="FootnoteReference"/>
          <w:rFonts w:ascii="Times New Roman" w:hAnsi="Times New Roman" w:cs="Times New Roman"/>
          <w:lang w:val="en-GB"/>
        </w:rPr>
        <w:footnoteReference w:id="364"/>
      </w:r>
      <w:r w:rsidRPr="006D2720">
        <w:rPr>
          <w:rFonts w:ascii="Times New Roman" w:hAnsi="Times New Roman" w:cs="Times New Roman"/>
          <w:lang w:val="en-GB"/>
        </w:rPr>
        <w:t xml:space="preserve"> </w:t>
      </w:r>
      <w:r w:rsidR="00F80172" w:rsidRPr="006D2720">
        <w:rPr>
          <w:rFonts w:ascii="Times New Roman" w:hAnsi="Times New Roman" w:cs="Times New Roman"/>
          <w:lang w:val="en-GB"/>
        </w:rPr>
        <w:t xml:space="preserve">Notably, Tasmania remains the current exception where such crimes have </w:t>
      </w:r>
      <w:r w:rsidR="00F80172" w:rsidRPr="006D2720">
        <w:rPr>
          <w:rFonts w:ascii="Times New Roman" w:hAnsi="Times New Roman" w:cs="Times New Roman"/>
          <w:i/>
          <w:iCs/>
          <w:lang w:val="en-GB"/>
        </w:rPr>
        <w:t xml:space="preserve">not </w:t>
      </w:r>
      <w:r w:rsidR="00F80172" w:rsidRPr="006D2720">
        <w:rPr>
          <w:rFonts w:ascii="Times New Roman" w:hAnsi="Times New Roman" w:cs="Times New Roman"/>
          <w:lang w:val="en-GB"/>
        </w:rPr>
        <w:t xml:space="preserve">been introduced. </w:t>
      </w:r>
    </w:p>
    <w:p w14:paraId="10C24A0B" w14:textId="69F3E9F5" w:rsidR="0064050C" w:rsidRPr="006D2720" w:rsidRDefault="00992DDD" w:rsidP="0066337D">
      <w:pPr>
        <w:pStyle w:val="Heading3"/>
        <w:rPr>
          <w:rFonts w:ascii="Times New Roman" w:hAnsi="Times New Roman" w:cs="Times New Roman"/>
          <w:lang w:val="en-GB"/>
        </w:rPr>
      </w:pPr>
      <w:r w:rsidRPr="006D2720">
        <w:rPr>
          <w:rFonts w:ascii="Times New Roman" w:hAnsi="Times New Roman" w:cs="Times New Roman"/>
          <w:lang w:val="en-GB"/>
        </w:rPr>
        <w:t xml:space="preserve">In </w:t>
      </w:r>
      <w:r w:rsidR="00614884" w:rsidRPr="006D2720">
        <w:rPr>
          <w:rFonts w:ascii="Times New Roman" w:hAnsi="Times New Roman" w:cs="Times New Roman"/>
          <w:lang w:val="en-GB"/>
        </w:rPr>
        <w:t>NSW</w:t>
      </w:r>
      <w:r w:rsidR="00F80172" w:rsidRPr="006D2720">
        <w:rPr>
          <w:rFonts w:ascii="Times New Roman" w:hAnsi="Times New Roman" w:cs="Times New Roman"/>
          <w:lang w:val="en-GB"/>
        </w:rPr>
        <w:t>, the</w:t>
      </w:r>
      <w:r w:rsidR="0064050C" w:rsidRPr="006D2720">
        <w:rPr>
          <w:rFonts w:ascii="Times New Roman" w:hAnsi="Times New Roman" w:cs="Times New Roman"/>
          <w:lang w:val="en-GB"/>
        </w:rPr>
        <w:t xml:space="preserve"> </w:t>
      </w:r>
      <w:r w:rsidR="00F80172" w:rsidRPr="006D2720">
        <w:rPr>
          <w:rFonts w:ascii="Times New Roman" w:hAnsi="Times New Roman" w:cs="Times New Roman"/>
          <w:i/>
          <w:lang w:val="en-GB"/>
        </w:rPr>
        <w:t xml:space="preserve">Crimes Amendment (Intimate Images) Act 2017 </w:t>
      </w:r>
      <w:r w:rsidR="0064050C" w:rsidRPr="006D2720">
        <w:rPr>
          <w:rFonts w:ascii="Times New Roman" w:hAnsi="Times New Roman" w:cs="Times New Roman"/>
          <w:lang w:val="en-GB"/>
        </w:rPr>
        <w:t xml:space="preserve">inserted four new offences into the </w:t>
      </w:r>
      <w:r w:rsidR="0064050C" w:rsidRPr="006D2720">
        <w:rPr>
          <w:rFonts w:ascii="Times New Roman" w:hAnsi="Times New Roman" w:cs="Times New Roman"/>
          <w:i/>
          <w:lang w:val="en-GB"/>
        </w:rPr>
        <w:t xml:space="preserve">Crimes Act 1900 </w:t>
      </w:r>
      <w:r w:rsidR="0064050C" w:rsidRPr="006D2720">
        <w:rPr>
          <w:rFonts w:ascii="Times New Roman" w:hAnsi="Times New Roman" w:cs="Times New Roman"/>
          <w:iCs/>
          <w:lang w:val="en-GB"/>
        </w:rPr>
        <w:t>(NSW)</w:t>
      </w:r>
      <w:r w:rsidR="00F80172" w:rsidRPr="006D2720">
        <w:rPr>
          <w:rFonts w:ascii="Times New Roman" w:hAnsi="Times New Roman" w:cs="Times New Roman"/>
          <w:iCs/>
          <w:lang w:val="en-GB"/>
        </w:rPr>
        <w:t>, including recording,</w:t>
      </w:r>
      <w:r w:rsidR="00F80172" w:rsidRPr="006D2720">
        <w:rPr>
          <w:rFonts w:ascii="Times New Roman" w:hAnsi="Times New Roman" w:cs="Times New Roman"/>
          <w:vertAlign w:val="superscript"/>
          <w:lang w:val="en-GB"/>
        </w:rPr>
        <w:footnoteReference w:id="365"/>
      </w:r>
      <w:r w:rsidR="00F80172" w:rsidRPr="006D2720">
        <w:rPr>
          <w:rFonts w:ascii="Times New Roman" w:hAnsi="Times New Roman" w:cs="Times New Roman"/>
          <w:iCs/>
          <w:lang w:val="en-GB"/>
        </w:rPr>
        <w:t xml:space="preserve"> distributing,</w:t>
      </w:r>
      <w:r w:rsidR="00F80172" w:rsidRPr="006D2720">
        <w:rPr>
          <w:rFonts w:ascii="Times New Roman" w:hAnsi="Times New Roman" w:cs="Times New Roman"/>
          <w:vertAlign w:val="superscript"/>
          <w:lang w:val="en-GB"/>
        </w:rPr>
        <w:footnoteReference w:id="366"/>
      </w:r>
      <w:r w:rsidR="00F80172" w:rsidRPr="006D2720">
        <w:rPr>
          <w:rFonts w:ascii="Times New Roman" w:hAnsi="Times New Roman" w:cs="Times New Roman"/>
          <w:iCs/>
          <w:lang w:val="en-GB"/>
        </w:rPr>
        <w:t xml:space="preserve"> threatening to record,</w:t>
      </w:r>
      <w:r w:rsidR="00F80172" w:rsidRPr="006D2720">
        <w:rPr>
          <w:rFonts w:ascii="Times New Roman" w:hAnsi="Times New Roman" w:cs="Times New Roman"/>
          <w:vertAlign w:val="superscript"/>
          <w:lang w:val="en-GB"/>
        </w:rPr>
        <w:footnoteReference w:id="367"/>
      </w:r>
      <w:r w:rsidR="00F80172" w:rsidRPr="006D2720">
        <w:rPr>
          <w:rFonts w:ascii="Times New Roman" w:hAnsi="Times New Roman" w:cs="Times New Roman"/>
          <w:iCs/>
          <w:lang w:val="en-GB"/>
        </w:rPr>
        <w:t xml:space="preserve"> and </w:t>
      </w:r>
      <w:r w:rsidR="00F80172" w:rsidRPr="006D2720">
        <w:rPr>
          <w:rFonts w:ascii="Times New Roman" w:hAnsi="Times New Roman" w:cs="Times New Roman"/>
          <w:lang w:val="en-GB"/>
        </w:rPr>
        <w:t>threatening to distribute an intimate image without consent.</w:t>
      </w:r>
      <w:r w:rsidR="00F80172" w:rsidRPr="006D2720">
        <w:rPr>
          <w:rFonts w:ascii="Times New Roman" w:hAnsi="Times New Roman" w:cs="Times New Roman"/>
          <w:vertAlign w:val="superscript"/>
          <w:lang w:val="en-GB"/>
        </w:rPr>
        <w:footnoteReference w:id="368"/>
      </w:r>
      <w:r w:rsidR="00F80172" w:rsidRPr="006D2720">
        <w:rPr>
          <w:rFonts w:ascii="Times New Roman" w:hAnsi="Times New Roman" w:cs="Times New Roman"/>
          <w:lang w:val="en-GB"/>
        </w:rPr>
        <w:t xml:space="preserve"> </w:t>
      </w:r>
      <w:r w:rsidR="0064050C" w:rsidRPr="006D2720">
        <w:rPr>
          <w:rFonts w:ascii="Times New Roman" w:hAnsi="Times New Roman" w:cs="Times New Roman"/>
          <w:lang w:val="en-GB"/>
        </w:rPr>
        <w:t>The maximum penaltie</w:t>
      </w:r>
      <w:r w:rsidR="00F80172" w:rsidRPr="006D2720">
        <w:rPr>
          <w:rFonts w:ascii="Times New Roman" w:hAnsi="Times New Roman" w:cs="Times New Roman"/>
          <w:lang w:val="en-GB"/>
        </w:rPr>
        <w:t>s</w:t>
      </w:r>
      <w:r w:rsidR="0064050C" w:rsidRPr="006D2720">
        <w:rPr>
          <w:rFonts w:ascii="Times New Roman" w:hAnsi="Times New Roman" w:cs="Times New Roman"/>
          <w:lang w:val="en-GB"/>
        </w:rPr>
        <w:t xml:space="preserve"> </w:t>
      </w:r>
      <w:r w:rsidR="00F80172" w:rsidRPr="006D2720">
        <w:rPr>
          <w:rFonts w:ascii="Times New Roman" w:hAnsi="Times New Roman" w:cs="Times New Roman"/>
          <w:lang w:val="en-GB"/>
        </w:rPr>
        <w:t xml:space="preserve">are </w:t>
      </w:r>
      <w:r w:rsidR="0064050C" w:rsidRPr="006D2720">
        <w:rPr>
          <w:rFonts w:ascii="Times New Roman" w:hAnsi="Times New Roman" w:cs="Times New Roman"/>
          <w:lang w:val="en-GB"/>
        </w:rPr>
        <w:t>three years</w:t>
      </w:r>
      <w:r w:rsidR="0081050D" w:rsidRPr="006D2720">
        <w:rPr>
          <w:rFonts w:ascii="Times New Roman" w:hAnsi="Times New Roman" w:cs="Times New Roman"/>
          <w:lang w:val="en-GB"/>
        </w:rPr>
        <w:t>’</w:t>
      </w:r>
      <w:r w:rsidR="0064050C" w:rsidRPr="006D2720">
        <w:rPr>
          <w:rFonts w:ascii="Times New Roman" w:hAnsi="Times New Roman" w:cs="Times New Roman"/>
          <w:lang w:val="en-GB"/>
        </w:rPr>
        <w:t xml:space="preserve"> imprisonment and/or a $11,000 fine. The amendment legislation also provided new definitions for these offences, including for </w:t>
      </w:r>
      <w:r w:rsidR="00F80172" w:rsidRPr="006D2720">
        <w:rPr>
          <w:rFonts w:ascii="Times New Roman" w:hAnsi="Times New Roman" w:cs="Times New Roman"/>
          <w:lang w:val="en-GB"/>
        </w:rPr>
        <w:t>‘</w:t>
      </w:r>
      <w:r w:rsidR="0064050C" w:rsidRPr="006D2720">
        <w:rPr>
          <w:rFonts w:ascii="Times New Roman" w:hAnsi="Times New Roman" w:cs="Times New Roman"/>
          <w:lang w:val="en-GB"/>
        </w:rPr>
        <w:t>intimate image</w:t>
      </w:r>
      <w:r w:rsidR="00F80172" w:rsidRPr="006D2720">
        <w:rPr>
          <w:rFonts w:ascii="Times New Roman" w:hAnsi="Times New Roman" w:cs="Times New Roman"/>
          <w:lang w:val="en-GB"/>
        </w:rPr>
        <w:t>’, ‘</w:t>
      </w:r>
      <w:r w:rsidR="0064050C" w:rsidRPr="006D2720">
        <w:rPr>
          <w:rFonts w:ascii="Times New Roman" w:hAnsi="Times New Roman" w:cs="Times New Roman"/>
          <w:lang w:val="en-GB"/>
        </w:rPr>
        <w:t>private parts</w:t>
      </w:r>
      <w:r w:rsidR="00F80172" w:rsidRPr="006D2720">
        <w:rPr>
          <w:rFonts w:ascii="Times New Roman" w:hAnsi="Times New Roman" w:cs="Times New Roman"/>
          <w:lang w:val="en-GB"/>
        </w:rPr>
        <w:t xml:space="preserve">’, </w:t>
      </w:r>
      <w:r w:rsidR="0064050C" w:rsidRPr="006D2720">
        <w:rPr>
          <w:rFonts w:ascii="Times New Roman" w:hAnsi="Times New Roman" w:cs="Times New Roman"/>
          <w:lang w:val="en-GB"/>
        </w:rPr>
        <w:t xml:space="preserve">and </w:t>
      </w:r>
      <w:r w:rsidR="00F80172" w:rsidRPr="006D2720">
        <w:rPr>
          <w:rFonts w:ascii="Times New Roman" w:hAnsi="Times New Roman" w:cs="Times New Roman"/>
          <w:lang w:val="en-GB"/>
        </w:rPr>
        <w:t>‘</w:t>
      </w:r>
      <w:r w:rsidR="0064050C" w:rsidRPr="006D2720">
        <w:rPr>
          <w:rFonts w:ascii="Times New Roman" w:hAnsi="Times New Roman" w:cs="Times New Roman"/>
          <w:lang w:val="en-GB"/>
        </w:rPr>
        <w:t>engaged in a private act</w:t>
      </w:r>
      <w:r w:rsidR="00F80172" w:rsidRPr="006D2720">
        <w:rPr>
          <w:rFonts w:ascii="Times New Roman" w:hAnsi="Times New Roman" w:cs="Times New Roman"/>
          <w:lang w:val="en-GB"/>
        </w:rPr>
        <w:t>’.</w:t>
      </w:r>
      <w:r w:rsidR="00F80172" w:rsidRPr="006D2720">
        <w:rPr>
          <w:rFonts w:ascii="Times New Roman" w:hAnsi="Times New Roman" w:cs="Times New Roman"/>
          <w:vertAlign w:val="superscript"/>
          <w:lang w:val="en-GB"/>
        </w:rPr>
        <w:footnoteReference w:id="369"/>
      </w:r>
    </w:p>
    <w:p w14:paraId="1D82DCD2" w14:textId="09E4D839" w:rsidR="001C1059" w:rsidRPr="006D2720" w:rsidRDefault="0064050C" w:rsidP="00FD30DE">
      <w:pPr>
        <w:pStyle w:val="Heading3"/>
        <w:rPr>
          <w:rFonts w:ascii="Times New Roman" w:hAnsi="Times New Roman" w:cs="Times New Roman"/>
          <w:lang w:val="en-GB"/>
        </w:rPr>
      </w:pPr>
      <w:r w:rsidRPr="006D2720">
        <w:rPr>
          <w:rFonts w:ascii="Times New Roman" w:hAnsi="Times New Roman" w:cs="Times New Roman"/>
          <w:lang w:val="en-GB"/>
        </w:rPr>
        <w:t xml:space="preserve">In Tasmania, the </w:t>
      </w:r>
      <w:r w:rsidRPr="006D2720">
        <w:rPr>
          <w:rFonts w:ascii="Times New Roman" w:hAnsi="Times New Roman" w:cs="Times New Roman"/>
          <w:iCs/>
          <w:lang w:val="en-GB"/>
        </w:rPr>
        <w:t>Civil Digital Communication</w:t>
      </w:r>
      <w:r w:rsidR="00BE00B4" w:rsidRPr="006D2720">
        <w:rPr>
          <w:rFonts w:ascii="Times New Roman" w:hAnsi="Times New Roman" w:cs="Times New Roman"/>
          <w:iCs/>
          <w:lang w:val="en-GB"/>
        </w:rPr>
        <w:t>s</w:t>
      </w:r>
      <w:r w:rsidRPr="006D2720">
        <w:rPr>
          <w:rFonts w:ascii="Times New Roman" w:hAnsi="Times New Roman" w:cs="Times New Roman"/>
          <w:iCs/>
          <w:lang w:val="en-GB"/>
        </w:rPr>
        <w:t xml:space="preserve"> Bill </w:t>
      </w:r>
      <w:r w:rsidR="00072C50" w:rsidRPr="006D2720">
        <w:rPr>
          <w:rFonts w:ascii="Times New Roman" w:hAnsi="Times New Roman" w:cs="Times New Roman"/>
          <w:iCs/>
          <w:lang w:val="en-GB"/>
        </w:rPr>
        <w:t xml:space="preserve">2017 </w:t>
      </w:r>
      <w:r w:rsidR="00F40FA0" w:rsidRPr="006D2720">
        <w:rPr>
          <w:rFonts w:ascii="Times New Roman" w:hAnsi="Times New Roman" w:cs="Times New Roman"/>
          <w:iCs/>
          <w:lang w:val="en-GB"/>
        </w:rPr>
        <w:t xml:space="preserve">(Tas) </w:t>
      </w:r>
      <w:r w:rsidR="00E16E3B" w:rsidRPr="006D2720">
        <w:rPr>
          <w:rFonts w:ascii="Times New Roman" w:hAnsi="Times New Roman" w:cs="Times New Roman"/>
          <w:lang w:val="en-GB"/>
        </w:rPr>
        <w:t>was</w:t>
      </w:r>
      <w:r w:rsidRPr="006D2720">
        <w:rPr>
          <w:rFonts w:ascii="Times New Roman" w:hAnsi="Times New Roman" w:cs="Times New Roman"/>
          <w:lang w:val="en-GB"/>
        </w:rPr>
        <w:t xml:space="preserve"> </w:t>
      </w:r>
      <w:r w:rsidR="00760886" w:rsidRPr="006D2720">
        <w:rPr>
          <w:rFonts w:ascii="Times New Roman" w:hAnsi="Times New Roman" w:cs="Times New Roman"/>
          <w:lang w:val="en-GB"/>
        </w:rPr>
        <w:t xml:space="preserve">introduced </w:t>
      </w:r>
      <w:r w:rsidR="00E11266" w:rsidRPr="006D2720">
        <w:rPr>
          <w:rFonts w:ascii="Times New Roman" w:hAnsi="Times New Roman" w:cs="Times New Roman"/>
          <w:lang w:val="en-GB"/>
        </w:rPr>
        <w:t xml:space="preserve">in 2017 </w:t>
      </w:r>
      <w:r w:rsidR="00953C64" w:rsidRPr="006D2720">
        <w:rPr>
          <w:rFonts w:ascii="Times New Roman" w:hAnsi="Times New Roman" w:cs="Times New Roman"/>
          <w:lang w:val="en-GB"/>
        </w:rPr>
        <w:t xml:space="preserve">and </w:t>
      </w:r>
      <w:r w:rsidRPr="006D2720">
        <w:rPr>
          <w:rFonts w:ascii="Times New Roman" w:hAnsi="Times New Roman" w:cs="Times New Roman"/>
          <w:lang w:val="en-GB"/>
        </w:rPr>
        <w:t xml:space="preserve">intended to </w:t>
      </w:r>
      <w:r w:rsidR="00E11266" w:rsidRPr="006D2720">
        <w:rPr>
          <w:rFonts w:ascii="Times New Roman" w:hAnsi="Times New Roman" w:cs="Times New Roman"/>
          <w:lang w:val="en-GB"/>
        </w:rPr>
        <w:t>‘</w:t>
      </w:r>
      <w:r w:rsidRPr="006D2720">
        <w:rPr>
          <w:rFonts w:ascii="Times New Roman" w:hAnsi="Times New Roman" w:cs="Times New Roman"/>
          <w:lang w:val="en-GB"/>
        </w:rPr>
        <w:t>address the issues pertaining to persons who send or deliver electronic communications, letters or other articles for the purpose of causing distress or anxiety</w:t>
      </w:r>
      <w:r w:rsidR="00C16825" w:rsidRPr="006D2720">
        <w:rPr>
          <w:rFonts w:ascii="Times New Roman" w:hAnsi="Times New Roman" w:cs="Times New Roman"/>
          <w:lang w:val="en-GB"/>
        </w:rPr>
        <w:t>’</w:t>
      </w:r>
      <w:r w:rsidR="00BE00B4" w:rsidRPr="006D2720">
        <w:rPr>
          <w:rFonts w:ascii="Times New Roman" w:hAnsi="Times New Roman" w:cs="Times New Roman"/>
          <w:lang w:val="en-GB"/>
        </w:rPr>
        <w:t>.</w:t>
      </w:r>
      <w:r w:rsidRPr="006D2720">
        <w:rPr>
          <w:rFonts w:ascii="Times New Roman" w:hAnsi="Times New Roman" w:cs="Times New Roman"/>
          <w:vertAlign w:val="superscript"/>
          <w:lang w:val="en-GB"/>
        </w:rPr>
        <w:footnoteReference w:id="370"/>
      </w:r>
      <w:r w:rsidRPr="006D2720">
        <w:rPr>
          <w:rFonts w:ascii="Times New Roman" w:hAnsi="Times New Roman" w:cs="Times New Roman"/>
          <w:lang w:val="en-GB"/>
        </w:rPr>
        <w:t xml:space="preserve"> </w:t>
      </w:r>
      <w:r w:rsidR="00BE00B4" w:rsidRPr="006D2720">
        <w:rPr>
          <w:rFonts w:ascii="Times New Roman" w:hAnsi="Times New Roman" w:cs="Times New Roman"/>
          <w:lang w:val="en-GB"/>
        </w:rPr>
        <w:t xml:space="preserve">The Bill </w:t>
      </w:r>
      <w:r w:rsidR="00760886" w:rsidRPr="006D2720">
        <w:rPr>
          <w:rFonts w:ascii="Times New Roman" w:hAnsi="Times New Roman" w:cs="Times New Roman"/>
          <w:lang w:val="en-GB"/>
        </w:rPr>
        <w:t>proposed the</w:t>
      </w:r>
      <w:r w:rsidR="00BE00B4" w:rsidRPr="006D2720">
        <w:rPr>
          <w:rFonts w:ascii="Times New Roman" w:hAnsi="Times New Roman" w:cs="Times New Roman"/>
          <w:lang w:val="en-GB"/>
        </w:rPr>
        <w:t xml:space="preserve"> creat</w:t>
      </w:r>
      <w:r w:rsidR="00760886" w:rsidRPr="006D2720">
        <w:rPr>
          <w:rFonts w:ascii="Times New Roman" w:hAnsi="Times New Roman" w:cs="Times New Roman"/>
          <w:lang w:val="en-GB"/>
        </w:rPr>
        <w:t>ion of</w:t>
      </w:r>
      <w:r w:rsidR="00BE00B4" w:rsidRPr="006D2720">
        <w:rPr>
          <w:rFonts w:ascii="Times New Roman" w:hAnsi="Times New Roman" w:cs="Times New Roman"/>
          <w:lang w:val="en-GB"/>
        </w:rPr>
        <w:t xml:space="preserve"> an </w:t>
      </w:r>
      <w:r w:rsidRPr="006D2720">
        <w:rPr>
          <w:rFonts w:ascii="Times New Roman" w:hAnsi="Times New Roman" w:cs="Times New Roman"/>
          <w:lang w:val="en-GB"/>
        </w:rPr>
        <w:t>offence of harassment where the course of conduct involves disclosing private sexual photographs and films with intent to cause distress.</w:t>
      </w:r>
      <w:r w:rsidRPr="006D2720">
        <w:rPr>
          <w:rFonts w:ascii="Times New Roman" w:hAnsi="Times New Roman" w:cs="Times New Roman"/>
          <w:vertAlign w:val="superscript"/>
          <w:lang w:val="en-GB"/>
        </w:rPr>
        <w:footnoteReference w:id="371"/>
      </w:r>
      <w:r w:rsidRPr="006D2720">
        <w:rPr>
          <w:rFonts w:ascii="Times New Roman" w:hAnsi="Times New Roman" w:cs="Times New Roman"/>
          <w:lang w:val="en-GB"/>
        </w:rPr>
        <w:t xml:space="preserve"> </w:t>
      </w:r>
      <w:r w:rsidR="00BE00B4" w:rsidRPr="006D2720">
        <w:rPr>
          <w:rFonts w:ascii="Times New Roman" w:hAnsi="Times New Roman" w:cs="Times New Roman"/>
          <w:lang w:val="en-GB"/>
        </w:rPr>
        <w:t xml:space="preserve">The Bill also </w:t>
      </w:r>
      <w:r w:rsidR="00760886" w:rsidRPr="006D2720">
        <w:rPr>
          <w:rFonts w:ascii="Times New Roman" w:hAnsi="Times New Roman" w:cs="Times New Roman"/>
          <w:lang w:val="en-GB"/>
        </w:rPr>
        <w:t xml:space="preserve">proposed </w:t>
      </w:r>
      <w:r w:rsidR="005E3351" w:rsidRPr="006D2720">
        <w:rPr>
          <w:rFonts w:ascii="Times New Roman" w:hAnsi="Times New Roman" w:cs="Times New Roman"/>
          <w:lang w:val="en-GB"/>
        </w:rPr>
        <w:t xml:space="preserve">the prohibition of </w:t>
      </w:r>
      <w:r w:rsidRPr="006D2720">
        <w:rPr>
          <w:rFonts w:ascii="Times New Roman" w:hAnsi="Times New Roman" w:cs="Times New Roman"/>
          <w:lang w:val="en-GB"/>
        </w:rPr>
        <w:t>electronic stalking (including monitoring a person’s online activities),</w:t>
      </w:r>
      <w:r w:rsidRPr="006D2720">
        <w:rPr>
          <w:rFonts w:ascii="Times New Roman" w:hAnsi="Times New Roman" w:cs="Times New Roman"/>
          <w:vertAlign w:val="superscript"/>
          <w:lang w:val="en-GB"/>
        </w:rPr>
        <w:footnoteReference w:id="372"/>
      </w:r>
      <w:r w:rsidRPr="006D2720">
        <w:rPr>
          <w:rFonts w:ascii="Times New Roman" w:hAnsi="Times New Roman" w:cs="Times New Roman"/>
          <w:lang w:val="en-GB"/>
        </w:rPr>
        <w:t xml:space="preserve"> putting people in fear of violence,</w:t>
      </w:r>
      <w:r w:rsidRPr="006D2720">
        <w:rPr>
          <w:rFonts w:ascii="Times New Roman" w:hAnsi="Times New Roman" w:cs="Times New Roman"/>
          <w:vertAlign w:val="superscript"/>
          <w:lang w:val="en-GB"/>
        </w:rPr>
        <w:footnoteReference w:id="373"/>
      </w:r>
      <w:r w:rsidRPr="006D2720">
        <w:rPr>
          <w:rFonts w:ascii="Times New Roman" w:hAnsi="Times New Roman" w:cs="Times New Roman"/>
          <w:lang w:val="en-GB"/>
        </w:rPr>
        <w:t xml:space="preserve"> and obtaining private sexual material for use.</w:t>
      </w:r>
      <w:r w:rsidRPr="006D2720">
        <w:rPr>
          <w:rFonts w:ascii="Times New Roman" w:hAnsi="Times New Roman" w:cs="Times New Roman"/>
          <w:vertAlign w:val="superscript"/>
          <w:lang w:val="en-GB"/>
        </w:rPr>
        <w:footnoteReference w:id="374"/>
      </w:r>
      <w:r w:rsidRPr="006D2720">
        <w:rPr>
          <w:rFonts w:ascii="Times New Roman" w:hAnsi="Times New Roman" w:cs="Times New Roman"/>
          <w:lang w:val="en-GB"/>
        </w:rPr>
        <w:t xml:space="preserve"> Th</w:t>
      </w:r>
      <w:r w:rsidR="00BE00B4" w:rsidRPr="006D2720">
        <w:rPr>
          <w:rFonts w:ascii="Times New Roman" w:hAnsi="Times New Roman" w:cs="Times New Roman"/>
          <w:lang w:val="en-GB"/>
        </w:rPr>
        <w:t xml:space="preserve">e Bill </w:t>
      </w:r>
      <w:r w:rsidR="005E3351" w:rsidRPr="006D2720">
        <w:rPr>
          <w:rFonts w:ascii="Times New Roman" w:hAnsi="Times New Roman" w:cs="Times New Roman"/>
          <w:lang w:val="en-GB"/>
        </w:rPr>
        <w:t>also proposed</w:t>
      </w:r>
      <w:r w:rsidRPr="006D2720">
        <w:rPr>
          <w:rFonts w:ascii="Times New Roman" w:hAnsi="Times New Roman" w:cs="Times New Roman"/>
          <w:lang w:val="en-GB"/>
        </w:rPr>
        <w:t xml:space="preserve"> remedies in the form of injunctions and take down orders, on application to the Magistrates</w:t>
      </w:r>
      <w:r w:rsidR="005E3351" w:rsidRPr="006D2720">
        <w:rPr>
          <w:rFonts w:ascii="Times New Roman" w:hAnsi="Times New Roman" w:cs="Times New Roman"/>
          <w:lang w:val="en-GB"/>
        </w:rPr>
        <w:t>’</w:t>
      </w:r>
      <w:r w:rsidRPr="006D2720">
        <w:rPr>
          <w:rFonts w:ascii="Times New Roman" w:hAnsi="Times New Roman" w:cs="Times New Roman"/>
          <w:lang w:val="en-GB"/>
        </w:rPr>
        <w:t xml:space="preserve"> Court.</w:t>
      </w:r>
      <w:r w:rsidRPr="006D2720">
        <w:rPr>
          <w:rFonts w:ascii="Times New Roman" w:hAnsi="Times New Roman" w:cs="Times New Roman"/>
          <w:vertAlign w:val="superscript"/>
          <w:lang w:val="en-GB"/>
        </w:rPr>
        <w:footnoteReference w:id="375"/>
      </w:r>
      <w:r w:rsidRPr="006D2720">
        <w:rPr>
          <w:rFonts w:ascii="Times New Roman" w:hAnsi="Times New Roman" w:cs="Times New Roman"/>
          <w:lang w:val="en-GB"/>
        </w:rPr>
        <w:t xml:space="preserve"> </w:t>
      </w:r>
    </w:p>
    <w:p w14:paraId="60DE98C2" w14:textId="26EE7DD1" w:rsidR="0064050C" w:rsidRPr="006D2720" w:rsidRDefault="001C1059" w:rsidP="0066337D">
      <w:pPr>
        <w:pStyle w:val="Heading3"/>
        <w:rPr>
          <w:rFonts w:ascii="Times New Roman" w:hAnsi="Times New Roman" w:cs="Times New Roman"/>
          <w:lang w:val="en-GB"/>
        </w:rPr>
      </w:pPr>
      <w:r w:rsidRPr="006D2720">
        <w:rPr>
          <w:rFonts w:ascii="Times New Roman" w:hAnsi="Times New Roman" w:cs="Times New Roman"/>
          <w:lang w:val="en-GB"/>
        </w:rPr>
        <w:t>Therefore, t</w:t>
      </w:r>
      <w:r w:rsidR="00BE00B4" w:rsidRPr="006D2720">
        <w:rPr>
          <w:rFonts w:ascii="Times New Roman" w:hAnsi="Times New Roman" w:cs="Times New Roman"/>
          <w:lang w:val="en-GB"/>
        </w:rPr>
        <w:t>he Bill would have provided remedies for individuals who are the victims of egregious, harmful</w:t>
      </w:r>
      <w:r w:rsidRPr="006D2720">
        <w:rPr>
          <w:rFonts w:ascii="Times New Roman" w:hAnsi="Times New Roman" w:cs="Times New Roman"/>
          <w:lang w:val="en-GB"/>
        </w:rPr>
        <w:t>,</w:t>
      </w:r>
      <w:r w:rsidR="00BE00B4" w:rsidRPr="006D2720">
        <w:rPr>
          <w:rFonts w:ascii="Times New Roman" w:hAnsi="Times New Roman" w:cs="Times New Roman"/>
          <w:lang w:val="en-GB"/>
        </w:rPr>
        <w:t xml:space="preserve"> and intentional online interferences with privacy, including </w:t>
      </w:r>
      <w:r w:rsidR="00420479">
        <w:rPr>
          <w:rFonts w:ascii="Times New Roman" w:hAnsi="Times New Roman" w:cs="Times New Roman"/>
          <w:lang w:val="en-GB"/>
        </w:rPr>
        <w:t>image</w:t>
      </w:r>
      <w:r w:rsidR="00CB6D7E">
        <w:rPr>
          <w:rFonts w:ascii="Times New Roman" w:hAnsi="Times New Roman" w:cs="Times New Roman"/>
          <w:lang w:val="en-GB"/>
        </w:rPr>
        <w:t>-</w:t>
      </w:r>
      <w:r w:rsidR="00420479">
        <w:rPr>
          <w:rFonts w:ascii="Times New Roman" w:hAnsi="Times New Roman" w:cs="Times New Roman"/>
          <w:lang w:val="en-GB"/>
        </w:rPr>
        <w:t>based abuse</w:t>
      </w:r>
      <w:r w:rsidR="00BE00B4" w:rsidRPr="006D2720">
        <w:rPr>
          <w:rFonts w:ascii="Times New Roman" w:hAnsi="Times New Roman" w:cs="Times New Roman"/>
          <w:lang w:val="en-GB"/>
        </w:rPr>
        <w:t>.</w:t>
      </w:r>
      <w:r w:rsidRPr="006D2720">
        <w:rPr>
          <w:rFonts w:ascii="Times New Roman" w:hAnsi="Times New Roman" w:cs="Times New Roman"/>
          <w:lang w:val="en-GB"/>
        </w:rPr>
        <w:t xml:space="preserve"> However, while </w:t>
      </w:r>
      <w:r w:rsidR="005E3351" w:rsidRPr="006D2720">
        <w:rPr>
          <w:rFonts w:ascii="Times New Roman" w:hAnsi="Times New Roman" w:cs="Times New Roman"/>
          <w:lang w:val="en-GB"/>
        </w:rPr>
        <w:t>the Bill</w:t>
      </w:r>
      <w:r w:rsidRPr="006D2720">
        <w:rPr>
          <w:rFonts w:ascii="Times New Roman" w:hAnsi="Times New Roman" w:cs="Times New Roman"/>
          <w:lang w:val="en-GB"/>
        </w:rPr>
        <w:t xml:space="preserve"> passed its first reading</w:t>
      </w:r>
      <w:r w:rsidR="0064050C" w:rsidRPr="006D2720">
        <w:rPr>
          <w:rFonts w:ascii="Times New Roman" w:hAnsi="Times New Roman" w:cs="Times New Roman"/>
          <w:lang w:val="en-GB"/>
        </w:rPr>
        <w:t xml:space="preserve"> in the House of Assembly on 18 October 2017</w:t>
      </w:r>
      <w:r w:rsidRPr="006D2720">
        <w:rPr>
          <w:rFonts w:ascii="Times New Roman" w:hAnsi="Times New Roman" w:cs="Times New Roman"/>
          <w:lang w:val="en-GB"/>
        </w:rPr>
        <w:t>,</w:t>
      </w:r>
      <w:r w:rsidR="00BE00B4" w:rsidRPr="006D2720">
        <w:rPr>
          <w:rStyle w:val="FootnoteReference"/>
          <w:rFonts w:ascii="Times New Roman" w:hAnsi="Times New Roman" w:cs="Times New Roman"/>
          <w:lang w:val="en-GB"/>
        </w:rPr>
        <w:footnoteReference w:id="376"/>
      </w:r>
      <w:r w:rsidR="00BE00B4" w:rsidRPr="006D2720">
        <w:rPr>
          <w:rFonts w:ascii="Times New Roman" w:hAnsi="Times New Roman" w:cs="Times New Roman"/>
          <w:lang w:val="en-GB"/>
        </w:rPr>
        <w:t xml:space="preserve"> </w:t>
      </w:r>
      <w:r w:rsidRPr="006D2720">
        <w:rPr>
          <w:rFonts w:ascii="Times New Roman" w:hAnsi="Times New Roman" w:cs="Times New Roman"/>
          <w:lang w:val="en-GB"/>
        </w:rPr>
        <w:t>it</w:t>
      </w:r>
      <w:r w:rsidR="00BE00B4" w:rsidRPr="006D2720">
        <w:rPr>
          <w:rFonts w:ascii="Times New Roman" w:hAnsi="Times New Roman" w:cs="Times New Roman"/>
          <w:lang w:val="en-GB"/>
        </w:rPr>
        <w:t xml:space="preserve"> did not progress further and has not been reintroduced in the current Parliament. </w:t>
      </w:r>
    </w:p>
    <w:p w14:paraId="30CB6F16" w14:textId="3D3CC93C" w:rsidR="0064050C" w:rsidRPr="006D2720" w:rsidRDefault="0064050C" w:rsidP="00CA1A69">
      <w:pPr>
        <w:pStyle w:val="Heading2"/>
        <w:numPr>
          <w:ilvl w:val="0"/>
          <w:numId w:val="0"/>
        </w:numPr>
        <w:ind w:left="578" w:hanging="578"/>
        <w:rPr>
          <w:rFonts w:ascii="Times New Roman" w:hAnsi="Times New Roman" w:cs="Times New Roman"/>
          <w:i/>
          <w:iCs/>
        </w:rPr>
      </w:pPr>
      <w:bookmarkStart w:id="396" w:name="_Toc91832020"/>
      <w:bookmarkStart w:id="397" w:name="_Toc130540455"/>
      <w:r w:rsidRPr="006D2720">
        <w:rPr>
          <w:rFonts w:ascii="Times New Roman" w:hAnsi="Times New Roman" w:cs="Times New Roman"/>
          <w:i/>
          <w:iCs/>
        </w:rPr>
        <w:t>Other</w:t>
      </w:r>
      <w:r w:rsidR="00BE00B4" w:rsidRPr="006D2720">
        <w:rPr>
          <w:rFonts w:ascii="Times New Roman" w:hAnsi="Times New Roman" w:cs="Times New Roman"/>
          <w:i/>
          <w:iCs/>
        </w:rPr>
        <w:t xml:space="preserve"> Tasmanian</w:t>
      </w:r>
      <w:r w:rsidRPr="006D2720">
        <w:rPr>
          <w:rFonts w:ascii="Times New Roman" w:hAnsi="Times New Roman" w:cs="Times New Roman"/>
          <w:i/>
          <w:iCs/>
        </w:rPr>
        <w:t xml:space="preserve"> legislation referring to privacy</w:t>
      </w:r>
      <w:bookmarkEnd w:id="396"/>
      <w:bookmarkEnd w:id="397"/>
    </w:p>
    <w:p w14:paraId="22950A56" w14:textId="6E01954E" w:rsidR="0064050C" w:rsidRPr="006D2720" w:rsidRDefault="000568F1" w:rsidP="0066337D">
      <w:pPr>
        <w:pStyle w:val="Heading3"/>
        <w:rPr>
          <w:rFonts w:ascii="Times New Roman" w:hAnsi="Times New Roman" w:cs="Times New Roman"/>
        </w:rPr>
      </w:pPr>
      <w:r w:rsidRPr="006D2720">
        <w:rPr>
          <w:rFonts w:ascii="Times New Roman" w:hAnsi="Times New Roman" w:cs="Times New Roman"/>
        </w:rPr>
        <w:t>L</w:t>
      </w:r>
      <w:r w:rsidR="0064050C" w:rsidRPr="006D2720">
        <w:rPr>
          <w:rFonts w:ascii="Times New Roman" w:hAnsi="Times New Roman" w:cs="Times New Roman"/>
        </w:rPr>
        <w:t xml:space="preserve">egislation </w:t>
      </w:r>
      <w:r w:rsidR="00A1107E" w:rsidRPr="006D2720">
        <w:rPr>
          <w:rFonts w:ascii="Times New Roman" w:hAnsi="Times New Roman" w:cs="Times New Roman"/>
        </w:rPr>
        <w:t xml:space="preserve">that </w:t>
      </w:r>
      <w:r w:rsidR="00230725" w:rsidRPr="006D2720">
        <w:rPr>
          <w:rFonts w:ascii="Times New Roman" w:hAnsi="Times New Roman" w:cs="Times New Roman"/>
        </w:rPr>
        <w:t>governs</w:t>
      </w:r>
      <w:r w:rsidR="00A1107E" w:rsidRPr="006D2720">
        <w:rPr>
          <w:rFonts w:ascii="Times New Roman" w:hAnsi="Times New Roman" w:cs="Times New Roman"/>
        </w:rPr>
        <w:t xml:space="preserve"> broader </w:t>
      </w:r>
      <w:r w:rsidR="00A93A59" w:rsidRPr="006D2720">
        <w:rPr>
          <w:rFonts w:ascii="Times New Roman" w:hAnsi="Times New Roman" w:cs="Times New Roman"/>
        </w:rPr>
        <w:t>matters</w:t>
      </w:r>
      <w:r w:rsidR="00A1107E" w:rsidRPr="006D2720">
        <w:rPr>
          <w:rFonts w:ascii="Times New Roman" w:hAnsi="Times New Roman" w:cs="Times New Roman"/>
        </w:rPr>
        <w:t xml:space="preserve"> not related to individual privacy </w:t>
      </w:r>
      <w:r w:rsidR="007C14B2" w:rsidRPr="006D2720">
        <w:rPr>
          <w:rFonts w:ascii="Times New Roman" w:hAnsi="Times New Roman" w:cs="Times New Roman"/>
        </w:rPr>
        <w:t xml:space="preserve">may </w:t>
      </w:r>
      <w:r w:rsidR="009D3322" w:rsidRPr="006D2720">
        <w:rPr>
          <w:rFonts w:ascii="Times New Roman" w:hAnsi="Times New Roman" w:cs="Times New Roman"/>
        </w:rPr>
        <w:t>nevertheless</w:t>
      </w:r>
      <w:r w:rsidR="00CD12E9" w:rsidRPr="006D2720">
        <w:rPr>
          <w:rFonts w:ascii="Times New Roman" w:hAnsi="Times New Roman" w:cs="Times New Roman"/>
        </w:rPr>
        <w:t xml:space="preserve"> </w:t>
      </w:r>
      <w:r w:rsidR="000976AF" w:rsidRPr="006D2720">
        <w:rPr>
          <w:rFonts w:ascii="Times New Roman" w:hAnsi="Times New Roman" w:cs="Times New Roman"/>
        </w:rPr>
        <w:t xml:space="preserve">have provisions that </w:t>
      </w:r>
      <w:r w:rsidR="0064050C" w:rsidRPr="006D2720">
        <w:rPr>
          <w:rFonts w:ascii="Times New Roman" w:hAnsi="Times New Roman" w:cs="Times New Roman"/>
        </w:rPr>
        <w:t>include reference</w:t>
      </w:r>
      <w:r w:rsidR="00E230FA" w:rsidRPr="006D2720">
        <w:rPr>
          <w:rFonts w:ascii="Times New Roman" w:hAnsi="Times New Roman" w:cs="Times New Roman"/>
        </w:rPr>
        <w:t>s</w:t>
      </w:r>
      <w:r w:rsidR="0064050C" w:rsidRPr="006D2720">
        <w:rPr>
          <w:rFonts w:ascii="Times New Roman" w:hAnsi="Times New Roman" w:cs="Times New Roman"/>
        </w:rPr>
        <w:t xml:space="preserve"> to privacy</w:t>
      </w:r>
      <w:r w:rsidR="00252FE1" w:rsidRPr="006D2720">
        <w:rPr>
          <w:rFonts w:ascii="Times New Roman" w:hAnsi="Times New Roman" w:cs="Times New Roman"/>
        </w:rPr>
        <w:t>.</w:t>
      </w:r>
      <w:r w:rsidR="00A1107E" w:rsidRPr="006D2720">
        <w:rPr>
          <w:rFonts w:ascii="Times New Roman" w:hAnsi="Times New Roman" w:cs="Times New Roman"/>
        </w:rPr>
        <w:t xml:space="preserve"> </w:t>
      </w:r>
      <w:r w:rsidR="000543AF" w:rsidRPr="006D2720">
        <w:rPr>
          <w:rFonts w:ascii="Times New Roman" w:hAnsi="Times New Roman" w:cs="Times New Roman"/>
        </w:rPr>
        <w:t>The below list is a</w:t>
      </w:r>
      <w:r w:rsidR="00886539" w:rsidRPr="006D2720">
        <w:rPr>
          <w:rFonts w:ascii="Times New Roman" w:hAnsi="Times New Roman" w:cs="Times New Roman"/>
        </w:rPr>
        <w:t xml:space="preserve"> representative pool of such legislative provisions</w:t>
      </w:r>
      <w:r w:rsidR="000543AF" w:rsidRPr="006D2720">
        <w:rPr>
          <w:rFonts w:ascii="Times New Roman" w:hAnsi="Times New Roman" w:cs="Times New Roman"/>
        </w:rPr>
        <w:t xml:space="preserve">. They indicate </w:t>
      </w:r>
      <w:r w:rsidR="00886539" w:rsidRPr="006D2720">
        <w:rPr>
          <w:rFonts w:ascii="Times New Roman" w:hAnsi="Times New Roman" w:cs="Times New Roman"/>
        </w:rPr>
        <w:t xml:space="preserve">where the Tasmanian Parliament has been prepared to raise privacy as a factor to </w:t>
      </w:r>
      <w:r w:rsidR="003C4837" w:rsidRPr="006D2720">
        <w:rPr>
          <w:rFonts w:ascii="Times New Roman" w:hAnsi="Times New Roman" w:cs="Times New Roman"/>
        </w:rPr>
        <w:t>be considered</w:t>
      </w:r>
      <w:r w:rsidR="00886539" w:rsidRPr="006D2720">
        <w:rPr>
          <w:rFonts w:ascii="Times New Roman" w:hAnsi="Times New Roman" w:cs="Times New Roman"/>
        </w:rPr>
        <w:t xml:space="preserve">, </w:t>
      </w:r>
      <w:r w:rsidR="0064050C" w:rsidRPr="006D2720">
        <w:rPr>
          <w:rFonts w:ascii="Times New Roman" w:hAnsi="Times New Roman" w:cs="Times New Roman"/>
        </w:rPr>
        <w:t>largely because the power, activity</w:t>
      </w:r>
      <w:r w:rsidR="000061A8" w:rsidRPr="006D2720">
        <w:rPr>
          <w:rFonts w:ascii="Times New Roman" w:hAnsi="Times New Roman" w:cs="Times New Roman"/>
        </w:rPr>
        <w:t>,</w:t>
      </w:r>
      <w:r w:rsidR="0064050C" w:rsidRPr="006D2720">
        <w:rPr>
          <w:rFonts w:ascii="Times New Roman" w:hAnsi="Times New Roman" w:cs="Times New Roman"/>
        </w:rPr>
        <w:t xml:space="preserve"> or situation in question gives rise to use of private information or </w:t>
      </w:r>
      <w:r w:rsidR="00F1108E" w:rsidRPr="006D2720">
        <w:rPr>
          <w:rFonts w:ascii="Times New Roman" w:hAnsi="Times New Roman" w:cs="Times New Roman"/>
        </w:rPr>
        <w:t xml:space="preserve">potential </w:t>
      </w:r>
      <w:r w:rsidR="0064050C" w:rsidRPr="006D2720">
        <w:rPr>
          <w:rFonts w:ascii="Times New Roman" w:hAnsi="Times New Roman" w:cs="Times New Roman"/>
        </w:rPr>
        <w:t>intrusion on privacy</w:t>
      </w:r>
      <w:r w:rsidR="00886539" w:rsidRPr="006D2720">
        <w:rPr>
          <w:rFonts w:ascii="Times New Roman" w:hAnsi="Times New Roman" w:cs="Times New Roman"/>
        </w:rPr>
        <w:t>.</w:t>
      </w:r>
      <w:r w:rsidR="006F5BAA" w:rsidRPr="006D2720">
        <w:rPr>
          <w:rFonts w:ascii="Times New Roman" w:hAnsi="Times New Roman" w:cs="Times New Roman"/>
        </w:rPr>
        <w:t xml:space="preserve"> However, it should be noted </w:t>
      </w:r>
      <w:r w:rsidR="00992DDD" w:rsidRPr="006D2720">
        <w:rPr>
          <w:rFonts w:ascii="Times New Roman" w:hAnsi="Times New Roman" w:cs="Times New Roman"/>
        </w:rPr>
        <w:t xml:space="preserve">that the provisions may also provide for </w:t>
      </w:r>
      <w:r w:rsidR="006F5BAA" w:rsidRPr="006D2720">
        <w:rPr>
          <w:rFonts w:ascii="Times New Roman" w:hAnsi="Times New Roman" w:cs="Times New Roman"/>
        </w:rPr>
        <w:t>privacy protection</w:t>
      </w:r>
      <w:r w:rsidR="00992DDD" w:rsidRPr="006D2720">
        <w:rPr>
          <w:rFonts w:ascii="Times New Roman" w:hAnsi="Times New Roman" w:cs="Times New Roman"/>
        </w:rPr>
        <w:t>s</w:t>
      </w:r>
      <w:r w:rsidR="006F5BAA" w:rsidRPr="006D2720">
        <w:rPr>
          <w:rFonts w:ascii="Times New Roman" w:hAnsi="Times New Roman" w:cs="Times New Roman"/>
        </w:rPr>
        <w:t xml:space="preserve"> </w:t>
      </w:r>
      <w:r w:rsidR="00992DDD" w:rsidRPr="006D2720">
        <w:rPr>
          <w:rFonts w:ascii="Times New Roman" w:hAnsi="Times New Roman" w:cs="Times New Roman"/>
        </w:rPr>
        <w:t xml:space="preserve">to be </w:t>
      </w:r>
      <w:r w:rsidR="006F5BAA" w:rsidRPr="006D2720">
        <w:rPr>
          <w:rFonts w:ascii="Times New Roman" w:hAnsi="Times New Roman" w:cs="Times New Roman"/>
        </w:rPr>
        <w:t>reduced or waived, particularly where a contrary public interest is in question.</w:t>
      </w:r>
    </w:p>
    <w:p w14:paraId="535305DF" w14:textId="36ED8313" w:rsidR="00F20967" w:rsidRPr="006D2720" w:rsidRDefault="00F20967" w:rsidP="00F20967">
      <w:pPr>
        <w:pStyle w:val="Dotpointlist"/>
        <w:rPr>
          <w:rFonts w:ascii="Times New Roman" w:hAnsi="Times New Roman" w:cs="Times New Roman"/>
        </w:rPr>
      </w:pPr>
      <w:r w:rsidRPr="006D2720">
        <w:rPr>
          <w:rFonts w:ascii="Times New Roman" w:hAnsi="Times New Roman" w:cs="Times New Roman"/>
        </w:rPr>
        <w:t>The</w:t>
      </w:r>
      <w:r w:rsidR="0064050C" w:rsidRPr="006D2720">
        <w:rPr>
          <w:rFonts w:ascii="Times New Roman" w:hAnsi="Times New Roman" w:cs="Times New Roman"/>
        </w:rPr>
        <w:t xml:space="preserve"> </w:t>
      </w:r>
      <w:r w:rsidR="0064050C" w:rsidRPr="006D2720">
        <w:rPr>
          <w:rFonts w:ascii="Times New Roman" w:hAnsi="Times New Roman" w:cs="Times New Roman"/>
          <w:i/>
        </w:rPr>
        <w:t xml:space="preserve">Children, Young Persons and Their Families Act 1997 </w:t>
      </w:r>
      <w:r w:rsidR="0064050C" w:rsidRPr="00CB6D7E">
        <w:rPr>
          <w:rFonts w:ascii="Times New Roman" w:hAnsi="Times New Roman" w:cs="Times New Roman"/>
          <w:iCs/>
        </w:rPr>
        <w:t>(Tas)</w:t>
      </w:r>
      <w:r w:rsidR="00551641" w:rsidRPr="00420479">
        <w:rPr>
          <w:rFonts w:ascii="Times New Roman" w:hAnsi="Times New Roman" w:cs="Times New Roman"/>
          <w:iCs/>
        </w:rPr>
        <w:t>:</w:t>
      </w:r>
      <w:r w:rsidRPr="006D2720">
        <w:rPr>
          <w:rFonts w:ascii="Times New Roman" w:hAnsi="Times New Roman" w:cs="Times New Roman"/>
        </w:rPr>
        <w:t xml:space="preserve"> </w:t>
      </w:r>
      <w:r w:rsidR="0064050C" w:rsidRPr="006D2720">
        <w:rPr>
          <w:rFonts w:ascii="Times New Roman" w:hAnsi="Times New Roman" w:cs="Times New Roman"/>
        </w:rPr>
        <w:t>mandates that a child be treated with respect, including that the child is a valued member of society, entitled to be treated in a manner respecting his or her dignity and privacy.</w:t>
      </w:r>
      <w:r w:rsidR="0064050C" w:rsidRPr="006D2720">
        <w:rPr>
          <w:rStyle w:val="FootnoteReference"/>
          <w:rFonts w:ascii="Times New Roman" w:hAnsi="Times New Roman" w:cs="Times New Roman"/>
          <w:bCs/>
          <w:szCs w:val="21"/>
        </w:rPr>
        <w:footnoteReference w:id="377"/>
      </w:r>
      <w:r w:rsidR="0064050C" w:rsidRPr="006D2720">
        <w:rPr>
          <w:rFonts w:ascii="Times New Roman" w:hAnsi="Times New Roman" w:cs="Times New Roman"/>
        </w:rPr>
        <w:t xml:space="preserve"> </w:t>
      </w:r>
    </w:p>
    <w:p w14:paraId="6F03E5AA" w14:textId="71CD86C5" w:rsidR="004F0ECC" w:rsidRPr="006D2720" w:rsidRDefault="00F20967" w:rsidP="00800161">
      <w:pPr>
        <w:pStyle w:val="Dotpointlist"/>
        <w:rPr>
          <w:rFonts w:ascii="Times New Roman" w:hAnsi="Times New Roman" w:cs="Times New Roman"/>
        </w:rPr>
      </w:pPr>
      <w:r w:rsidRPr="006D2720">
        <w:rPr>
          <w:rFonts w:ascii="Times New Roman" w:hAnsi="Times New Roman" w:cs="Times New Roman"/>
        </w:rPr>
        <w:t xml:space="preserve">The </w:t>
      </w:r>
      <w:r w:rsidR="0064050C" w:rsidRPr="006D2720">
        <w:rPr>
          <w:rFonts w:ascii="Times New Roman" w:hAnsi="Times New Roman" w:cs="Times New Roman"/>
          <w:i/>
        </w:rPr>
        <w:t xml:space="preserve">Disability Services Act 2011 </w:t>
      </w:r>
      <w:r w:rsidR="0064050C" w:rsidRPr="006D2720">
        <w:rPr>
          <w:rFonts w:ascii="Times New Roman" w:hAnsi="Times New Roman" w:cs="Times New Roman"/>
          <w:iCs/>
        </w:rPr>
        <w:t>(Tas)</w:t>
      </w:r>
      <w:r w:rsidR="00551641" w:rsidRPr="006D2720">
        <w:rPr>
          <w:rFonts w:ascii="Times New Roman" w:hAnsi="Times New Roman" w:cs="Times New Roman"/>
        </w:rPr>
        <w:t>: mandates</w:t>
      </w:r>
      <w:r w:rsidR="0064050C" w:rsidRPr="006D2720">
        <w:rPr>
          <w:rFonts w:ascii="Times New Roman" w:hAnsi="Times New Roman" w:cs="Times New Roman"/>
        </w:rPr>
        <w:t xml:space="preserve"> that persons with a disability should have their privacy and dignity respected</w:t>
      </w:r>
      <w:r w:rsidRPr="006D2720">
        <w:rPr>
          <w:rFonts w:ascii="Times New Roman" w:hAnsi="Times New Roman" w:cs="Times New Roman"/>
        </w:rPr>
        <w:t>.</w:t>
      </w:r>
      <w:r w:rsidR="0064050C" w:rsidRPr="006D2720">
        <w:rPr>
          <w:rStyle w:val="FootnoteReference"/>
          <w:rFonts w:ascii="Times New Roman" w:hAnsi="Times New Roman" w:cs="Times New Roman"/>
          <w:bCs/>
          <w:szCs w:val="21"/>
        </w:rPr>
        <w:footnoteReference w:id="378"/>
      </w:r>
      <w:r w:rsidR="0064050C" w:rsidRPr="006D2720">
        <w:rPr>
          <w:rFonts w:ascii="Times New Roman" w:hAnsi="Times New Roman" w:cs="Times New Roman"/>
        </w:rPr>
        <w:t xml:space="preserve"> </w:t>
      </w:r>
      <w:r w:rsidR="00745362" w:rsidRPr="006D2720">
        <w:rPr>
          <w:rFonts w:ascii="Times New Roman" w:hAnsi="Times New Roman" w:cs="Times New Roman"/>
        </w:rPr>
        <w:t>Failure</w:t>
      </w:r>
      <w:r w:rsidR="004D5BFE" w:rsidRPr="006D2720">
        <w:rPr>
          <w:rFonts w:ascii="Times New Roman" w:hAnsi="Times New Roman" w:cs="Times New Roman"/>
        </w:rPr>
        <w:t xml:space="preserve"> of a health provider</w:t>
      </w:r>
      <w:r w:rsidR="00745362" w:rsidRPr="006D2720">
        <w:rPr>
          <w:rFonts w:ascii="Times New Roman" w:hAnsi="Times New Roman" w:cs="Times New Roman"/>
        </w:rPr>
        <w:t xml:space="preserve"> to do so is grounds for complaint under t</w:t>
      </w:r>
      <w:r w:rsidR="00890C9F" w:rsidRPr="006D2720">
        <w:rPr>
          <w:rFonts w:ascii="Times New Roman" w:hAnsi="Times New Roman" w:cs="Times New Roman"/>
        </w:rPr>
        <w:t>he</w:t>
      </w:r>
      <w:r w:rsidR="0064050C" w:rsidRPr="006D2720">
        <w:rPr>
          <w:rFonts w:ascii="Times New Roman" w:hAnsi="Times New Roman" w:cs="Times New Roman"/>
        </w:rPr>
        <w:t xml:space="preserve"> </w:t>
      </w:r>
      <w:r w:rsidR="0064050C" w:rsidRPr="006D2720">
        <w:rPr>
          <w:rFonts w:ascii="Times New Roman" w:hAnsi="Times New Roman" w:cs="Times New Roman"/>
          <w:i/>
        </w:rPr>
        <w:t>Health Complaints Act 1995</w:t>
      </w:r>
      <w:r w:rsidR="0064050C" w:rsidRPr="006D2720">
        <w:rPr>
          <w:rFonts w:ascii="Times New Roman" w:hAnsi="Times New Roman" w:cs="Times New Roman"/>
          <w:iCs/>
        </w:rPr>
        <w:t xml:space="preserve"> (Tas)</w:t>
      </w:r>
      <w:r w:rsidR="0064050C" w:rsidRPr="006D2720">
        <w:rPr>
          <w:rFonts w:ascii="Times New Roman" w:hAnsi="Times New Roman" w:cs="Times New Roman"/>
        </w:rPr>
        <w:t>.</w:t>
      </w:r>
      <w:r w:rsidR="0064050C" w:rsidRPr="006D2720">
        <w:rPr>
          <w:rStyle w:val="FootnoteReference"/>
          <w:rFonts w:ascii="Times New Roman" w:hAnsi="Times New Roman" w:cs="Times New Roman"/>
          <w:bCs/>
          <w:szCs w:val="21"/>
        </w:rPr>
        <w:footnoteReference w:id="379"/>
      </w:r>
    </w:p>
    <w:p w14:paraId="3E94F419" w14:textId="076F41EF" w:rsidR="003503C9" w:rsidRPr="006D2720" w:rsidRDefault="00551641" w:rsidP="00551641">
      <w:pPr>
        <w:pStyle w:val="Dotpointlist"/>
        <w:rPr>
          <w:rFonts w:ascii="Times New Roman" w:hAnsi="Times New Roman" w:cs="Times New Roman"/>
          <w:bCs/>
        </w:rPr>
      </w:pPr>
      <w:r w:rsidRPr="006D2720">
        <w:rPr>
          <w:rFonts w:ascii="Times New Roman" w:hAnsi="Times New Roman" w:cs="Times New Roman"/>
        </w:rPr>
        <w:t>The</w:t>
      </w:r>
      <w:r w:rsidR="003503C9" w:rsidRPr="006D2720">
        <w:rPr>
          <w:rFonts w:ascii="Times New Roman" w:hAnsi="Times New Roman" w:cs="Times New Roman"/>
        </w:rPr>
        <w:t xml:space="preserve"> </w:t>
      </w:r>
      <w:r w:rsidR="003503C9" w:rsidRPr="006D2720">
        <w:rPr>
          <w:rFonts w:ascii="Times New Roman" w:hAnsi="Times New Roman" w:cs="Times New Roman"/>
          <w:i/>
        </w:rPr>
        <w:t xml:space="preserve">Residential Tenancy Act 1997 </w:t>
      </w:r>
      <w:r w:rsidR="003503C9" w:rsidRPr="006D2720">
        <w:rPr>
          <w:rFonts w:ascii="Times New Roman" w:hAnsi="Times New Roman" w:cs="Times New Roman"/>
          <w:iCs/>
        </w:rPr>
        <w:t>(Tas):</w:t>
      </w:r>
      <w:r w:rsidRPr="006D2720">
        <w:rPr>
          <w:rFonts w:ascii="Times New Roman" w:hAnsi="Times New Roman" w:cs="Times New Roman"/>
        </w:rPr>
        <w:t xml:space="preserve"> </w:t>
      </w:r>
      <w:r w:rsidR="0064050C" w:rsidRPr="006D2720">
        <w:rPr>
          <w:rFonts w:ascii="Times New Roman" w:hAnsi="Times New Roman" w:cs="Times New Roman"/>
          <w:bCs/>
        </w:rPr>
        <w:t xml:space="preserve">all non-social housing residential tenancy arrangements </w:t>
      </w:r>
      <w:r w:rsidRPr="006D2720">
        <w:rPr>
          <w:rFonts w:ascii="Times New Roman" w:hAnsi="Times New Roman" w:cs="Times New Roman"/>
          <w:bCs/>
        </w:rPr>
        <w:t xml:space="preserve">must </w:t>
      </w:r>
      <w:r w:rsidR="0064050C" w:rsidRPr="006D2720">
        <w:rPr>
          <w:rFonts w:ascii="Times New Roman" w:hAnsi="Times New Roman" w:cs="Times New Roman"/>
          <w:bCs/>
        </w:rPr>
        <w:t>include window coverings for privacy</w:t>
      </w:r>
      <w:r w:rsidR="007D679E" w:rsidRPr="006D2720">
        <w:rPr>
          <w:rFonts w:ascii="Times New Roman" w:hAnsi="Times New Roman" w:cs="Times New Roman"/>
          <w:bCs/>
        </w:rPr>
        <w:t>.</w:t>
      </w:r>
      <w:r w:rsidR="0064050C" w:rsidRPr="006D2720">
        <w:rPr>
          <w:rStyle w:val="FootnoteReference"/>
          <w:rFonts w:ascii="Times New Roman" w:hAnsi="Times New Roman" w:cs="Times New Roman"/>
          <w:bCs/>
          <w:szCs w:val="21"/>
        </w:rPr>
        <w:footnoteReference w:id="380"/>
      </w:r>
      <w:r w:rsidR="0064050C" w:rsidRPr="006D2720">
        <w:rPr>
          <w:rFonts w:ascii="Times New Roman" w:hAnsi="Times New Roman" w:cs="Times New Roman"/>
          <w:bCs/>
        </w:rPr>
        <w:t xml:space="preserve"> </w:t>
      </w:r>
    </w:p>
    <w:p w14:paraId="34CE8590" w14:textId="4DC9B909" w:rsidR="0064050C" w:rsidRPr="006D2720" w:rsidRDefault="003503C9" w:rsidP="0066337D">
      <w:pPr>
        <w:pStyle w:val="Dotpointlist"/>
        <w:rPr>
          <w:rFonts w:ascii="Times New Roman" w:hAnsi="Times New Roman" w:cs="Times New Roman"/>
          <w:bCs/>
        </w:rPr>
      </w:pPr>
      <w:r w:rsidRPr="006D2720">
        <w:rPr>
          <w:rFonts w:ascii="Times New Roman" w:hAnsi="Times New Roman" w:cs="Times New Roman"/>
          <w:bCs/>
        </w:rPr>
        <w:t xml:space="preserve">The </w:t>
      </w:r>
      <w:r w:rsidRPr="006D2720">
        <w:rPr>
          <w:rFonts w:ascii="Times New Roman" w:hAnsi="Times New Roman" w:cs="Times New Roman"/>
          <w:bCs/>
          <w:i/>
        </w:rPr>
        <w:t xml:space="preserve">Access to Neighbouring Land Act 1992 </w:t>
      </w:r>
      <w:r w:rsidRPr="006D2720">
        <w:rPr>
          <w:rFonts w:ascii="Times New Roman" w:hAnsi="Times New Roman" w:cs="Times New Roman"/>
          <w:bCs/>
          <w:iCs/>
        </w:rPr>
        <w:t xml:space="preserve">(Tas): </w:t>
      </w:r>
      <w:r w:rsidRPr="006D2720">
        <w:rPr>
          <w:rFonts w:ascii="Times New Roman" w:hAnsi="Times New Roman" w:cs="Times New Roman"/>
          <w:bCs/>
        </w:rPr>
        <w:t>if a person needs to access neighbouring land to carry out work</w:t>
      </w:r>
      <w:r w:rsidR="00B970D5" w:rsidRPr="006D2720">
        <w:rPr>
          <w:rFonts w:ascii="Times New Roman" w:hAnsi="Times New Roman" w:cs="Times New Roman"/>
          <w:bCs/>
        </w:rPr>
        <w:t xml:space="preserve"> (</w:t>
      </w:r>
      <w:r w:rsidR="00CF4015" w:rsidRPr="006D2720">
        <w:rPr>
          <w:rFonts w:ascii="Times New Roman" w:hAnsi="Times New Roman" w:cs="Times New Roman"/>
          <w:bCs/>
        </w:rPr>
        <w:t>for example,</w:t>
      </w:r>
      <w:r w:rsidR="00B970D5" w:rsidRPr="006D2720">
        <w:rPr>
          <w:rFonts w:ascii="Times New Roman" w:hAnsi="Times New Roman" w:cs="Times New Roman"/>
          <w:bCs/>
        </w:rPr>
        <w:t xml:space="preserve"> to repair drains)</w:t>
      </w:r>
      <w:r w:rsidRPr="006D2720">
        <w:rPr>
          <w:rFonts w:ascii="Times New Roman" w:hAnsi="Times New Roman" w:cs="Times New Roman"/>
          <w:bCs/>
        </w:rPr>
        <w:t xml:space="preserve">, and the </w:t>
      </w:r>
      <w:r w:rsidR="00632E25" w:rsidRPr="006D2720">
        <w:rPr>
          <w:rFonts w:ascii="Times New Roman" w:hAnsi="Times New Roman" w:cs="Times New Roman"/>
          <w:bCs/>
        </w:rPr>
        <w:t>c</w:t>
      </w:r>
      <w:r w:rsidR="0064050C" w:rsidRPr="006D2720">
        <w:rPr>
          <w:rFonts w:ascii="Times New Roman" w:hAnsi="Times New Roman" w:cs="Times New Roman"/>
          <w:bCs/>
        </w:rPr>
        <w:t xml:space="preserve">ourt </w:t>
      </w:r>
      <w:r w:rsidRPr="006D2720">
        <w:rPr>
          <w:rFonts w:ascii="Times New Roman" w:hAnsi="Times New Roman" w:cs="Times New Roman"/>
          <w:bCs/>
        </w:rPr>
        <w:t xml:space="preserve">grants an order </w:t>
      </w:r>
      <w:r w:rsidR="0064050C" w:rsidRPr="006D2720">
        <w:rPr>
          <w:rFonts w:ascii="Times New Roman" w:hAnsi="Times New Roman" w:cs="Times New Roman"/>
          <w:bCs/>
        </w:rPr>
        <w:t xml:space="preserve">permitting </w:t>
      </w:r>
      <w:r w:rsidRPr="006D2720">
        <w:rPr>
          <w:rFonts w:ascii="Times New Roman" w:hAnsi="Times New Roman" w:cs="Times New Roman"/>
          <w:bCs/>
        </w:rPr>
        <w:t xml:space="preserve">such </w:t>
      </w:r>
      <w:r w:rsidR="0064050C" w:rsidRPr="006D2720">
        <w:rPr>
          <w:rFonts w:ascii="Times New Roman" w:hAnsi="Times New Roman" w:cs="Times New Roman"/>
          <w:bCs/>
        </w:rPr>
        <w:t>access</w:t>
      </w:r>
      <w:r w:rsidRPr="006D2720">
        <w:rPr>
          <w:rFonts w:ascii="Times New Roman" w:hAnsi="Times New Roman" w:cs="Times New Roman"/>
          <w:bCs/>
        </w:rPr>
        <w:t xml:space="preserve">, the order </w:t>
      </w:r>
      <w:r w:rsidR="0064050C" w:rsidRPr="006D2720">
        <w:rPr>
          <w:rFonts w:ascii="Times New Roman" w:hAnsi="Times New Roman" w:cs="Times New Roman"/>
          <w:bCs/>
        </w:rPr>
        <w:t>may be subject to conditions to avoid or minimise loss of privacy.</w:t>
      </w:r>
      <w:r w:rsidR="0064050C" w:rsidRPr="006D2720">
        <w:rPr>
          <w:rStyle w:val="FootnoteReference"/>
          <w:rFonts w:ascii="Times New Roman" w:hAnsi="Times New Roman" w:cs="Times New Roman"/>
          <w:bCs/>
          <w:szCs w:val="21"/>
        </w:rPr>
        <w:footnoteReference w:id="381"/>
      </w:r>
    </w:p>
    <w:p w14:paraId="44242607" w14:textId="4433CCB3" w:rsidR="00886539" w:rsidRPr="006D2720" w:rsidRDefault="00BE4EC4" w:rsidP="0066337D">
      <w:pPr>
        <w:pStyle w:val="Heading3"/>
        <w:rPr>
          <w:rFonts w:ascii="Times New Roman" w:hAnsi="Times New Roman" w:cs="Times New Roman"/>
        </w:rPr>
      </w:pPr>
      <w:r w:rsidRPr="006D2720">
        <w:rPr>
          <w:rFonts w:ascii="Times New Roman" w:hAnsi="Times New Roman" w:cs="Times New Roman"/>
        </w:rPr>
        <w:t xml:space="preserve">These </w:t>
      </w:r>
      <w:r w:rsidR="00886539" w:rsidRPr="006D2720">
        <w:rPr>
          <w:rFonts w:ascii="Times New Roman" w:hAnsi="Times New Roman" w:cs="Times New Roman"/>
        </w:rPr>
        <w:t xml:space="preserve">references to privacy </w:t>
      </w:r>
      <w:r w:rsidR="00A24280" w:rsidRPr="006D2720">
        <w:rPr>
          <w:rFonts w:ascii="Times New Roman" w:hAnsi="Times New Roman" w:cs="Times New Roman"/>
        </w:rPr>
        <w:t>do</w:t>
      </w:r>
      <w:r w:rsidR="00886539" w:rsidRPr="006D2720">
        <w:rPr>
          <w:rFonts w:ascii="Times New Roman" w:hAnsi="Times New Roman" w:cs="Times New Roman"/>
        </w:rPr>
        <w:t xml:space="preserve"> not provide </w:t>
      </w:r>
      <w:r w:rsidR="00A24280" w:rsidRPr="006D2720">
        <w:rPr>
          <w:rFonts w:ascii="Times New Roman" w:hAnsi="Times New Roman" w:cs="Times New Roman"/>
        </w:rPr>
        <w:t xml:space="preserve">for </w:t>
      </w:r>
      <w:r w:rsidR="00886539" w:rsidRPr="006D2720">
        <w:rPr>
          <w:rFonts w:ascii="Times New Roman" w:hAnsi="Times New Roman" w:cs="Times New Roman"/>
        </w:rPr>
        <w:t xml:space="preserve">concrete or comprehensive privacy protection, nor do </w:t>
      </w:r>
      <w:r w:rsidR="000976AF" w:rsidRPr="006D2720">
        <w:rPr>
          <w:rFonts w:ascii="Times New Roman" w:hAnsi="Times New Roman" w:cs="Times New Roman"/>
        </w:rPr>
        <w:t xml:space="preserve">they </w:t>
      </w:r>
      <w:r w:rsidR="00886539" w:rsidRPr="006D2720">
        <w:rPr>
          <w:rFonts w:ascii="Times New Roman" w:hAnsi="Times New Roman" w:cs="Times New Roman"/>
        </w:rPr>
        <w:t xml:space="preserve">provide a foundation for a principle of individual privacy. </w:t>
      </w:r>
      <w:r w:rsidR="003B710C" w:rsidRPr="006D2720">
        <w:rPr>
          <w:rFonts w:ascii="Times New Roman" w:hAnsi="Times New Roman" w:cs="Times New Roman"/>
        </w:rPr>
        <w:t>However, t</w:t>
      </w:r>
      <w:r w:rsidR="00886539" w:rsidRPr="006D2720">
        <w:rPr>
          <w:rFonts w:ascii="Times New Roman" w:hAnsi="Times New Roman" w:cs="Times New Roman"/>
        </w:rPr>
        <w:t>hey represent</w:t>
      </w:r>
      <w:r w:rsidR="003B710C" w:rsidRPr="006D2720">
        <w:rPr>
          <w:rFonts w:ascii="Times New Roman" w:hAnsi="Times New Roman" w:cs="Times New Roman"/>
        </w:rPr>
        <w:t xml:space="preserve"> an </w:t>
      </w:r>
      <w:r w:rsidR="00886539" w:rsidRPr="006D2720">
        <w:rPr>
          <w:rFonts w:ascii="Times New Roman" w:hAnsi="Times New Roman" w:cs="Times New Roman"/>
        </w:rPr>
        <w:t xml:space="preserve">acknowledgment by </w:t>
      </w:r>
      <w:r w:rsidR="000976AF" w:rsidRPr="006D2720">
        <w:rPr>
          <w:rFonts w:ascii="Times New Roman" w:hAnsi="Times New Roman" w:cs="Times New Roman"/>
        </w:rPr>
        <w:t xml:space="preserve">the Tasmanian </w:t>
      </w:r>
      <w:r w:rsidR="00886539" w:rsidRPr="006D2720">
        <w:rPr>
          <w:rFonts w:ascii="Times New Roman" w:hAnsi="Times New Roman" w:cs="Times New Roman"/>
        </w:rPr>
        <w:t xml:space="preserve">Parliament that, </w:t>
      </w:r>
      <w:r w:rsidR="00A45015" w:rsidRPr="006D2720">
        <w:rPr>
          <w:rFonts w:ascii="Times New Roman" w:hAnsi="Times New Roman" w:cs="Times New Roman"/>
        </w:rPr>
        <w:t xml:space="preserve">at least </w:t>
      </w:r>
      <w:r w:rsidR="00886539" w:rsidRPr="006D2720">
        <w:rPr>
          <w:rFonts w:ascii="Times New Roman" w:hAnsi="Times New Roman" w:cs="Times New Roman"/>
        </w:rPr>
        <w:t xml:space="preserve">in particular circumstances, individual privacy may be affected and </w:t>
      </w:r>
      <w:r w:rsidR="000976AF" w:rsidRPr="006D2720">
        <w:rPr>
          <w:rFonts w:ascii="Times New Roman" w:hAnsi="Times New Roman" w:cs="Times New Roman"/>
        </w:rPr>
        <w:t>may be required</w:t>
      </w:r>
      <w:r w:rsidR="00886539" w:rsidRPr="006D2720">
        <w:rPr>
          <w:rFonts w:ascii="Times New Roman" w:hAnsi="Times New Roman" w:cs="Times New Roman"/>
        </w:rPr>
        <w:t xml:space="preserve"> to be taken into account in how a power is exercised or an activity is undertaken. </w:t>
      </w:r>
    </w:p>
    <w:p w14:paraId="1955C0A4" w14:textId="26735882" w:rsidR="0064050C" w:rsidRPr="006D2720" w:rsidRDefault="00886539" w:rsidP="00A453AE">
      <w:pPr>
        <w:pStyle w:val="Heading2"/>
        <w:rPr>
          <w:rFonts w:ascii="Times New Roman" w:hAnsi="Times New Roman" w:cs="Times New Roman"/>
        </w:rPr>
      </w:pPr>
      <w:bookmarkStart w:id="398" w:name="_Judicial_references_to"/>
      <w:bookmarkStart w:id="399" w:name="_Toc91832021"/>
      <w:bookmarkStart w:id="400" w:name="_Toc130540456"/>
      <w:bookmarkEnd w:id="398"/>
      <w:r w:rsidRPr="006D2720">
        <w:rPr>
          <w:rFonts w:ascii="Times New Roman" w:hAnsi="Times New Roman" w:cs="Times New Roman"/>
        </w:rPr>
        <w:t>Judicial references to privacy</w:t>
      </w:r>
      <w:r w:rsidR="003669B3" w:rsidRPr="006D2720">
        <w:rPr>
          <w:rFonts w:ascii="Times New Roman" w:hAnsi="Times New Roman" w:cs="Times New Roman"/>
        </w:rPr>
        <w:t xml:space="preserve"> and </w:t>
      </w:r>
      <w:r w:rsidR="0044785C" w:rsidRPr="006D2720">
        <w:rPr>
          <w:rFonts w:ascii="Times New Roman" w:hAnsi="Times New Roman" w:cs="Times New Roman"/>
        </w:rPr>
        <w:t xml:space="preserve">the </w:t>
      </w:r>
      <w:r w:rsidR="003669B3" w:rsidRPr="006D2720">
        <w:rPr>
          <w:rFonts w:ascii="Times New Roman" w:hAnsi="Times New Roman" w:cs="Times New Roman"/>
        </w:rPr>
        <w:t xml:space="preserve">development of </w:t>
      </w:r>
      <w:r w:rsidR="00992DDD" w:rsidRPr="006D2720">
        <w:rPr>
          <w:rFonts w:ascii="Times New Roman" w:hAnsi="Times New Roman" w:cs="Times New Roman"/>
        </w:rPr>
        <w:t>general</w:t>
      </w:r>
      <w:r w:rsidR="003669B3" w:rsidRPr="006D2720">
        <w:rPr>
          <w:rFonts w:ascii="Times New Roman" w:hAnsi="Times New Roman" w:cs="Times New Roman"/>
        </w:rPr>
        <w:t xml:space="preserve"> law protections</w:t>
      </w:r>
      <w:bookmarkEnd w:id="399"/>
      <w:bookmarkEnd w:id="400"/>
    </w:p>
    <w:p w14:paraId="74B004D0" w14:textId="0D45D17B" w:rsidR="0064050C" w:rsidRPr="006D2720" w:rsidRDefault="0064050C" w:rsidP="0066337D">
      <w:pPr>
        <w:pStyle w:val="Heading3"/>
        <w:rPr>
          <w:rFonts w:ascii="Times New Roman" w:hAnsi="Times New Roman" w:cs="Times New Roman"/>
        </w:rPr>
      </w:pPr>
      <w:r w:rsidRPr="006D2720">
        <w:rPr>
          <w:rFonts w:ascii="Times New Roman" w:hAnsi="Times New Roman" w:cs="Times New Roman"/>
        </w:rPr>
        <w:t>There have been very few cases concerning interference with privacy in Australia</w:t>
      </w:r>
      <w:r w:rsidR="0044785C" w:rsidRPr="006D2720">
        <w:rPr>
          <w:rFonts w:ascii="Times New Roman" w:hAnsi="Times New Roman" w:cs="Times New Roman"/>
        </w:rPr>
        <w:t xml:space="preserve"> overall</w:t>
      </w:r>
      <w:r w:rsidRPr="006D2720">
        <w:rPr>
          <w:rFonts w:ascii="Times New Roman" w:hAnsi="Times New Roman" w:cs="Times New Roman"/>
        </w:rPr>
        <w:t xml:space="preserve">, and even fewer in Tasmania in particular. </w:t>
      </w:r>
      <w:r w:rsidR="00A23A7B" w:rsidRPr="006D2720">
        <w:rPr>
          <w:rFonts w:ascii="Times New Roman" w:hAnsi="Times New Roman" w:cs="Times New Roman"/>
        </w:rPr>
        <w:t xml:space="preserve">While </w:t>
      </w:r>
      <w:r w:rsidRPr="006D2720">
        <w:rPr>
          <w:rFonts w:ascii="Times New Roman" w:hAnsi="Times New Roman" w:cs="Times New Roman"/>
        </w:rPr>
        <w:t xml:space="preserve">Tasmanian courts have had opportunities to comment on the value of privacy, </w:t>
      </w:r>
      <w:r w:rsidR="000976AF" w:rsidRPr="006D2720">
        <w:rPr>
          <w:rFonts w:ascii="Times New Roman" w:hAnsi="Times New Roman" w:cs="Times New Roman"/>
        </w:rPr>
        <w:t xml:space="preserve">such </w:t>
      </w:r>
      <w:r w:rsidR="00A23A7B" w:rsidRPr="006D2720">
        <w:rPr>
          <w:rFonts w:ascii="Times New Roman" w:hAnsi="Times New Roman" w:cs="Times New Roman"/>
        </w:rPr>
        <w:t xml:space="preserve">cases have not centred on privacy interferences. Rather, comments </w:t>
      </w:r>
      <w:r w:rsidR="000976AF" w:rsidRPr="006D2720">
        <w:rPr>
          <w:rFonts w:ascii="Times New Roman" w:hAnsi="Times New Roman" w:cs="Times New Roman"/>
        </w:rPr>
        <w:t xml:space="preserve">have been made </w:t>
      </w:r>
      <w:r w:rsidRPr="006D2720">
        <w:rPr>
          <w:rFonts w:ascii="Times New Roman" w:hAnsi="Times New Roman" w:cs="Times New Roman"/>
        </w:rPr>
        <w:t xml:space="preserve">in limited circumstances where legislation </w:t>
      </w:r>
      <w:r w:rsidR="003669B3" w:rsidRPr="006D2720">
        <w:rPr>
          <w:rFonts w:ascii="Times New Roman" w:hAnsi="Times New Roman" w:cs="Times New Roman"/>
        </w:rPr>
        <w:t>refer</w:t>
      </w:r>
      <w:r w:rsidR="00601833" w:rsidRPr="006D2720">
        <w:rPr>
          <w:rFonts w:ascii="Times New Roman" w:hAnsi="Times New Roman" w:cs="Times New Roman"/>
        </w:rPr>
        <w:t>s</w:t>
      </w:r>
      <w:r w:rsidR="003669B3" w:rsidRPr="006D2720">
        <w:rPr>
          <w:rFonts w:ascii="Times New Roman" w:hAnsi="Times New Roman" w:cs="Times New Roman"/>
        </w:rPr>
        <w:t xml:space="preserve"> </w:t>
      </w:r>
      <w:r w:rsidRPr="006D2720">
        <w:rPr>
          <w:rFonts w:ascii="Times New Roman" w:hAnsi="Times New Roman" w:cs="Times New Roman"/>
        </w:rPr>
        <w:t xml:space="preserve">to privacy </w:t>
      </w:r>
      <w:r w:rsidR="00601833" w:rsidRPr="006D2720">
        <w:rPr>
          <w:rFonts w:ascii="Times New Roman" w:hAnsi="Times New Roman" w:cs="Times New Roman"/>
        </w:rPr>
        <w:t>(</w:t>
      </w:r>
      <w:r w:rsidR="00CF4015" w:rsidRPr="006D2720">
        <w:rPr>
          <w:rFonts w:ascii="Times New Roman" w:hAnsi="Times New Roman" w:cs="Times New Roman"/>
        </w:rPr>
        <w:t>for example,</w:t>
      </w:r>
      <w:r w:rsidR="00601833" w:rsidRPr="006D2720">
        <w:rPr>
          <w:rFonts w:ascii="Times New Roman" w:hAnsi="Times New Roman" w:cs="Times New Roman"/>
        </w:rPr>
        <w:t xml:space="preserve"> as a </w:t>
      </w:r>
      <w:r w:rsidR="00EB3FF6" w:rsidRPr="006D2720">
        <w:rPr>
          <w:rFonts w:ascii="Times New Roman" w:hAnsi="Times New Roman" w:cs="Times New Roman"/>
        </w:rPr>
        <w:t>factor to be considered in an assessment</w:t>
      </w:r>
      <w:r w:rsidR="00601833" w:rsidRPr="006D2720">
        <w:rPr>
          <w:rFonts w:ascii="Times New Roman" w:hAnsi="Times New Roman" w:cs="Times New Roman"/>
        </w:rPr>
        <w:t xml:space="preserve">) </w:t>
      </w:r>
      <w:r w:rsidRPr="006D2720">
        <w:rPr>
          <w:rFonts w:ascii="Times New Roman" w:hAnsi="Times New Roman" w:cs="Times New Roman"/>
        </w:rPr>
        <w:t xml:space="preserve">or where </w:t>
      </w:r>
      <w:r w:rsidR="00230E76" w:rsidRPr="006D2720">
        <w:rPr>
          <w:rFonts w:ascii="Times New Roman" w:hAnsi="Times New Roman" w:cs="Times New Roman"/>
        </w:rPr>
        <w:t xml:space="preserve">a party invokes </w:t>
      </w:r>
      <w:r w:rsidRPr="006D2720">
        <w:rPr>
          <w:rFonts w:ascii="Times New Roman" w:hAnsi="Times New Roman" w:cs="Times New Roman"/>
        </w:rPr>
        <w:t xml:space="preserve">international instruments protecting privacy. </w:t>
      </w:r>
    </w:p>
    <w:p w14:paraId="35ECC11E" w14:textId="467BCF07" w:rsidR="00E32C06" w:rsidRPr="006D2720" w:rsidRDefault="00E32C06" w:rsidP="006F5BAA">
      <w:pPr>
        <w:pStyle w:val="Heading3"/>
        <w:rPr>
          <w:rFonts w:ascii="Times New Roman" w:hAnsi="Times New Roman" w:cs="Times New Roman"/>
        </w:rPr>
      </w:pPr>
      <w:r w:rsidRPr="006D2720">
        <w:rPr>
          <w:rFonts w:ascii="Times New Roman" w:hAnsi="Times New Roman" w:cs="Times New Roman"/>
        </w:rPr>
        <w:t xml:space="preserve">In some cases of egregious interferences, appellate courts in the Commonwealth and other </w:t>
      </w:r>
      <w:r w:rsidR="00884D2F" w:rsidRPr="006D2720">
        <w:rPr>
          <w:rFonts w:ascii="Times New Roman" w:hAnsi="Times New Roman" w:cs="Times New Roman"/>
        </w:rPr>
        <w:t>s</w:t>
      </w:r>
      <w:r w:rsidRPr="006D2720">
        <w:rPr>
          <w:rFonts w:ascii="Times New Roman" w:hAnsi="Times New Roman" w:cs="Times New Roman"/>
        </w:rPr>
        <w:t xml:space="preserve">tate </w:t>
      </w:r>
      <w:r w:rsidR="000976AF" w:rsidRPr="006D2720">
        <w:rPr>
          <w:rFonts w:ascii="Times New Roman" w:hAnsi="Times New Roman" w:cs="Times New Roman"/>
        </w:rPr>
        <w:t xml:space="preserve">and territory </w:t>
      </w:r>
      <w:r w:rsidRPr="006D2720">
        <w:rPr>
          <w:rFonts w:ascii="Times New Roman" w:hAnsi="Times New Roman" w:cs="Times New Roman"/>
        </w:rPr>
        <w:t>jurisdictions have provided equitable remedies, such as finding that the interference was a breach of confidence</w:t>
      </w:r>
      <w:r w:rsidR="00774F42" w:rsidRPr="006D2720">
        <w:rPr>
          <w:rFonts w:ascii="Times New Roman" w:hAnsi="Times New Roman" w:cs="Times New Roman"/>
        </w:rPr>
        <w:t xml:space="preserve"> and awarding damages</w:t>
      </w:r>
      <w:r w:rsidR="00950A76" w:rsidRPr="006D2720">
        <w:rPr>
          <w:rFonts w:ascii="Times New Roman" w:hAnsi="Times New Roman" w:cs="Times New Roman"/>
        </w:rPr>
        <w:t xml:space="preserve"> </w:t>
      </w:r>
      <w:r w:rsidR="00293A86" w:rsidRPr="006D2720">
        <w:rPr>
          <w:rFonts w:ascii="Times New Roman" w:hAnsi="Times New Roman" w:cs="Times New Roman"/>
        </w:rPr>
        <w:t>in compensation</w:t>
      </w:r>
      <w:r w:rsidR="00774F42" w:rsidRPr="006D2720">
        <w:rPr>
          <w:rFonts w:ascii="Times New Roman" w:hAnsi="Times New Roman" w:cs="Times New Roman"/>
        </w:rPr>
        <w:t>.</w:t>
      </w:r>
      <w:r w:rsidRPr="006D2720">
        <w:rPr>
          <w:rFonts w:ascii="Times New Roman" w:hAnsi="Times New Roman" w:cs="Times New Roman"/>
        </w:rPr>
        <w:t xml:space="preserve"> However, they have not recognised a standalone privacy right or </w:t>
      </w:r>
      <w:r w:rsidR="002128D2" w:rsidRPr="006D2720">
        <w:rPr>
          <w:rFonts w:ascii="Times New Roman" w:hAnsi="Times New Roman" w:cs="Times New Roman"/>
        </w:rPr>
        <w:t>civil</w:t>
      </w:r>
      <w:r w:rsidRPr="006D2720">
        <w:rPr>
          <w:rFonts w:ascii="Times New Roman" w:hAnsi="Times New Roman" w:cs="Times New Roman"/>
        </w:rPr>
        <w:t xml:space="preserve"> remedy that comprehensively covers privacy interferences.</w:t>
      </w:r>
    </w:p>
    <w:p w14:paraId="2A4501B6" w14:textId="40F33F0D" w:rsidR="0064050C" w:rsidRPr="006D2720" w:rsidRDefault="0064050C" w:rsidP="00CA1A69">
      <w:pPr>
        <w:pStyle w:val="Heading2"/>
        <w:numPr>
          <w:ilvl w:val="0"/>
          <w:numId w:val="0"/>
        </w:numPr>
        <w:ind w:left="578" w:hanging="578"/>
        <w:rPr>
          <w:rFonts w:ascii="Times New Roman" w:hAnsi="Times New Roman" w:cs="Times New Roman"/>
          <w:i/>
          <w:iCs/>
        </w:rPr>
      </w:pPr>
      <w:bookmarkStart w:id="401" w:name="_Toc91832022"/>
      <w:bookmarkStart w:id="402" w:name="_Toc130540457"/>
      <w:r w:rsidRPr="006D2720">
        <w:rPr>
          <w:rFonts w:ascii="Times New Roman" w:hAnsi="Times New Roman" w:cs="Times New Roman"/>
          <w:i/>
          <w:iCs/>
        </w:rPr>
        <w:t>The value of privacy before the Tasmanian courts</w:t>
      </w:r>
      <w:bookmarkEnd w:id="401"/>
      <w:bookmarkEnd w:id="402"/>
    </w:p>
    <w:p w14:paraId="02AE3E49" w14:textId="5F309720" w:rsidR="000D5530" w:rsidRPr="006D2720" w:rsidRDefault="000D5530" w:rsidP="00240952">
      <w:pPr>
        <w:rPr>
          <w:rFonts w:ascii="Times New Roman" w:hAnsi="Times New Roman" w:cs="Times New Roman"/>
          <w:b/>
          <w:bCs/>
          <w:i/>
          <w:iCs/>
        </w:rPr>
      </w:pPr>
      <w:r w:rsidRPr="006D2720">
        <w:rPr>
          <w:rFonts w:ascii="Times New Roman" w:hAnsi="Times New Roman" w:cs="Times New Roman"/>
          <w:b/>
          <w:bCs/>
          <w:i/>
          <w:iCs/>
        </w:rPr>
        <w:t>Admissibility of evidence</w:t>
      </w:r>
      <w:r w:rsidR="00240952" w:rsidRPr="006D2720">
        <w:rPr>
          <w:rFonts w:ascii="Times New Roman" w:hAnsi="Times New Roman" w:cs="Times New Roman"/>
          <w:b/>
          <w:bCs/>
          <w:i/>
          <w:iCs/>
        </w:rPr>
        <w:t xml:space="preserve"> </w:t>
      </w:r>
    </w:p>
    <w:p w14:paraId="330AC6A8" w14:textId="5BFA31CE" w:rsidR="009940F9" w:rsidRPr="006D2720" w:rsidRDefault="00021F31" w:rsidP="006F5BAA">
      <w:pPr>
        <w:pStyle w:val="Heading3"/>
        <w:rPr>
          <w:rFonts w:ascii="Times New Roman" w:hAnsi="Times New Roman" w:cs="Times New Roman"/>
        </w:rPr>
      </w:pPr>
      <w:r w:rsidRPr="006D2720">
        <w:rPr>
          <w:rFonts w:ascii="Times New Roman" w:hAnsi="Times New Roman" w:cs="Times New Roman"/>
        </w:rPr>
        <w:t xml:space="preserve">One example where this arises is when determining whether or not evidence that was improperly or illegally obtained should be </w:t>
      </w:r>
      <w:r w:rsidR="00302F01" w:rsidRPr="006D2720">
        <w:rPr>
          <w:rFonts w:ascii="Times New Roman" w:hAnsi="Times New Roman" w:cs="Times New Roman"/>
        </w:rPr>
        <w:t>admitted</w:t>
      </w:r>
      <w:r w:rsidRPr="006D2720">
        <w:rPr>
          <w:rFonts w:ascii="Times New Roman" w:hAnsi="Times New Roman" w:cs="Times New Roman"/>
        </w:rPr>
        <w:t xml:space="preserve"> into court. </w:t>
      </w:r>
      <w:r w:rsidR="00FC3D5C" w:rsidRPr="006D2720">
        <w:rPr>
          <w:rFonts w:ascii="Times New Roman" w:hAnsi="Times New Roman" w:cs="Times New Roman"/>
        </w:rPr>
        <w:t xml:space="preserve">Courts have </w:t>
      </w:r>
      <w:r w:rsidR="000262C4" w:rsidRPr="006D2720">
        <w:rPr>
          <w:rFonts w:ascii="Times New Roman" w:hAnsi="Times New Roman" w:cs="Times New Roman"/>
        </w:rPr>
        <w:t xml:space="preserve">a discretion to refuse such evidence if </w:t>
      </w:r>
      <w:r w:rsidR="009940F9" w:rsidRPr="006D2720">
        <w:rPr>
          <w:rFonts w:ascii="Times New Roman" w:hAnsi="Times New Roman" w:cs="Times New Roman"/>
        </w:rPr>
        <w:t xml:space="preserve">the desirability of admitting the evidence outweighs the </w:t>
      </w:r>
      <w:r w:rsidR="009940F9" w:rsidRPr="006D2720">
        <w:rPr>
          <w:rFonts w:ascii="Times New Roman" w:hAnsi="Times New Roman" w:cs="Times New Roman"/>
          <w:i/>
          <w:iCs/>
        </w:rPr>
        <w:t xml:space="preserve">undesirability </w:t>
      </w:r>
      <w:r w:rsidR="009940F9" w:rsidRPr="006D2720">
        <w:rPr>
          <w:rFonts w:ascii="Times New Roman" w:hAnsi="Times New Roman" w:cs="Times New Roman"/>
        </w:rPr>
        <w:t xml:space="preserve">of admitting evidence </w:t>
      </w:r>
      <w:r w:rsidR="005D3852" w:rsidRPr="006D2720">
        <w:rPr>
          <w:rFonts w:ascii="Times New Roman" w:hAnsi="Times New Roman" w:cs="Times New Roman"/>
        </w:rPr>
        <w:t xml:space="preserve">that was </w:t>
      </w:r>
      <w:r w:rsidR="009940F9" w:rsidRPr="006D2720">
        <w:rPr>
          <w:rFonts w:ascii="Times New Roman" w:hAnsi="Times New Roman" w:cs="Times New Roman"/>
        </w:rPr>
        <w:t>obtained improperly or illegally</w:t>
      </w:r>
      <w:r w:rsidR="009F4FE2" w:rsidRPr="006D2720">
        <w:rPr>
          <w:rFonts w:ascii="Times New Roman" w:hAnsi="Times New Roman" w:cs="Times New Roman"/>
        </w:rPr>
        <w:t>.</w:t>
      </w:r>
      <w:r w:rsidR="0066571D" w:rsidRPr="006D2720">
        <w:rPr>
          <w:rStyle w:val="FootnoteReference"/>
          <w:rFonts w:ascii="Times New Roman" w:hAnsi="Times New Roman" w:cs="Times New Roman"/>
        </w:rPr>
        <w:footnoteReference w:id="382"/>
      </w:r>
      <w:r w:rsidR="009940F9" w:rsidRPr="006D2720">
        <w:rPr>
          <w:rFonts w:ascii="Times New Roman" w:hAnsi="Times New Roman" w:cs="Times New Roman"/>
        </w:rPr>
        <w:t xml:space="preserve"> One </w:t>
      </w:r>
      <w:r w:rsidR="00CF33A7" w:rsidRPr="006D2720">
        <w:rPr>
          <w:rFonts w:ascii="Times New Roman" w:hAnsi="Times New Roman" w:cs="Times New Roman"/>
        </w:rPr>
        <w:t>matter</w:t>
      </w:r>
      <w:r w:rsidR="009940F9" w:rsidRPr="006D2720">
        <w:rPr>
          <w:rFonts w:ascii="Times New Roman" w:hAnsi="Times New Roman" w:cs="Times New Roman"/>
        </w:rPr>
        <w:t xml:space="preserve"> to be </w:t>
      </w:r>
      <w:r w:rsidR="005530E9" w:rsidRPr="006D2720">
        <w:rPr>
          <w:rFonts w:ascii="Times New Roman" w:hAnsi="Times New Roman" w:cs="Times New Roman"/>
        </w:rPr>
        <w:t>considered</w:t>
      </w:r>
      <w:r w:rsidR="009940F9" w:rsidRPr="006D2720">
        <w:rPr>
          <w:rFonts w:ascii="Times New Roman" w:hAnsi="Times New Roman" w:cs="Times New Roman"/>
        </w:rPr>
        <w:t xml:space="preserve"> is whether </w:t>
      </w:r>
      <w:r w:rsidR="005916E6" w:rsidRPr="006D2720">
        <w:rPr>
          <w:rFonts w:ascii="Times New Roman" w:hAnsi="Times New Roman" w:cs="Times New Roman"/>
        </w:rPr>
        <w:t xml:space="preserve">the </w:t>
      </w:r>
      <w:r w:rsidR="003E288A" w:rsidRPr="006D2720">
        <w:rPr>
          <w:rFonts w:ascii="Times New Roman" w:hAnsi="Times New Roman" w:cs="Times New Roman"/>
        </w:rPr>
        <w:t xml:space="preserve">manner of obtaining evidence was contrary or inconsistent with a right recognised in the </w:t>
      </w:r>
      <w:r w:rsidR="003E288A" w:rsidRPr="006D2720">
        <w:rPr>
          <w:rFonts w:ascii="Times New Roman" w:hAnsi="Times New Roman" w:cs="Times New Roman"/>
          <w:i/>
        </w:rPr>
        <w:t xml:space="preserve">International Covenant on Civil and Political Rights </w:t>
      </w:r>
      <w:r w:rsidR="003E288A" w:rsidRPr="006D2720">
        <w:rPr>
          <w:rFonts w:ascii="Times New Roman" w:hAnsi="Times New Roman" w:cs="Times New Roman"/>
        </w:rPr>
        <w:t>(‘ICCPR’).</w:t>
      </w:r>
      <w:r w:rsidR="008D2238" w:rsidRPr="006D2720">
        <w:rPr>
          <w:rStyle w:val="FootnoteReference"/>
          <w:rFonts w:ascii="Times New Roman" w:hAnsi="Times New Roman" w:cs="Times New Roman"/>
        </w:rPr>
        <w:footnoteReference w:id="383"/>
      </w:r>
      <w:r w:rsidR="003E288A" w:rsidRPr="006D2720">
        <w:rPr>
          <w:rFonts w:ascii="Times New Roman" w:hAnsi="Times New Roman" w:cs="Times New Roman"/>
        </w:rPr>
        <w:t xml:space="preserve"> </w:t>
      </w:r>
    </w:p>
    <w:p w14:paraId="2A81B8CB" w14:textId="33BE620C" w:rsidR="0064050C" w:rsidRPr="006D2720" w:rsidRDefault="006B2971" w:rsidP="0066337D">
      <w:pPr>
        <w:pStyle w:val="Heading3"/>
        <w:rPr>
          <w:rFonts w:ascii="Times New Roman" w:hAnsi="Times New Roman" w:cs="Times New Roman"/>
        </w:rPr>
      </w:pPr>
      <w:r w:rsidRPr="006D2720">
        <w:rPr>
          <w:rFonts w:ascii="Times New Roman" w:hAnsi="Times New Roman" w:cs="Times New Roman"/>
        </w:rPr>
        <w:t xml:space="preserve">In discussing this rule, </w:t>
      </w:r>
      <w:r w:rsidR="003669B3" w:rsidRPr="006D2720">
        <w:rPr>
          <w:rFonts w:ascii="Times New Roman" w:hAnsi="Times New Roman" w:cs="Times New Roman"/>
        </w:rPr>
        <w:t xml:space="preserve">the </w:t>
      </w:r>
      <w:r w:rsidR="0064050C" w:rsidRPr="006D2720">
        <w:rPr>
          <w:rFonts w:ascii="Times New Roman" w:hAnsi="Times New Roman" w:cs="Times New Roman"/>
        </w:rPr>
        <w:t xml:space="preserve">Supreme Court has acknowledged that </w:t>
      </w:r>
      <w:r w:rsidR="00141D2D" w:rsidRPr="006D2720">
        <w:rPr>
          <w:rFonts w:ascii="Times New Roman" w:hAnsi="Times New Roman" w:cs="Times New Roman"/>
        </w:rPr>
        <w:t>it</w:t>
      </w:r>
      <w:r w:rsidR="003669B3" w:rsidRPr="006D2720">
        <w:rPr>
          <w:rFonts w:ascii="Times New Roman" w:hAnsi="Times New Roman" w:cs="Times New Roman"/>
        </w:rPr>
        <w:t xml:space="preserve"> encompasses the right in </w:t>
      </w:r>
      <w:r w:rsidR="0064050C" w:rsidRPr="006D2720">
        <w:rPr>
          <w:rFonts w:ascii="Times New Roman" w:hAnsi="Times New Roman" w:cs="Times New Roman"/>
        </w:rPr>
        <w:t xml:space="preserve">article 17 </w:t>
      </w:r>
      <w:r w:rsidR="00141D2D" w:rsidRPr="006D2720">
        <w:rPr>
          <w:rFonts w:ascii="Times New Roman" w:hAnsi="Times New Roman" w:cs="Times New Roman"/>
        </w:rPr>
        <w:t xml:space="preserve">of the ICCPR </w:t>
      </w:r>
      <w:r w:rsidR="0064050C" w:rsidRPr="006D2720">
        <w:rPr>
          <w:rFonts w:ascii="Times New Roman" w:hAnsi="Times New Roman" w:cs="Times New Roman"/>
        </w:rPr>
        <w:t xml:space="preserve">to </w:t>
      </w:r>
      <w:r w:rsidR="003669B3" w:rsidRPr="006D2720">
        <w:rPr>
          <w:rFonts w:ascii="Times New Roman" w:hAnsi="Times New Roman" w:cs="Times New Roman"/>
        </w:rPr>
        <w:t xml:space="preserve">not </w:t>
      </w:r>
      <w:r w:rsidR="0064050C" w:rsidRPr="006D2720">
        <w:rPr>
          <w:rFonts w:ascii="Times New Roman" w:hAnsi="Times New Roman" w:cs="Times New Roman"/>
        </w:rPr>
        <w:t>be subjected to arbitrary or unlawful interference with privacy.</w:t>
      </w:r>
      <w:r w:rsidR="0064050C" w:rsidRPr="006D2720">
        <w:rPr>
          <w:rStyle w:val="FootnoteReference"/>
          <w:rFonts w:ascii="Times New Roman" w:hAnsi="Times New Roman" w:cs="Times New Roman"/>
        </w:rPr>
        <w:footnoteReference w:id="384"/>
      </w:r>
      <w:r w:rsidR="0064050C" w:rsidRPr="006D2720">
        <w:rPr>
          <w:rFonts w:ascii="Times New Roman" w:hAnsi="Times New Roman" w:cs="Times New Roman"/>
        </w:rPr>
        <w:t xml:space="preserve"> </w:t>
      </w:r>
      <w:r w:rsidR="005020B2" w:rsidRPr="006D2720">
        <w:rPr>
          <w:rFonts w:ascii="Times New Roman" w:hAnsi="Times New Roman" w:cs="Times New Roman"/>
        </w:rPr>
        <w:t xml:space="preserve">In some cases, the </w:t>
      </w:r>
      <w:r w:rsidR="0064050C" w:rsidRPr="006D2720">
        <w:rPr>
          <w:rFonts w:ascii="Times New Roman" w:hAnsi="Times New Roman" w:cs="Times New Roman"/>
        </w:rPr>
        <w:t xml:space="preserve">Court has found that the </w:t>
      </w:r>
      <w:r w:rsidR="00D73A33" w:rsidRPr="006D2720">
        <w:rPr>
          <w:rFonts w:ascii="Times New Roman" w:hAnsi="Times New Roman" w:cs="Times New Roman"/>
        </w:rPr>
        <w:t>impugned</w:t>
      </w:r>
      <w:r w:rsidR="00D93323" w:rsidRPr="006D2720">
        <w:rPr>
          <w:rFonts w:ascii="Times New Roman" w:hAnsi="Times New Roman" w:cs="Times New Roman"/>
        </w:rPr>
        <w:t xml:space="preserve"> </w:t>
      </w:r>
      <w:r w:rsidR="0064050C" w:rsidRPr="006D2720">
        <w:rPr>
          <w:rFonts w:ascii="Times New Roman" w:hAnsi="Times New Roman" w:cs="Times New Roman"/>
        </w:rPr>
        <w:t>evidence was inadmissible</w:t>
      </w:r>
      <w:r w:rsidR="005020B2" w:rsidRPr="006D2720">
        <w:rPr>
          <w:rFonts w:ascii="Times New Roman" w:hAnsi="Times New Roman" w:cs="Times New Roman"/>
        </w:rPr>
        <w:t xml:space="preserve"> because the way in which it was obtained </w:t>
      </w:r>
      <w:r w:rsidR="0064050C" w:rsidRPr="006D2720">
        <w:rPr>
          <w:rFonts w:ascii="Times New Roman" w:hAnsi="Times New Roman" w:cs="Times New Roman"/>
        </w:rPr>
        <w:t>involved an interference with the accused’s privacy</w:t>
      </w:r>
      <w:r w:rsidR="00CD4516" w:rsidRPr="006D2720">
        <w:rPr>
          <w:rFonts w:ascii="Times New Roman" w:hAnsi="Times New Roman" w:cs="Times New Roman"/>
        </w:rPr>
        <w:t xml:space="preserve"> and</w:t>
      </w:r>
      <w:r w:rsidR="0032711D" w:rsidRPr="006D2720">
        <w:rPr>
          <w:rFonts w:ascii="Times New Roman" w:hAnsi="Times New Roman" w:cs="Times New Roman"/>
        </w:rPr>
        <w:t xml:space="preserve"> </w:t>
      </w:r>
      <w:r w:rsidR="00CD4516" w:rsidRPr="006D2720">
        <w:rPr>
          <w:rFonts w:ascii="Times New Roman" w:hAnsi="Times New Roman" w:cs="Times New Roman"/>
        </w:rPr>
        <w:t xml:space="preserve">violated </w:t>
      </w:r>
      <w:r w:rsidR="0032711D" w:rsidRPr="006D2720">
        <w:rPr>
          <w:rFonts w:ascii="Times New Roman" w:hAnsi="Times New Roman" w:cs="Times New Roman"/>
        </w:rPr>
        <w:t>article 17</w:t>
      </w:r>
      <w:r w:rsidR="0064050C" w:rsidRPr="006D2720">
        <w:rPr>
          <w:rFonts w:ascii="Times New Roman" w:hAnsi="Times New Roman" w:cs="Times New Roman"/>
        </w:rPr>
        <w:t>.</w:t>
      </w:r>
      <w:r w:rsidR="0064050C" w:rsidRPr="006D2720">
        <w:rPr>
          <w:rStyle w:val="FootnoteReference"/>
          <w:rFonts w:ascii="Times New Roman" w:hAnsi="Times New Roman" w:cs="Times New Roman"/>
        </w:rPr>
        <w:footnoteReference w:id="385"/>
      </w:r>
      <w:r w:rsidR="0064050C" w:rsidRPr="006D2720">
        <w:rPr>
          <w:rFonts w:ascii="Times New Roman" w:hAnsi="Times New Roman" w:cs="Times New Roman"/>
        </w:rPr>
        <w:t xml:space="preserve"> </w:t>
      </w:r>
    </w:p>
    <w:p w14:paraId="4F2A5EF0" w14:textId="4345FB0F" w:rsidR="0064050C" w:rsidRPr="006D2720" w:rsidRDefault="00F21408" w:rsidP="0066337D">
      <w:pPr>
        <w:pStyle w:val="Heading3"/>
        <w:rPr>
          <w:rFonts w:ascii="Times New Roman" w:hAnsi="Times New Roman" w:cs="Times New Roman"/>
        </w:rPr>
      </w:pPr>
      <w:r w:rsidRPr="006D2720">
        <w:rPr>
          <w:rFonts w:ascii="Times New Roman" w:hAnsi="Times New Roman" w:cs="Times New Roman"/>
        </w:rPr>
        <w:t xml:space="preserve">The case of </w:t>
      </w:r>
      <w:r w:rsidR="000976AF" w:rsidRPr="006D2720">
        <w:rPr>
          <w:rFonts w:ascii="Times New Roman" w:hAnsi="Times New Roman" w:cs="Times New Roman"/>
        </w:rPr>
        <w:t>‘</w:t>
      </w:r>
      <w:r w:rsidR="0064050C" w:rsidRPr="006D2720">
        <w:rPr>
          <w:rFonts w:ascii="Times New Roman" w:hAnsi="Times New Roman" w:cs="Times New Roman"/>
          <w:i/>
        </w:rPr>
        <w:t>Hibble</w:t>
      </w:r>
      <w:r w:rsidR="000976AF" w:rsidRPr="006D2720">
        <w:rPr>
          <w:rFonts w:ascii="Times New Roman" w:hAnsi="Times New Roman" w:cs="Times New Roman"/>
          <w:i/>
        </w:rPr>
        <w:t>’</w:t>
      </w:r>
      <w:r w:rsidR="003669B3" w:rsidRPr="006D2720">
        <w:rPr>
          <w:rFonts w:ascii="Times New Roman" w:hAnsi="Times New Roman" w:cs="Times New Roman"/>
          <w:i/>
        </w:rPr>
        <w:t xml:space="preserve"> </w:t>
      </w:r>
      <w:r w:rsidR="003669B3" w:rsidRPr="006D2720">
        <w:rPr>
          <w:rFonts w:ascii="Times New Roman" w:hAnsi="Times New Roman" w:cs="Times New Roman"/>
        </w:rPr>
        <w:t xml:space="preserve">involved the admissibility of DNA evidence where the </w:t>
      </w:r>
      <w:r w:rsidR="0064050C" w:rsidRPr="006D2720">
        <w:rPr>
          <w:rFonts w:ascii="Times New Roman" w:hAnsi="Times New Roman" w:cs="Times New Roman"/>
        </w:rPr>
        <w:t>accused was a minor</w:t>
      </w:r>
      <w:r w:rsidR="003669B3" w:rsidRPr="006D2720">
        <w:rPr>
          <w:rFonts w:ascii="Times New Roman" w:hAnsi="Times New Roman" w:cs="Times New Roman"/>
        </w:rPr>
        <w:t xml:space="preserve">. The Tasmanian Supreme Court </w:t>
      </w:r>
      <w:r w:rsidR="0064050C" w:rsidRPr="006D2720">
        <w:rPr>
          <w:rFonts w:ascii="Times New Roman" w:hAnsi="Times New Roman" w:cs="Times New Roman"/>
        </w:rPr>
        <w:t>found that the evidence was inadmissible as it had been improperly obtained not only in contravention of article 17, but also because it involved an arbitrary interference with the child’s privacy in contravention of</w:t>
      </w:r>
      <w:r w:rsidR="00417A52" w:rsidRPr="006D2720">
        <w:rPr>
          <w:rFonts w:ascii="Times New Roman" w:hAnsi="Times New Roman" w:cs="Times New Roman"/>
        </w:rPr>
        <w:t xml:space="preserve"> the</w:t>
      </w:r>
      <w:r w:rsidR="0064050C" w:rsidRPr="006D2720">
        <w:rPr>
          <w:rFonts w:ascii="Times New Roman" w:hAnsi="Times New Roman" w:cs="Times New Roman"/>
        </w:rPr>
        <w:t xml:space="preserve"> </w:t>
      </w:r>
      <w:r w:rsidR="0064050C" w:rsidRPr="006D2720">
        <w:rPr>
          <w:rFonts w:ascii="Times New Roman" w:hAnsi="Times New Roman" w:cs="Times New Roman"/>
          <w:i/>
        </w:rPr>
        <w:t>Convention on the Rights of the Child</w:t>
      </w:r>
      <w:r w:rsidR="0064050C" w:rsidRPr="006D2720">
        <w:rPr>
          <w:rFonts w:ascii="Times New Roman" w:hAnsi="Times New Roman" w:cs="Times New Roman"/>
        </w:rPr>
        <w:t>.</w:t>
      </w:r>
      <w:r w:rsidR="0064050C" w:rsidRPr="006D2720">
        <w:rPr>
          <w:rStyle w:val="FootnoteReference"/>
          <w:rFonts w:ascii="Times New Roman" w:hAnsi="Times New Roman" w:cs="Times New Roman"/>
        </w:rPr>
        <w:footnoteReference w:id="386"/>
      </w:r>
      <w:r w:rsidR="0064050C" w:rsidRPr="006D2720">
        <w:rPr>
          <w:rFonts w:ascii="Times New Roman" w:hAnsi="Times New Roman" w:cs="Times New Roman"/>
        </w:rPr>
        <w:t xml:space="preserve">  </w:t>
      </w:r>
    </w:p>
    <w:p w14:paraId="4AAACE09" w14:textId="49E6A3CA" w:rsidR="0064050C" w:rsidRPr="006D2720" w:rsidRDefault="0064050C" w:rsidP="00381939">
      <w:pPr>
        <w:pStyle w:val="Heading3"/>
        <w:rPr>
          <w:rFonts w:ascii="Times New Roman" w:hAnsi="Times New Roman" w:cs="Times New Roman"/>
        </w:rPr>
      </w:pPr>
      <w:r w:rsidRPr="006D2720">
        <w:rPr>
          <w:rFonts w:ascii="Times New Roman" w:hAnsi="Times New Roman" w:cs="Times New Roman"/>
        </w:rPr>
        <w:t xml:space="preserve">More recently, </w:t>
      </w:r>
      <w:r w:rsidR="00540D81" w:rsidRPr="006D2720">
        <w:rPr>
          <w:rFonts w:ascii="Times New Roman" w:hAnsi="Times New Roman" w:cs="Times New Roman"/>
        </w:rPr>
        <w:t xml:space="preserve">the case of </w:t>
      </w:r>
      <w:r w:rsidR="000976AF" w:rsidRPr="006D2720">
        <w:rPr>
          <w:rFonts w:ascii="Times New Roman" w:hAnsi="Times New Roman" w:cs="Times New Roman"/>
        </w:rPr>
        <w:t>‘</w:t>
      </w:r>
      <w:r w:rsidRPr="006D2720">
        <w:rPr>
          <w:rFonts w:ascii="Times New Roman" w:hAnsi="Times New Roman" w:cs="Times New Roman"/>
          <w:i/>
        </w:rPr>
        <w:t>Wykes</w:t>
      </w:r>
      <w:r w:rsidR="000976AF" w:rsidRPr="006D2720">
        <w:rPr>
          <w:rFonts w:ascii="Times New Roman" w:hAnsi="Times New Roman" w:cs="Times New Roman"/>
          <w:i/>
        </w:rPr>
        <w:t>’</w:t>
      </w:r>
      <w:r w:rsidR="00540D81" w:rsidRPr="006D2720">
        <w:rPr>
          <w:rFonts w:ascii="Times New Roman" w:hAnsi="Times New Roman" w:cs="Times New Roman"/>
          <w:i/>
        </w:rPr>
        <w:t xml:space="preserve"> </w:t>
      </w:r>
      <w:r w:rsidR="00540D81" w:rsidRPr="006D2720">
        <w:rPr>
          <w:rFonts w:ascii="Times New Roman" w:hAnsi="Times New Roman" w:cs="Times New Roman"/>
          <w:iCs/>
        </w:rPr>
        <w:t>involved the evidence of a self-described ‘</w:t>
      </w:r>
      <w:r w:rsidR="00540D81" w:rsidRPr="006D2720">
        <w:rPr>
          <w:rFonts w:ascii="Times New Roman" w:hAnsi="Times New Roman" w:cs="Times New Roman"/>
        </w:rPr>
        <w:t xml:space="preserve">paedophile hunter’ who </w:t>
      </w:r>
      <w:r w:rsidR="006C6727" w:rsidRPr="006D2720">
        <w:rPr>
          <w:rFonts w:ascii="Times New Roman" w:hAnsi="Times New Roman" w:cs="Times New Roman"/>
        </w:rPr>
        <w:t xml:space="preserve">pretended to be a young boy when </w:t>
      </w:r>
      <w:r w:rsidR="00540D81" w:rsidRPr="006D2720">
        <w:rPr>
          <w:rFonts w:ascii="Times New Roman" w:hAnsi="Times New Roman" w:cs="Times New Roman"/>
        </w:rPr>
        <w:t>communicat</w:t>
      </w:r>
      <w:r w:rsidR="00007CCD" w:rsidRPr="006D2720">
        <w:rPr>
          <w:rFonts w:ascii="Times New Roman" w:hAnsi="Times New Roman" w:cs="Times New Roman"/>
        </w:rPr>
        <w:t>ing</w:t>
      </w:r>
      <w:r w:rsidR="00540D81" w:rsidRPr="006D2720">
        <w:rPr>
          <w:rFonts w:ascii="Times New Roman" w:hAnsi="Times New Roman" w:cs="Times New Roman"/>
        </w:rPr>
        <w:t xml:space="preserve"> with the accused online, and </w:t>
      </w:r>
      <w:r w:rsidR="00847F7A" w:rsidRPr="006D2720">
        <w:rPr>
          <w:rFonts w:ascii="Times New Roman" w:hAnsi="Times New Roman" w:cs="Times New Roman"/>
        </w:rPr>
        <w:t>who then</w:t>
      </w:r>
      <w:r w:rsidR="00540D81" w:rsidRPr="006D2720">
        <w:rPr>
          <w:rFonts w:ascii="Times New Roman" w:hAnsi="Times New Roman" w:cs="Times New Roman"/>
        </w:rPr>
        <w:t xml:space="preserve"> set up an in-person meeting with the intention of recording footage and posting it to YouTube</w:t>
      </w:r>
      <w:r w:rsidR="00033181" w:rsidRPr="006D2720">
        <w:rPr>
          <w:rFonts w:ascii="Times New Roman" w:hAnsi="Times New Roman" w:cs="Times New Roman"/>
        </w:rPr>
        <w:t xml:space="preserve"> for public denouncement</w:t>
      </w:r>
      <w:r w:rsidR="00540D81" w:rsidRPr="006D2720">
        <w:rPr>
          <w:rFonts w:ascii="Times New Roman" w:hAnsi="Times New Roman" w:cs="Times New Roman"/>
        </w:rPr>
        <w:t>.</w:t>
      </w:r>
      <w:r w:rsidR="00063B81" w:rsidRPr="006D2720">
        <w:rPr>
          <w:rStyle w:val="FootnoteReference"/>
          <w:rFonts w:ascii="Times New Roman" w:hAnsi="Times New Roman" w:cs="Times New Roman"/>
        </w:rPr>
        <w:footnoteReference w:id="387"/>
      </w:r>
      <w:r w:rsidR="00540D81" w:rsidRPr="006D2720">
        <w:rPr>
          <w:rFonts w:ascii="Times New Roman" w:hAnsi="Times New Roman" w:cs="Times New Roman"/>
        </w:rPr>
        <w:t xml:space="preserve"> </w:t>
      </w:r>
      <w:r w:rsidR="00192B6E" w:rsidRPr="006D2720">
        <w:rPr>
          <w:rFonts w:ascii="Times New Roman" w:hAnsi="Times New Roman" w:cs="Times New Roman"/>
        </w:rPr>
        <w:t xml:space="preserve">In </w:t>
      </w:r>
      <w:r w:rsidR="00E37BBB" w:rsidRPr="006D2720">
        <w:rPr>
          <w:rFonts w:ascii="Times New Roman" w:hAnsi="Times New Roman" w:cs="Times New Roman"/>
        </w:rPr>
        <w:t>a decision of the</w:t>
      </w:r>
      <w:r w:rsidR="00192B6E" w:rsidRPr="006D2720">
        <w:rPr>
          <w:rFonts w:ascii="Times New Roman" w:hAnsi="Times New Roman" w:cs="Times New Roman"/>
        </w:rPr>
        <w:t xml:space="preserve"> Supreme Court, </w:t>
      </w:r>
      <w:r w:rsidRPr="006D2720">
        <w:rPr>
          <w:rFonts w:ascii="Times New Roman" w:hAnsi="Times New Roman" w:cs="Times New Roman"/>
        </w:rPr>
        <w:t xml:space="preserve">Chief Justice Blow recognised </w:t>
      </w:r>
      <w:r w:rsidR="00571140" w:rsidRPr="006D2720">
        <w:rPr>
          <w:rFonts w:ascii="Times New Roman" w:hAnsi="Times New Roman" w:cs="Times New Roman"/>
        </w:rPr>
        <w:t>‘</w:t>
      </w:r>
      <w:r w:rsidRPr="006D2720">
        <w:rPr>
          <w:rFonts w:ascii="Times New Roman" w:hAnsi="Times New Roman" w:cs="Times New Roman"/>
        </w:rPr>
        <w:t>the dangers inherent in the sort of vigilante exposure practised by the witness, including</w:t>
      </w:r>
      <w:r w:rsidR="00E14326" w:rsidRPr="006D2720">
        <w:rPr>
          <w:rFonts w:ascii="Times New Roman" w:hAnsi="Times New Roman" w:cs="Times New Roman"/>
        </w:rPr>
        <w:t>:</w:t>
      </w:r>
      <w:r w:rsidRPr="006D2720">
        <w:rPr>
          <w:rFonts w:ascii="Times New Roman" w:hAnsi="Times New Roman" w:cs="Times New Roman"/>
        </w:rPr>
        <w:t xml:space="preserve"> dangers to the people denounced through social media, their families, their houses and their property; danger to vigilantes who act in such a way; the danger of driving people to suicide; and the danger of compromising police investigations</w:t>
      </w:r>
      <w:r w:rsidR="00571140" w:rsidRPr="006D2720">
        <w:rPr>
          <w:rFonts w:ascii="Times New Roman" w:hAnsi="Times New Roman" w:cs="Times New Roman"/>
        </w:rPr>
        <w:t>’.</w:t>
      </w:r>
      <w:r w:rsidR="00571140" w:rsidRPr="006D2720">
        <w:rPr>
          <w:rStyle w:val="FootnoteReference"/>
          <w:rFonts w:ascii="Times New Roman" w:hAnsi="Times New Roman" w:cs="Times New Roman"/>
        </w:rPr>
        <w:footnoteReference w:id="388"/>
      </w:r>
    </w:p>
    <w:p w14:paraId="0C2FC5F2" w14:textId="0C5C111C" w:rsidR="00590CF2" w:rsidRPr="006D2720" w:rsidRDefault="00590CF2" w:rsidP="00CA1A69">
      <w:pPr>
        <w:rPr>
          <w:rFonts w:ascii="Times New Roman" w:hAnsi="Times New Roman" w:cs="Times New Roman"/>
          <w:b/>
          <w:i/>
          <w:iCs/>
        </w:rPr>
      </w:pPr>
      <w:r w:rsidRPr="006D2720">
        <w:rPr>
          <w:rFonts w:ascii="Times New Roman" w:hAnsi="Times New Roman" w:cs="Times New Roman"/>
          <w:b/>
          <w:bCs/>
          <w:i/>
          <w:iCs/>
        </w:rPr>
        <w:t>Administration of justice</w:t>
      </w:r>
    </w:p>
    <w:p w14:paraId="45EBE9F5" w14:textId="20C8E514" w:rsidR="006A5E74" w:rsidRPr="006D2720" w:rsidRDefault="00240952" w:rsidP="005A0A39">
      <w:pPr>
        <w:pStyle w:val="Heading3"/>
        <w:rPr>
          <w:rFonts w:ascii="Times New Roman" w:hAnsi="Times New Roman" w:cs="Times New Roman"/>
        </w:rPr>
      </w:pPr>
      <w:r w:rsidRPr="006D2720">
        <w:rPr>
          <w:rFonts w:ascii="Times New Roman" w:hAnsi="Times New Roman" w:cs="Times New Roman"/>
        </w:rPr>
        <w:t>The Supreme Court has also acknowledged that privacy interests will be set aside in the context of the administration of justice</w:t>
      </w:r>
      <w:r w:rsidR="001F410F" w:rsidRPr="006D2720">
        <w:rPr>
          <w:rFonts w:ascii="Times New Roman" w:hAnsi="Times New Roman" w:cs="Times New Roman"/>
        </w:rPr>
        <w:t>—</w:t>
      </w:r>
      <w:r w:rsidR="00E37BBB" w:rsidRPr="006D2720">
        <w:rPr>
          <w:rFonts w:ascii="Times New Roman" w:hAnsi="Times New Roman" w:cs="Times New Roman"/>
        </w:rPr>
        <w:t xml:space="preserve">relevant to </w:t>
      </w:r>
      <w:r w:rsidR="00590CF2" w:rsidRPr="006D2720">
        <w:rPr>
          <w:rFonts w:ascii="Times New Roman" w:hAnsi="Times New Roman" w:cs="Times New Roman"/>
        </w:rPr>
        <w:t xml:space="preserve">court proceedings. </w:t>
      </w:r>
      <w:r w:rsidR="006A5E74" w:rsidRPr="006D2720">
        <w:rPr>
          <w:rFonts w:ascii="Times New Roman" w:hAnsi="Times New Roman" w:cs="Times New Roman"/>
        </w:rPr>
        <w:t>In this context</w:t>
      </w:r>
      <w:r w:rsidRPr="006D2720">
        <w:rPr>
          <w:rFonts w:ascii="Times New Roman" w:hAnsi="Times New Roman" w:cs="Times New Roman"/>
        </w:rPr>
        <w:t>, the principle of public accountability and exposure takes precedence</w:t>
      </w:r>
      <w:r w:rsidR="00454A6D" w:rsidRPr="006D2720">
        <w:rPr>
          <w:rFonts w:ascii="Times New Roman" w:hAnsi="Times New Roman" w:cs="Times New Roman"/>
        </w:rPr>
        <w:t>,</w:t>
      </w:r>
      <w:r w:rsidRPr="006D2720">
        <w:rPr>
          <w:rFonts w:ascii="Times New Roman" w:hAnsi="Times New Roman" w:cs="Times New Roman"/>
        </w:rPr>
        <w:t xml:space="preserve"> and the requirement of open justice must be upheld.</w:t>
      </w:r>
      <w:r w:rsidRPr="006D2720">
        <w:rPr>
          <w:rStyle w:val="FootnoteReference"/>
          <w:rFonts w:ascii="Times New Roman" w:hAnsi="Times New Roman" w:cs="Times New Roman"/>
        </w:rPr>
        <w:footnoteReference w:id="389"/>
      </w:r>
      <w:r w:rsidRPr="006D2720">
        <w:rPr>
          <w:rFonts w:ascii="Times New Roman" w:hAnsi="Times New Roman" w:cs="Times New Roman"/>
        </w:rPr>
        <w:t xml:space="preserve"> </w:t>
      </w:r>
      <w:r w:rsidR="006A5E74" w:rsidRPr="006D2720">
        <w:rPr>
          <w:rFonts w:ascii="Times New Roman" w:hAnsi="Times New Roman" w:cs="Times New Roman"/>
        </w:rPr>
        <w:t xml:space="preserve">Open justice </w:t>
      </w:r>
      <w:r w:rsidR="00B84100" w:rsidRPr="006D2720">
        <w:rPr>
          <w:rFonts w:ascii="Times New Roman" w:hAnsi="Times New Roman" w:cs="Times New Roman"/>
        </w:rPr>
        <w:t>demands</w:t>
      </w:r>
      <w:r w:rsidR="006A5E74" w:rsidRPr="006D2720">
        <w:rPr>
          <w:rFonts w:ascii="Times New Roman" w:hAnsi="Times New Roman" w:cs="Times New Roman"/>
        </w:rPr>
        <w:t xml:space="preserve"> that court proceedings be open to public </w:t>
      </w:r>
      <w:r w:rsidR="00CB0431" w:rsidRPr="006D2720">
        <w:rPr>
          <w:rFonts w:ascii="Times New Roman" w:hAnsi="Times New Roman" w:cs="Times New Roman"/>
        </w:rPr>
        <w:t xml:space="preserve">for </w:t>
      </w:r>
      <w:r w:rsidR="006A5E74" w:rsidRPr="006D2720">
        <w:rPr>
          <w:rFonts w:ascii="Times New Roman" w:hAnsi="Times New Roman" w:cs="Times New Roman"/>
        </w:rPr>
        <w:t xml:space="preserve">scrutiny. It is a fundamental right and freedom of the public in a democratic society that values fair trials. </w:t>
      </w:r>
    </w:p>
    <w:p w14:paraId="7891547F" w14:textId="33684465" w:rsidR="00240952" w:rsidRPr="006D2720" w:rsidRDefault="006A5E74" w:rsidP="00B84100">
      <w:pPr>
        <w:pStyle w:val="Heading3"/>
        <w:rPr>
          <w:rFonts w:ascii="Times New Roman" w:hAnsi="Times New Roman" w:cs="Times New Roman"/>
        </w:rPr>
      </w:pPr>
      <w:r w:rsidRPr="006D2720">
        <w:rPr>
          <w:rFonts w:ascii="Times New Roman" w:hAnsi="Times New Roman" w:cs="Times New Roman"/>
        </w:rPr>
        <w:t xml:space="preserve">This stands, </w:t>
      </w:r>
      <w:r w:rsidR="00CB0431" w:rsidRPr="006D2720">
        <w:rPr>
          <w:rFonts w:ascii="Times New Roman" w:hAnsi="Times New Roman" w:cs="Times New Roman"/>
        </w:rPr>
        <w:t>despite recognition that</w:t>
      </w:r>
      <w:r w:rsidRPr="006D2720">
        <w:rPr>
          <w:rFonts w:ascii="Times New Roman" w:hAnsi="Times New Roman" w:cs="Times New Roman"/>
        </w:rPr>
        <w:t xml:space="preserve"> it is common for sensitive, extremely personal, or confidential issues to be litigated and disclosed in court.</w:t>
      </w:r>
      <w:r w:rsidR="00CB0431" w:rsidRPr="006D2720">
        <w:rPr>
          <w:rFonts w:ascii="Times New Roman" w:hAnsi="Times New Roman" w:cs="Times New Roman"/>
        </w:rPr>
        <w:t xml:space="preserve"> </w:t>
      </w:r>
      <w:r w:rsidR="00B84100" w:rsidRPr="006D2720">
        <w:rPr>
          <w:rFonts w:ascii="Times New Roman" w:hAnsi="Times New Roman" w:cs="Times New Roman"/>
        </w:rPr>
        <w:t>The principle</w:t>
      </w:r>
      <w:r w:rsidR="00CB0431" w:rsidRPr="006D2720">
        <w:rPr>
          <w:rFonts w:ascii="Times New Roman" w:hAnsi="Times New Roman" w:cs="Times New Roman"/>
        </w:rPr>
        <w:t xml:space="preserve"> is reflected in </w:t>
      </w:r>
      <w:r w:rsidR="00240952" w:rsidRPr="006D2720">
        <w:rPr>
          <w:rFonts w:ascii="Times New Roman" w:hAnsi="Times New Roman" w:cs="Times New Roman"/>
        </w:rPr>
        <w:t>the specific context of witness cross-examination</w:t>
      </w:r>
      <w:r w:rsidR="00E37BBB" w:rsidRPr="006D2720">
        <w:rPr>
          <w:rFonts w:ascii="Times New Roman" w:hAnsi="Times New Roman" w:cs="Times New Roman"/>
        </w:rPr>
        <w:t>—</w:t>
      </w:r>
      <w:r w:rsidR="00240952" w:rsidRPr="006D2720">
        <w:rPr>
          <w:rFonts w:ascii="Times New Roman" w:hAnsi="Times New Roman" w:cs="Times New Roman"/>
        </w:rPr>
        <w:t>questions are not disallowable merely because they require the witness to discuss a subject that they may consider private.</w:t>
      </w:r>
      <w:r w:rsidR="00240952" w:rsidRPr="006D2720">
        <w:rPr>
          <w:rStyle w:val="FootnoteReference"/>
          <w:rFonts w:ascii="Times New Roman" w:hAnsi="Times New Roman" w:cs="Times New Roman"/>
        </w:rPr>
        <w:footnoteReference w:id="390"/>
      </w:r>
      <w:r w:rsidR="00CB0431" w:rsidRPr="006D2720">
        <w:rPr>
          <w:rFonts w:ascii="Times New Roman" w:hAnsi="Times New Roman" w:cs="Times New Roman"/>
        </w:rPr>
        <w:t xml:space="preserve"> Similarly, while concealing the identity of a particular party might be in the interests of that individual and their privacy, perhaps even their safety, it can only be departed from in exceptional circumstances.</w:t>
      </w:r>
      <w:r w:rsidR="00CB0431" w:rsidRPr="006D2720">
        <w:rPr>
          <w:rStyle w:val="FootnoteReference"/>
          <w:rFonts w:ascii="Times New Roman" w:hAnsi="Times New Roman" w:cs="Times New Roman"/>
        </w:rPr>
        <w:footnoteReference w:id="391"/>
      </w:r>
      <w:r w:rsidR="00CB0431" w:rsidRPr="006D2720">
        <w:rPr>
          <w:rFonts w:ascii="Times New Roman" w:hAnsi="Times New Roman" w:cs="Times New Roman"/>
        </w:rPr>
        <w:t xml:space="preserve"> </w:t>
      </w:r>
    </w:p>
    <w:p w14:paraId="0D07539D" w14:textId="0CF0BCDE" w:rsidR="00240952" w:rsidRPr="006D2720" w:rsidRDefault="00DF343F" w:rsidP="00CA1A69">
      <w:pPr>
        <w:rPr>
          <w:rFonts w:ascii="Times New Roman" w:hAnsi="Times New Roman" w:cs="Times New Roman"/>
          <w:b/>
          <w:i/>
          <w:iCs/>
        </w:rPr>
      </w:pPr>
      <w:r w:rsidRPr="006D2720">
        <w:rPr>
          <w:rFonts w:ascii="Times New Roman" w:hAnsi="Times New Roman" w:cs="Times New Roman"/>
          <w:b/>
          <w:bCs/>
          <w:i/>
          <w:iCs/>
        </w:rPr>
        <w:t>B</w:t>
      </w:r>
      <w:r w:rsidR="00240952" w:rsidRPr="006D2720">
        <w:rPr>
          <w:rFonts w:ascii="Times New Roman" w:hAnsi="Times New Roman" w:cs="Times New Roman"/>
          <w:b/>
          <w:bCs/>
          <w:i/>
          <w:iCs/>
        </w:rPr>
        <w:t>alancing exercise</w:t>
      </w:r>
    </w:p>
    <w:p w14:paraId="6D125690" w14:textId="3D448AD3" w:rsidR="005A0A39" w:rsidRPr="006D2720" w:rsidRDefault="001E00D3" w:rsidP="00CE319A">
      <w:pPr>
        <w:pStyle w:val="Heading3"/>
        <w:rPr>
          <w:rFonts w:ascii="Times New Roman" w:hAnsi="Times New Roman" w:cs="Times New Roman"/>
        </w:rPr>
      </w:pPr>
      <w:bookmarkStart w:id="403" w:name="_Toc91536794"/>
      <w:bookmarkStart w:id="404" w:name="_Toc91536795"/>
      <w:bookmarkEnd w:id="403"/>
      <w:bookmarkEnd w:id="404"/>
      <w:r w:rsidRPr="006D2720">
        <w:rPr>
          <w:rFonts w:ascii="Times New Roman" w:hAnsi="Times New Roman" w:cs="Times New Roman"/>
        </w:rPr>
        <w:t>I</w:t>
      </w:r>
      <w:r w:rsidR="005F575E" w:rsidRPr="006D2720">
        <w:rPr>
          <w:rFonts w:ascii="Times New Roman" w:hAnsi="Times New Roman" w:cs="Times New Roman"/>
        </w:rPr>
        <w:t xml:space="preserve">n </w:t>
      </w:r>
      <w:r w:rsidR="00167B1E" w:rsidRPr="006D2720">
        <w:rPr>
          <w:rFonts w:ascii="Times New Roman" w:hAnsi="Times New Roman" w:cs="Times New Roman"/>
        </w:rPr>
        <w:t xml:space="preserve">a </w:t>
      </w:r>
      <w:r w:rsidR="005F575E" w:rsidRPr="006D2720">
        <w:rPr>
          <w:rFonts w:ascii="Times New Roman" w:hAnsi="Times New Roman" w:cs="Times New Roman"/>
        </w:rPr>
        <w:t>1996</w:t>
      </w:r>
      <w:r w:rsidR="00167B1E" w:rsidRPr="006D2720">
        <w:rPr>
          <w:rFonts w:ascii="Times New Roman" w:hAnsi="Times New Roman" w:cs="Times New Roman"/>
        </w:rPr>
        <w:t xml:space="preserve"> decision</w:t>
      </w:r>
      <w:r w:rsidR="005F575E" w:rsidRPr="006D2720">
        <w:rPr>
          <w:rFonts w:ascii="Times New Roman" w:hAnsi="Times New Roman" w:cs="Times New Roman"/>
        </w:rPr>
        <w:t>, t</w:t>
      </w:r>
      <w:r w:rsidR="00A90B8F" w:rsidRPr="006D2720">
        <w:rPr>
          <w:rFonts w:ascii="Times New Roman" w:hAnsi="Times New Roman" w:cs="Times New Roman"/>
        </w:rPr>
        <w:t>he Supreme Court</w:t>
      </w:r>
      <w:r w:rsidR="00167B1E" w:rsidRPr="006D2720">
        <w:rPr>
          <w:rFonts w:ascii="Times New Roman" w:hAnsi="Times New Roman" w:cs="Times New Roman"/>
        </w:rPr>
        <w:t xml:space="preserve"> </w:t>
      </w:r>
      <w:r w:rsidR="00E14326" w:rsidRPr="006D2720">
        <w:rPr>
          <w:rFonts w:ascii="Times New Roman" w:hAnsi="Times New Roman" w:cs="Times New Roman"/>
        </w:rPr>
        <w:t xml:space="preserve">of Tasmania </w:t>
      </w:r>
      <w:r w:rsidR="00A90B8F" w:rsidRPr="006D2720">
        <w:rPr>
          <w:rFonts w:ascii="Times New Roman" w:hAnsi="Times New Roman" w:cs="Times New Roman"/>
        </w:rPr>
        <w:t>acknowledged</w:t>
      </w:r>
      <w:r w:rsidR="00D24CB9" w:rsidRPr="006D2720">
        <w:rPr>
          <w:rFonts w:ascii="Times New Roman" w:hAnsi="Times New Roman" w:cs="Times New Roman"/>
        </w:rPr>
        <w:t>—</w:t>
      </w:r>
      <w:r w:rsidR="00A90B8F" w:rsidRPr="006D2720">
        <w:rPr>
          <w:rFonts w:ascii="Times New Roman" w:hAnsi="Times New Roman" w:cs="Times New Roman"/>
        </w:rPr>
        <w:t>in the context of a property planning scheme dispute</w:t>
      </w:r>
      <w:r w:rsidR="00D24CB9" w:rsidRPr="006D2720">
        <w:rPr>
          <w:rFonts w:ascii="Times New Roman" w:hAnsi="Times New Roman" w:cs="Times New Roman"/>
        </w:rPr>
        <w:t>—</w:t>
      </w:r>
      <w:r w:rsidR="00A90B8F" w:rsidRPr="006D2720">
        <w:rPr>
          <w:rFonts w:ascii="Times New Roman" w:hAnsi="Times New Roman" w:cs="Times New Roman"/>
        </w:rPr>
        <w:t>that the issue of privacy was a matter of degree, and that not all interferences would be taken in law to have unreasonably diminished an individual’s privacy.</w:t>
      </w:r>
      <w:r w:rsidR="00A90B8F" w:rsidRPr="006D2720">
        <w:rPr>
          <w:rStyle w:val="FootnoteReference"/>
          <w:rFonts w:ascii="Times New Roman" w:hAnsi="Times New Roman" w:cs="Times New Roman"/>
        </w:rPr>
        <w:footnoteReference w:id="392"/>
      </w:r>
      <w:r w:rsidR="00A90B8F" w:rsidRPr="006D2720">
        <w:rPr>
          <w:rFonts w:ascii="Times New Roman" w:hAnsi="Times New Roman" w:cs="Times New Roman"/>
        </w:rPr>
        <w:t xml:space="preserve"> </w:t>
      </w:r>
    </w:p>
    <w:p w14:paraId="11953D56" w14:textId="54D9CB16" w:rsidR="00A90B8F" w:rsidRPr="006D2720" w:rsidRDefault="00A90B8F" w:rsidP="0066337D">
      <w:pPr>
        <w:pStyle w:val="Heading3"/>
        <w:rPr>
          <w:rFonts w:ascii="Times New Roman" w:hAnsi="Times New Roman" w:cs="Times New Roman"/>
        </w:rPr>
      </w:pPr>
      <w:r w:rsidRPr="006D2720">
        <w:rPr>
          <w:rFonts w:ascii="Times New Roman" w:hAnsi="Times New Roman" w:cs="Times New Roman"/>
        </w:rPr>
        <w:t xml:space="preserve">More recently, the Court has recognised that legislation referring to privacy interests </w:t>
      </w:r>
      <w:r w:rsidR="00BF5A56" w:rsidRPr="006D2720">
        <w:rPr>
          <w:rFonts w:ascii="Times New Roman" w:hAnsi="Times New Roman" w:cs="Times New Roman"/>
        </w:rPr>
        <w:t xml:space="preserve">is </w:t>
      </w:r>
      <w:r w:rsidRPr="006D2720">
        <w:rPr>
          <w:rFonts w:ascii="Times New Roman" w:hAnsi="Times New Roman" w:cs="Times New Roman"/>
        </w:rPr>
        <w:t>underpinned by a parliamentary intention to strike a balance between personal privacy and countervailing public interests</w:t>
      </w:r>
      <w:r w:rsidR="00757D68" w:rsidRPr="006D2720">
        <w:rPr>
          <w:rFonts w:ascii="Times New Roman" w:hAnsi="Times New Roman" w:cs="Times New Roman"/>
        </w:rPr>
        <w:t xml:space="preserve">. </w:t>
      </w:r>
      <w:r w:rsidR="00CE319A" w:rsidRPr="006D2720">
        <w:rPr>
          <w:rFonts w:ascii="Times New Roman" w:hAnsi="Times New Roman" w:cs="Times New Roman"/>
        </w:rPr>
        <w:t xml:space="preserve">In </w:t>
      </w:r>
      <w:r w:rsidR="00167B1E" w:rsidRPr="006D2720">
        <w:rPr>
          <w:rFonts w:ascii="Times New Roman" w:hAnsi="Times New Roman" w:cs="Times New Roman"/>
        </w:rPr>
        <w:t>‘</w:t>
      </w:r>
      <w:r w:rsidR="00FD107B" w:rsidRPr="006D2720">
        <w:rPr>
          <w:rFonts w:ascii="Times New Roman" w:hAnsi="Times New Roman" w:cs="Times New Roman"/>
          <w:i/>
        </w:rPr>
        <w:t>Melick</w:t>
      </w:r>
      <w:r w:rsidR="00CE319A" w:rsidRPr="006D2720">
        <w:rPr>
          <w:rFonts w:ascii="Times New Roman" w:hAnsi="Times New Roman" w:cs="Times New Roman"/>
        </w:rPr>
        <w:t>,</w:t>
      </w:r>
      <w:r w:rsidR="00167B1E" w:rsidRPr="006D2720">
        <w:rPr>
          <w:rFonts w:ascii="Times New Roman" w:hAnsi="Times New Roman" w:cs="Times New Roman"/>
        </w:rPr>
        <w:t>’</w:t>
      </w:r>
      <w:r w:rsidR="00CE319A" w:rsidRPr="006D2720">
        <w:rPr>
          <w:rFonts w:ascii="Times New Roman" w:hAnsi="Times New Roman" w:cs="Times New Roman"/>
        </w:rPr>
        <w:t xml:space="preserve"> </w:t>
      </w:r>
      <w:r w:rsidR="007C08C9" w:rsidRPr="006D2720">
        <w:rPr>
          <w:rFonts w:ascii="Times New Roman" w:hAnsi="Times New Roman" w:cs="Times New Roman"/>
        </w:rPr>
        <w:t>the balance was between the privacy of mail versus interests in effective crime detection.</w:t>
      </w:r>
      <w:r w:rsidR="007C08C9" w:rsidRPr="006D2720">
        <w:rPr>
          <w:rStyle w:val="FootnoteReference"/>
          <w:rFonts w:ascii="Times New Roman" w:hAnsi="Times New Roman" w:cs="Times New Roman"/>
        </w:rPr>
        <w:footnoteReference w:id="393"/>
      </w:r>
      <w:r w:rsidR="007C08C9" w:rsidRPr="006D2720">
        <w:rPr>
          <w:rFonts w:ascii="Times New Roman" w:hAnsi="Times New Roman" w:cs="Times New Roman"/>
        </w:rPr>
        <w:t xml:space="preserve"> A</w:t>
      </w:r>
      <w:r w:rsidR="005C0A86" w:rsidRPr="006D2720">
        <w:rPr>
          <w:rFonts w:ascii="Times New Roman" w:hAnsi="Times New Roman" w:cs="Times New Roman"/>
        </w:rPr>
        <w:t xml:space="preserve"> parcel containing illicit drugs was x-rayed and opened during processing. </w:t>
      </w:r>
      <w:r w:rsidR="00F21AA1" w:rsidRPr="006D2720">
        <w:rPr>
          <w:rFonts w:ascii="Times New Roman" w:hAnsi="Times New Roman" w:cs="Times New Roman"/>
        </w:rPr>
        <w:t>The contents were</w:t>
      </w:r>
      <w:r w:rsidR="00CE319A" w:rsidRPr="006D2720">
        <w:rPr>
          <w:rFonts w:ascii="Times New Roman" w:hAnsi="Times New Roman" w:cs="Times New Roman"/>
        </w:rPr>
        <w:t xml:space="preserve"> disclosed to police. Relevant legislative provisions contained a general prohibition on </w:t>
      </w:r>
      <w:r w:rsidR="00167B1E" w:rsidRPr="006D2720">
        <w:rPr>
          <w:rFonts w:ascii="Times New Roman" w:hAnsi="Times New Roman" w:cs="Times New Roman"/>
        </w:rPr>
        <w:t xml:space="preserve">the opening of </w:t>
      </w:r>
      <w:r w:rsidR="00CE319A" w:rsidRPr="006D2720">
        <w:rPr>
          <w:rFonts w:ascii="Times New Roman" w:hAnsi="Times New Roman" w:cs="Times New Roman"/>
        </w:rPr>
        <w:t>parcels, but contained exceptions authorising customs officers to open articles reasonably believed to consist of, or contain, certain drugs or other chemical compounds</w:t>
      </w:r>
      <w:r w:rsidR="007C08C9" w:rsidRPr="006D2720">
        <w:rPr>
          <w:rFonts w:ascii="Times New Roman" w:hAnsi="Times New Roman" w:cs="Times New Roman"/>
        </w:rPr>
        <w:t>.</w:t>
      </w:r>
      <w:r w:rsidR="00757D68" w:rsidRPr="006D2720">
        <w:rPr>
          <w:rFonts w:ascii="Times New Roman" w:hAnsi="Times New Roman" w:cs="Times New Roman"/>
        </w:rPr>
        <w:t xml:space="preserve"> </w:t>
      </w:r>
    </w:p>
    <w:p w14:paraId="3203B6B3" w14:textId="4EE335F2" w:rsidR="0064050C" w:rsidRPr="006D2720" w:rsidRDefault="007D1B07" w:rsidP="0066337D">
      <w:pPr>
        <w:pStyle w:val="Heading3"/>
        <w:rPr>
          <w:rFonts w:ascii="Times New Roman" w:hAnsi="Times New Roman" w:cs="Times New Roman"/>
        </w:rPr>
      </w:pPr>
      <w:r w:rsidRPr="006D2720">
        <w:rPr>
          <w:rFonts w:ascii="Times New Roman" w:hAnsi="Times New Roman" w:cs="Times New Roman"/>
        </w:rPr>
        <w:t xml:space="preserve">Whether it is this </w:t>
      </w:r>
      <w:r w:rsidR="00167B1E" w:rsidRPr="006D2720">
        <w:rPr>
          <w:rFonts w:ascii="Times New Roman" w:hAnsi="Times New Roman" w:cs="Times New Roman"/>
        </w:rPr>
        <w:t>context</w:t>
      </w:r>
      <w:r w:rsidRPr="006D2720">
        <w:rPr>
          <w:rFonts w:ascii="Times New Roman" w:hAnsi="Times New Roman" w:cs="Times New Roman"/>
        </w:rPr>
        <w:t xml:space="preserve">, or in the context of evidence law or the administration of justice, </w:t>
      </w:r>
      <w:r w:rsidR="0064050C" w:rsidRPr="006D2720">
        <w:rPr>
          <w:rFonts w:ascii="Times New Roman" w:hAnsi="Times New Roman" w:cs="Times New Roman"/>
        </w:rPr>
        <w:t xml:space="preserve">Tasmanian courts </w:t>
      </w:r>
      <w:r w:rsidR="006508B7" w:rsidRPr="006D2720">
        <w:rPr>
          <w:rFonts w:ascii="Times New Roman" w:hAnsi="Times New Roman" w:cs="Times New Roman"/>
        </w:rPr>
        <w:t xml:space="preserve">have </w:t>
      </w:r>
      <w:r w:rsidR="003669B3" w:rsidRPr="006D2720">
        <w:rPr>
          <w:rFonts w:ascii="Times New Roman" w:hAnsi="Times New Roman" w:cs="Times New Roman"/>
        </w:rPr>
        <w:t>treat</w:t>
      </w:r>
      <w:r w:rsidR="006508B7" w:rsidRPr="006D2720">
        <w:rPr>
          <w:rFonts w:ascii="Times New Roman" w:hAnsi="Times New Roman" w:cs="Times New Roman"/>
        </w:rPr>
        <w:t>ed</w:t>
      </w:r>
      <w:r w:rsidR="003669B3" w:rsidRPr="006D2720">
        <w:rPr>
          <w:rFonts w:ascii="Times New Roman" w:hAnsi="Times New Roman" w:cs="Times New Roman"/>
        </w:rPr>
        <w:t xml:space="preserve"> </w:t>
      </w:r>
      <w:r w:rsidR="0064050C" w:rsidRPr="006D2720">
        <w:rPr>
          <w:rFonts w:ascii="Times New Roman" w:hAnsi="Times New Roman" w:cs="Times New Roman"/>
        </w:rPr>
        <w:t xml:space="preserve">privacy as an important value to be </w:t>
      </w:r>
      <w:r w:rsidR="00167B1E" w:rsidRPr="006D2720">
        <w:rPr>
          <w:rFonts w:ascii="Times New Roman" w:hAnsi="Times New Roman" w:cs="Times New Roman"/>
        </w:rPr>
        <w:t>considered</w:t>
      </w:r>
      <w:r w:rsidR="0064050C" w:rsidRPr="006D2720">
        <w:rPr>
          <w:rFonts w:ascii="Times New Roman" w:hAnsi="Times New Roman" w:cs="Times New Roman"/>
        </w:rPr>
        <w:t xml:space="preserve"> in appropriate circumstances</w:t>
      </w:r>
      <w:r w:rsidRPr="006D2720">
        <w:rPr>
          <w:rFonts w:ascii="Times New Roman" w:hAnsi="Times New Roman" w:cs="Times New Roman"/>
        </w:rPr>
        <w:t xml:space="preserve">. However, </w:t>
      </w:r>
      <w:r w:rsidR="00167B1E" w:rsidRPr="006D2720">
        <w:rPr>
          <w:rFonts w:ascii="Times New Roman" w:hAnsi="Times New Roman" w:cs="Times New Roman"/>
        </w:rPr>
        <w:t>it has been</w:t>
      </w:r>
      <w:r w:rsidR="0064050C" w:rsidRPr="006D2720">
        <w:rPr>
          <w:rFonts w:ascii="Times New Roman" w:hAnsi="Times New Roman" w:cs="Times New Roman"/>
        </w:rPr>
        <w:t xml:space="preserve"> </w:t>
      </w:r>
      <w:r w:rsidRPr="006D2720">
        <w:rPr>
          <w:rFonts w:ascii="Times New Roman" w:hAnsi="Times New Roman" w:cs="Times New Roman"/>
        </w:rPr>
        <w:t xml:space="preserve">treated it </w:t>
      </w:r>
      <w:r w:rsidR="0064050C" w:rsidRPr="006D2720">
        <w:rPr>
          <w:rFonts w:ascii="Times New Roman" w:hAnsi="Times New Roman" w:cs="Times New Roman"/>
        </w:rPr>
        <w:t xml:space="preserve">as </w:t>
      </w:r>
      <w:r w:rsidR="006508B7" w:rsidRPr="006D2720">
        <w:rPr>
          <w:rFonts w:ascii="Times New Roman" w:hAnsi="Times New Roman" w:cs="Times New Roman"/>
        </w:rPr>
        <w:t xml:space="preserve">a </w:t>
      </w:r>
      <w:r w:rsidR="0064050C" w:rsidRPr="006D2720">
        <w:rPr>
          <w:rFonts w:ascii="Times New Roman" w:hAnsi="Times New Roman" w:cs="Times New Roman"/>
          <w:i/>
          <w:iCs/>
        </w:rPr>
        <w:t>qualified</w:t>
      </w:r>
      <w:r w:rsidR="0064050C" w:rsidRPr="006D2720">
        <w:rPr>
          <w:rFonts w:ascii="Times New Roman" w:hAnsi="Times New Roman" w:cs="Times New Roman"/>
        </w:rPr>
        <w:t xml:space="preserve"> value</w:t>
      </w:r>
      <w:r w:rsidR="00210C08" w:rsidRPr="006D2720">
        <w:rPr>
          <w:rFonts w:ascii="Times New Roman" w:hAnsi="Times New Roman" w:cs="Times New Roman"/>
        </w:rPr>
        <w:t xml:space="preserve">—it </w:t>
      </w:r>
      <w:r w:rsidR="0064050C" w:rsidRPr="006D2720">
        <w:rPr>
          <w:rFonts w:ascii="Times New Roman" w:hAnsi="Times New Roman" w:cs="Times New Roman"/>
        </w:rPr>
        <w:t xml:space="preserve">may only be </w:t>
      </w:r>
      <w:r w:rsidR="00021529" w:rsidRPr="006D2720">
        <w:rPr>
          <w:rFonts w:ascii="Times New Roman" w:hAnsi="Times New Roman" w:cs="Times New Roman"/>
        </w:rPr>
        <w:t xml:space="preserve">legally </w:t>
      </w:r>
      <w:r w:rsidR="0064050C" w:rsidRPr="006D2720">
        <w:rPr>
          <w:rFonts w:ascii="Times New Roman" w:hAnsi="Times New Roman" w:cs="Times New Roman"/>
        </w:rPr>
        <w:t xml:space="preserve">protected if interferences are unreasonable, and </w:t>
      </w:r>
      <w:r w:rsidR="00021529" w:rsidRPr="006D2720">
        <w:rPr>
          <w:rFonts w:ascii="Times New Roman" w:hAnsi="Times New Roman" w:cs="Times New Roman"/>
        </w:rPr>
        <w:t xml:space="preserve">it </w:t>
      </w:r>
      <w:r w:rsidR="0064050C" w:rsidRPr="006D2720">
        <w:rPr>
          <w:rFonts w:ascii="Times New Roman" w:hAnsi="Times New Roman" w:cs="Times New Roman"/>
        </w:rPr>
        <w:t xml:space="preserve">must be set aside when countervailing public interests carry greater weight in the circumstances. </w:t>
      </w:r>
    </w:p>
    <w:p w14:paraId="2698AD25" w14:textId="36F016B4" w:rsidR="0064050C" w:rsidRPr="006D2720" w:rsidRDefault="0064050C" w:rsidP="00CA1A69">
      <w:pPr>
        <w:pStyle w:val="Heading2"/>
        <w:numPr>
          <w:ilvl w:val="0"/>
          <w:numId w:val="0"/>
        </w:numPr>
        <w:ind w:left="578" w:hanging="578"/>
        <w:rPr>
          <w:rFonts w:ascii="Times New Roman" w:hAnsi="Times New Roman" w:cs="Times New Roman"/>
          <w:i/>
          <w:iCs/>
        </w:rPr>
      </w:pPr>
      <w:bookmarkStart w:id="405" w:name="_Toc91832023"/>
      <w:bookmarkStart w:id="406" w:name="_Toc130540458"/>
      <w:r w:rsidRPr="006D2720">
        <w:rPr>
          <w:rFonts w:ascii="Times New Roman" w:hAnsi="Times New Roman" w:cs="Times New Roman"/>
          <w:i/>
          <w:iCs/>
        </w:rPr>
        <w:t>Tort law</w:t>
      </w:r>
      <w:r w:rsidR="00A250EE" w:rsidRPr="006D2720">
        <w:rPr>
          <w:rFonts w:ascii="Times New Roman" w:hAnsi="Times New Roman" w:cs="Times New Roman"/>
          <w:i/>
          <w:iCs/>
        </w:rPr>
        <w:t xml:space="preserve"> (civil wrongs)</w:t>
      </w:r>
      <w:bookmarkEnd w:id="405"/>
      <w:bookmarkEnd w:id="406"/>
    </w:p>
    <w:p w14:paraId="403E314A" w14:textId="7D9973A8" w:rsidR="0064050C" w:rsidRPr="006D2720" w:rsidRDefault="0064050C" w:rsidP="0066337D">
      <w:pPr>
        <w:pStyle w:val="Heading3"/>
        <w:rPr>
          <w:rFonts w:ascii="Times New Roman" w:hAnsi="Times New Roman" w:cs="Times New Roman"/>
        </w:rPr>
      </w:pPr>
      <w:r w:rsidRPr="006D2720">
        <w:rPr>
          <w:rFonts w:ascii="Times New Roman" w:hAnsi="Times New Roman" w:cs="Times New Roman"/>
        </w:rPr>
        <w:t xml:space="preserve">No appellate court in Australia and no </w:t>
      </w:r>
      <w:r w:rsidR="00167B1E" w:rsidRPr="006D2720">
        <w:rPr>
          <w:rFonts w:ascii="Times New Roman" w:hAnsi="Times New Roman" w:cs="Times New Roman"/>
        </w:rPr>
        <w:t xml:space="preserve">Tasmanian </w:t>
      </w:r>
      <w:r w:rsidRPr="006D2720">
        <w:rPr>
          <w:rFonts w:ascii="Times New Roman" w:hAnsi="Times New Roman" w:cs="Times New Roman"/>
        </w:rPr>
        <w:t>court has recognised a tort</w:t>
      </w:r>
      <w:r w:rsidR="00555DC4" w:rsidRPr="006D2720">
        <w:rPr>
          <w:rFonts w:ascii="Times New Roman" w:hAnsi="Times New Roman" w:cs="Times New Roman"/>
        </w:rPr>
        <w:t xml:space="preserve"> </w:t>
      </w:r>
      <w:r w:rsidRPr="006D2720">
        <w:rPr>
          <w:rFonts w:ascii="Times New Roman" w:hAnsi="Times New Roman" w:cs="Times New Roman"/>
        </w:rPr>
        <w:t>of interference with privacy, whether it includes information privacy, physical privacy, or both</w:t>
      </w:r>
      <w:r w:rsidR="00896197" w:rsidRPr="006D2720">
        <w:rPr>
          <w:rFonts w:ascii="Times New Roman" w:hAnsi="Times New Roman" w:cs="Times New Roman"/>
        </w:rPr>
        <w:t xml:space="preserve">. </w:t>
      </w:r>
      <w:r w:rsidR="00EF0D51" w:rsidRPr="006D2720">
        <w:rPr>
          <w:rFonts w:ascii="Times New Roman" w:hAnsi="Times New Roman" w:cs="Times New Roman"/>
        </w:rPr>
        <w:t>Nor</w:t>
      </w:r>
      <w:r w:rsidRPr="006D2720">
        <w:rPr>
          <w:rFonts w:ascii="Times New Roman" w:hAnsi="Times New Roman" w:cs="Times New Roman"/>
        </w:rPr>
        <w:t xml:space="preserve"> </w:t>
      </w:r>
      <w:r w:rsidR="00EF0D51" w:rsidRPr="006D2720">
        <w:rPr>
          <w:rFonts w:ascii="Times New Roman" w:hAnsi="Times New Roman" w:cs="Times New Roman"/>
        </w:rPr>
        <w:t xml:space="preserve">has any </w:t>
      </w:r>
      <w:r w:rsidRPr="006D2720">
        <w:rPr>
          <w:rFonts w:ascii="Times New Roman" w:hAnsi="Times New Roman" w:cs="Times New Roman"/>
        </w:rPr>
        <w:t xml:space="preserve">such court granted remedies in tort law for interferences with privacy. </w:t>
      </w:r>
    </w:p>
    <w:p w14:paraId="208567DC" w14:textId="009BB79F" w:rsidR="00166BED" w:rsidRPr="006D2720" w:rsidRDefault="0064050C" w:rsidP="0066337D">
      <w:pPr>
        <w:pStyle w:val="Heading3"/>
        <w:rPr>
          <w:rFonts w:ascii="Times New Roman" w:hAnsi="Times New Roman" w:cs="Times New Roman"/>
        </w:rPr>
      </w:pPr>
      <w:r w:rsidRPr="006D2720">
        <w:rPr>
          <w:rFonts w:ascii="Times New Roman" w:hAnsi="Times New Roman" w:cs="Times New Roman"/>
        </w:rPr>
        <w:t xml:space="preserve">In </w:t>
      </w:r>
      <w:r w:rsidR="00E14326" w:rsidRPr="006D2720">
        <w:rPr>
          <w:rFonts w:ascii="Times New Roman" w:hAnsi="Times New Roman" w:cs="Times New Roman"/>
        </w:rPr>
        <w:t>‘</w:t>
      </w:r>
      <w:r w:rsidR="002D2A39" w:rsidRPr="006D2720">
        <w:rPr>
          <w:rFonts w:ascii="Times New Roman" w:hAnsi="Times New Roman" w:cs="Times New Roman"/>
          <w:i/>
        </w:rPr>
        <w:t>Lenah Game Meats</w:t>
      </w:r>
      <w:r w:rsidR="002D2A39" w:rsidRPr="006D2720">
        <w:rPr>
          <w:rFonts w:ascii="Times New Roman" w:hAnsi="Times New Roman" w:cs="Times New Roman"/>
          <w:iCs/>
        </w:rPr>
        <w:t>’</w:t>
      </w:r>
      <w:r w:rsidRPr="006D2720">
        <w:rPr>
          <w:rFonts w:ascii="Times New Roman" w:hAnsi="Times New Roman" w:cs="Times New Roman"/>
        </w:rPr>
        <w:t>,</w:t>
      </w:r>
      <w:bookmarkStart w:id="407" w:name="_Ref91831731"/>
      <w:r w:rsidRPr="006D2720">
        <w:rPr>
          <w:rStyle w:val="FootnoteReference"/>
          <w:rFonts w:ascii="Times New Roman" w:hAnsi="Times New Roman" w:cs="Times New Roman"/>
        </w:rPr>
        <w:footnoteReference w:id="394"/>
      </w:r>
      <w:bookmarkEnd w:id="407"/>
      <w:r w:rsidRPr="006D2720">
        <w:rPr>
          <w:rFonts w:ascii="Times New Roman" w:hAnsi="Times New Roman" w:cs="Times New Roman"/>
        </w:rPr>
        <w:t xml:space="preserve"> the High Court of Australia </w:t>
      </w:r>
      <w:r w:rsidR="00A90B8F" w:rsidRPr="006D2720">
        <w:rPr>
          <w:rFonts w:ascii="Times New Roman" w:hAnsi="Times New Roman" w:cs="Times New Roman"/>
        </w:rPr>
        <w:t xml:space="preserve">considered the possible legal claims that might prevent </w:t>
      </w:r>
      <w:r w:rsidR="00DD27D5" w:rsidRPr="006D2720">
        <w:rPr>
          <w:rFonts w:ascii="Times New Roman" w:hAnsi="Times New Roman" w:cs="Times New Roman"/>
        </w:rPr>
        <w:t xml:space="preserve">the </w:t>
      </w:r>
      <w:r w:rsidR="00D761C6" w:rsidRPr="006D2720">
        <w:rPr>
          <w:rFonts w:ascii="Times New Roman" w:hAnsi="Times New Roman" w:cs="Times New Roman"/>
        </w:rPr>
        <w:t>broadcast</w:t>
      </w:r>
      <w:r w:rsidR="00F91862" w:rsidRPr="006D2720">
        <w:rPr>
          <w:rFonts w:ascii="Times New Roman" w:hAnsi="Times New Roman" w:cs="Times New Roman"/>
        </w:rPr>
        <w:t xml:space="preserve">ing </w:t>
      </w:r>
      <w:r w:rsidR="00D761C6" w:rsidRPr="006D2720">
        <w:rPr>
          <w:rFonts w:ascii="Times New Roman" w:hAnsi="Times New Roman" w:cs="Times New Roman"/>
        </w:rPr>
        <w:t xml:space="preserve">of footage taken </w:t>
      </w:r>
      <w:r w:rsidR="00115C44" w:rsidRPr="006D2720">
        <w:rPr>
          <w:rFonts w:ascii="Times New Roman" w:hAnsi="Times New Roman" w:cs="Times New Roman"/>
        </w:rPr>
        <w:t xml:space="preserve">from inside a corporate-owned abattoir </w:t>
      </w:r>
      <w:r w:rsidR="00D761C6" w:rsidRPr="006D2720">
        <w:rPr>
          <w:rFonts w:ascii="Times New Roman" w:hAnsi="Times New Roman" w:cs="Times New Roman"/>
        </w:rPr>
        <w:t xml:space="preserve">without permission. </w:t>
      </w:r>
      <w:r w:rsidR="00A90B8F" w:rsidRPr="006D2720">
        <w:rPr>
          <w:rFonts w:ascii="Times New Roman" w:hAnsi="Times New Roman" w:cs="Times New Roman"/>
        </w:rPr>
        <w:t xml:space="preserve">These </w:t>
      </w:r>
      <w:r w:rsidR="00D761C6" w:rsidRPr="006D2720">
        <w:rPr>
          <w:rFonts w:ascii="Times New Roman" w:hAnsi="Times New Roman" w:cs="Times New Roman"/>
        </w:rPr>
        <w:t xml:space="preserve">legal claims </w:t>
      </w:r>
      <w:r w:rsidR="00A90B8F" w:rsidRPr="006D2720">
        <w:rPr>
          <w:rFonts w:ascii="Times New Roman" w:hAnsi="Times New Roman" w:cs="Times New Roman"/>
        </w:rPr>
        <w:t>included whether an action in tort was available</w:t>
      </w:r>
      <w:r w:rsidR="00166BED" w:rsidRPr="006D2720">
        <w:rPr>
          <w:rFonts w:ascii="Times New Roman" w:hAnsi="Times New Roman" w:cs="Times New Roman"/>
        </w:rPr>
        <w:t xml:space="preserve">. </w:t>
      </w:r>
      <w:r w:rsidR="009C739E" w:rsidRPr="006D2720">
        <w:rPr>
          <w:rFonts w:ascii="Times New Roman" w:hAnsi="Times New Roman" w:cs="Times New Roman"/>
        </w:rPr>
        <w:t xml:space="preserve">Ultimately, </w:t>
      </w:r>
      <w:r w:rsidRPr="006D2720">
        <w:rPr>
          <w:rFonts w:ascii="Times New Roman" w:hAnsi="Times New Roman" w:cs="Times New Roman"/>
        </w:rPr>
        <w:t>there was no actionable interference with privacy</w:t>
      </w:r>
      <w:r w:rsidR="008600AD" w:rsidRPr="006D2720">
        <w:rPr>
          <w:rFonts w:ascii="Times New Roman" w:hAnsi="Times New Roman" w:cs="Times New Roman"/>
        </w:rPr>
        <w:t>.</w:t>
      </w:r>
      <w:r w:rsidR="00084BF6" w:rsidRPr="006D2720">
        <w:rPr>
          <w:rFonts w:ascii="Times New Roman" w:hAnsi="Times New Roman" w:cs="Times New Roman"/>
        </w:rPr>
        <w:t xml:space="preserve"> </w:t>
      </w:r>
      <w:r w:rsidR="007F005E" w:rsidRPr="006D2720">
        <w:rPr>
          <w:rFonts w:ascii="Times New Roman" w:hAnsi="Times New Roman" w:cs="Times New Roman"/>
        </w:rPr>
        <w:t xml:space="preserve">However, this turned on the fact </w:t>
      </w:r>
      <w:r w:rsidR="00D254F1" w:rsidRPr="006D2720">
        <w:rPr>
          <w:rFonts w:ascii="Times New Roman" w:hAnsi="Times New Roman" w:cs="Times New Roman"/>
        </w:rPr>
        <w:t xml:space="preserve">that </w:t>
      </w:r>
      <w:r w:rsidR="007F005E" w:rsidRPr="006D2720">
        <w:rPr>
          <w:rFonts w:ascii="Times New Roman" w:hAnsi="Times New Roman" w:cs="Times New Roman"/>
        </w:rPr>
        <w:t xml:space="preserve">it was a </w:t>
      </w:r>
      <w:r w:rsidR="007F005E" w:rsidRPr="006D2720">
        <w:rPr>
          <w:rFonts w:ascii="Times New Roman" w:hAnsi="Times New Roman" w:cs="Times New Roman"/>
          <w:i/>
          <w:iCs/>
        </w:rPr>
        <w:t>corporation</w:t>
      </w:r>
      <w:r w:rsidR="00FD3A25" w:rsidRPr="006D2720">
        <w:rPr>
          <w:rFonts w:ascii="Times New Roman" w:hAnsi="Times New Roman" w:cs="Times New Roman"/>
        </w:rPr>
        <w:t xml:space="preserve">, not </w:t>
      </w:r>
      <w:r w:rsidR="004A148A" w:rsidRPr="006D2720">
        <w:rPr>
          <w:rFonts w:ascii="Times New Roman" w:hAnsi="Times New Roman" w:cs="Times New Roman"/>
        </w:rPr>
        <w:t xml:space="preserve">a </w:t>
      </w:r>
      <w:r w:rsidR="00FD3A25" w:rsidRPr="006D2720">
        <w:rPr>
          <w:rFonts w:ascii="Times New Roman" w:hAnsi="Times New Roman" w:cs="Times New Roman"/>
        </w:rPr>
        <w:t>human person,</w:t>
      </w:r>
      <w:r w:rsidR="007F005E" w:rsidRPr="006D2720">
        <w:rPr>
          <w:rFonts w:ascii="Times New Roman" w:hAnsi="Times New Roman" w:cs="Times New Roman"/>
        </w:rPr>
        <w:t xml:space="preserve"> bringing the claim. The </w:t>
      </w:r>
      <w:r w:rsidR="0091474D" w:rsidRPr="006D2720">
        <w:rPr>
          <w:rFonts w:ascii="Times New Roman" w:hAnsi="Times New Roman" w:cs="Times New Roman"/>
        </w:rPr>
        <w:t>High C</w:t>
      </w:r>
      <w:r w:rsidR="007F005E" w:rsidRPr="006D2720">
        <w:rPr>
          <w:rFonts w:ascii="Times New Roman" w:hAnsi="Times New Roman" w:cs="Times New Roman"/>
        </w:rPr>
        <w:t>ourt found that a</w:t>
      </w:r>
      <w:r w:rsidR="00166BED" w:rsidRPr="006D2720">
        <w:rPr>
          <w:rFonts w:ascii="Times New Roman" w:hAnsi="Times New Roman" w:cs="Times New Roman"/>
        </w:rPr>
        <w:t xml:space="preserve">ny </w:t>
      </w:r>
      <w:r w:rsidR="00AB7322" w:rsidRPr="006D2720">
        <w:rPr>
          <w:rFonts w:ascii="Times New Roman" w:hAnsi="Times New Roman" w:cs="Times New Roman"/>
        </w:rPr>
        <w:t xml:space="preserve">right </w:t>
      </w:r>
      <w:r w:rsidR="00166BED" w:rsidRPr="006D2720">
        <w:rPr>
          <w:rFonts w:ascii="Times New Roman" w:hAnsi="Times New Roman" w:cs="Times New Roman"/>
        </w:rPr>
        <w:t xml:space="preserve">of privacy </w:t>
      </w:r>
      <w:r w:rsidR="00AA124A" w:rsidRPr="006D2720">
        <w:rPr>
          <w:rFonts w:ascii="Times New Roman" w:hAnsi="Times New Roman" w:cs="Times New Roman"/>
        </w:rPr>
        <w:t xml:space="preserve">could </w:t>
      </w:r>
      <w:r w:rsidR="00166BED" w:rsidRPr="006D2720">
        <w:rPr>
          <w:rFonts w:ascii="Times New Roman" w:hAnsi="Times New Roman" w:cs="Times New Roman"/>
        </w:rPr>
        <w:t xml:space="preserve">only be sought by a natural person. </w:t>
      </w:r>
      <w:r w:rsidR="00CF4B9C" w:rsidRPr="006D2720">
        <w:rPr>
          <w:rFonts w:ascii="Times New Roman" w:hAnsi="Times New Roman" w:cs="Times New Roman"/>
        </w:rPr>
        <w:t xml:space="preserve">Corporations have legal ‘personality’, but are not natural persons. </w:t>
      </w:r>
      <w:r w:rsidR="00410615" w:rsidRPr="006D2720">
        <w:rPr>
          <w:rFonts w:ascii="Times New Roman" w:hAnsi="Times New Roman" w:cs="Times New Roman"/>
        </w:rPr>
        <w:t>They</w:t>
      </w:r>
      <w:r w:rsidR="00DA0243" w:rsidRPr="006D2720">
        <w:rPr>
          <w:rFonts w:ascii="Times New Roman" w:hAnsi="Times New Roman" w:cs="Times New Roman"/>
        </w:rPr>
        <w:t xml:space="preserve"> </w:t>
      </w:r>
      <w:r w:rsidRPr="006D2720">
        <w:rPr>
          <w:rFonts w:ascii="Times New Roman" w:hAnsi="Times New Roman" w:cs="Times New Roman"/>
        </w:rPr>
        <w:t>could not, in principle, be entitled to any right in privacy or any remedy arising out of a breach of privacy.</w:t>
      </w:r>
      <w:r w:rsidR="00B51413" w:rsidRPr="006D2720">
        <w:rPr>
          <w:rFonts w:ascii="Times New Roman" w:hAnsi="Times New Roman" w:cs="Times New Roman"/>
        </w:rPr>
        <w:t xml:space="preserve"> </w:t>
      </w:r>
    </w:p>
    <w:p w14:paraId="68BCAA58" w14:textId="5E65D2BF" w:rsidR="00223638" w:rsidRPr="006D2720" w:rsidRDefault="00210E19" w:rsidP="006F5BAA">
      <w:pPr>
        <w:pStyle w:val="Heading3"/>
        <w:rPr>
          <w:rFonts w:ascii="Times New Roman" w:hAnsi="Times New Roman" w:cs="Times New Roman"/>
        </w:rPr>
      </w:pPr>
      <w:r w:rsidRPr="006D2720">
        <w:rPr>
          <w:rFonts w:ascii="Times New Roman" w:hAnsi="Times New Roman" w:cs="Times New Roman"/>
        </w:rPr>
        <w:t>Despite the outcome, e</w:t>
      </w:r>
      <w:r w:rsidR="00A90B8F" w:rsidRPr="006D2720">
        <w:rPr>
          <w:rFonts w:ascii="Times New Roman" w:hAnsi="Times New Roman" w:cs="Times New Roman"/>
        </w:rPr>
        <w:t xml:space="preserve">ach of the judgments arguably </w:t>
      </w:r>
      <w:r w:rsidR="0064050C" w:rsidRPr="006D2720">
        <w:rPr>
          <w:rFonts w:ascii="Times New Roman" w:hAnsi="Times New Roman" w:cs="Times New Roman"/>
        </w:rPr>
        <w:t xml:space="preserve">left the door open </w:t>
      </w:r>
      <w:r w:rsidR="004D7781" w:rsidRPr="006D2720">
        <w:rPr>
          <w:rFonts w:ascii="Times New Roman" w:hAnsi="Times New Roman" w:cs="Times New Roman"/>
        </w:rPr>
        <w:t xml:space="preserve">for </w:t>
      </w:r>
      <w:r w:rsidR="0064050C" w:rsidRPr="006D2720">
        <w:rPr>
          <w:rFonts w:ascii="Times New Roman" w:hAnsi="Times New Roman" w:cs="Times New Roman"/>
        </w:rPr>
        <w:t xml:space="preserve">a standalone action for interference with individual privacy, however it is framed, </w:t>
      </w:r>
      <w:r w:rsidR="004D7781" w:rsidRPr="006D2720">
        <w:rPr>
          <w:rFonts w:ascii="Times New Roman" w:hAnsi="Times New Roman" w:cs="Times New Roman"/>
        </w:rPr>
        <w:t xml:space="preserve">to be </w:t>
      </w:r>
      <w:r w:rsidR="0064050C" w:rsidRPr="006D2720">
        <w:rPr>
          <w:rFonts w:ascii="Times New Roman" w:hAnsi="Times New Roman" w:cs="Times New Roman"/>
        </w:rPr>
        <w:t>recognised by Australian courts when the appropriate facts arise.</w:t>
      </w:r>
      <w:r w:rsidR="00A90B8F" w:rsidRPr="006D2720">
        <w:rPr>
          <w:rStyle w:val="FootnoteReference"/>
          <w:rFonts w:ascii="Times New Roman" w:hAnsi="Times New Roman" w:cs="Times New Roman"/>
        </w:rPr>
        <w:footnoteReference w:id="395"/>
      </w:r>
      <w:r w:rsidR="0064050C" w:rsidRPr="006D2720">
        <w:rPr>
          <w:rFonts w:ascii="Times New Roman" w:hAnsi="Times New Roman" w:cs="Times New Roman"/>
        </w:rPr>
        <w:t xml:space="preserve"> In each </w:t>
      </w:r>
      <w:r w:rsidR="004A148A" w:rsidRPr="006D2720">
        <w:rPr>
          <w:rFonts w:ascii="Times New Roman" w:hAnsi="Times New Roman" w:cs="Times New Roman"/>
        </w:rPr>
        <w:t>individual</w:t>
      </w:r>
      <w:r w:rsidR="0064050C" w:rsidRPr="006D2720">
        <w:rPr>
          <w:rFonts w:ascii="Times New Roman" w:hAnsi="Times New Roman" w:cs="Times New Roman"/>
        </w:rPr>
        <w:t xml:space="preserve"> </w:t>
      </w:r>
      <w:r w:rsidR="0059735A" w:rsidRPr="006D2720">
        <w:rPr>
          <w:rFonts w:ascii="Times New Roman" w:hAnsi="Times New Roman" w:cs="Times New Roman"/>
        </w:rPr>
        <w:t>judgment</w:t>
      </w:r>
      <w:r w:rsidR="0064050C" w:rsidRPr="006D2720">
        <w:rPr>
          <w:rFonts w:ascii="Times New Roman" w:hAnsi="Times New Roman" w:cs="Times New Roman"/>
        </w:rPr>
        <w:t xml:space="preserve">, their Honours recognised the normative importance of privacy and its protection, and acknowledged that Australian law is sufficiently capacious to accommodate protection for privacy. </w:t>
      </w:r>
      <w:r w:rsidR="00141490" w:rsidRPr="006D2720">
        <w:rPr>
          <w:rFonts w:ascii="Times New Roman" w:hAnsi="Times New Roman" w:cs="Times New Roman"/>
        </w:rPr>
        <w:t xml:space="preserve">None of the justices excluded tort </w:t>
      </w:r>
      <w:r w:rsidR="0064050C" w:rsidRPr="006D2720">
        <w:rPr>
          <w:rFonts w:ascii="Times New Roman" w:hAnsi="Times New Roman" w:cs="Times New Roman"/>
        </w:rPr>
        <w:t>law</w:t>
      </w:r>
      <w:r w:rsidR="00141490" w:rsidRPr="006D2720">
        <w:rPr>
          <w:rFonts w:ascii="Times New Roman" w:hAnsi="Times New Roman" w:cs="Times New Roman"/>
        </w:rPr>
        <w:t xml:space="preserve"> </w:t>
      </w:r>
      <w:r w:rsidR="0064050C" w:rsidRPr="006D2720">
        <w:rPr>
          <w:rFonts w:ascii="Times New Roman" w:hAnsi="Times New Roman" w:cs="Times New Roman"/>
        </w:rPr>
        <w:t xml:space="preserve">as the vehicle for this protection. </w:t>
      </w:r>
    </w:p>
    <w:p w14:paraId="769392FE" w14:textId="7D1BA1DE" w:rsidR="0064050C" w:rsidRPr="006D2720" w:rsidRDefault="0064050C" w:rsidP="0066337D">
      <w:pPr>
        <w:pStyle w:val="Heading3"/>
        <w:rPr>
          <w:rFonts w:ascii="Times New Roman" w:hAnsi="Times New Roman" w:cs="Times New Roman"/>
        </w:rPr>
      </w:pPr>
      <w:r w:rsidRPr="006D2720">
        <w:rPr>
          <w:rFonts w:ascii="Times New Roman" w:hAnsi="Times New Roman" w:cs="Times New Roman"/>
        </w:rPr>
        <w:t xml:space="preserve">The High Court in </w:t>
      </w:r>
      <w:r w:rsidR="004A148A" w:rsidRPr="006D2720">
        <w:rPr>
          <w:rFonts w:ascii="Times New Roman" w:hAnsi="Times New Roman" w:cs="Times New Roman"/>
          <w:i/>
          <w:iCs/>
        </w:rPr>
        <w:t>Lenah Game Meats</w:t>
      </w:r>
      <w:r w:rsidRPr="006D2720">
        <w:rPr>
          <w:rFonts w:ascii="Times New Roman" w:hAnsi="Times New Roman" w:cs="Times New Roman"/>
        </w:rPr>
        <w:t xml:space="preserve"> also</w:t>
      </w:r>
      <w:r w:rsidR="005962DC" w:rsidRPr="006D2720">
        <w:rPr>
          <w:rFonts w:ascii="Times New Roman" w:hAnsi="Times New Roman" w:cs="Times New Roman"/>
        </w:rPr>
        <w:t xml:space="preserve"> </w:t>
      </w:r>
      <w:r w:rsidR="00940103" w:rsidRPr="006D2720">
        <w:rPr>
          <w:rFonts w:ascii="Times New Roman" w:hAnsi="Times New Roman" w:cs="Times New Roman"/>
        </w:rPr>
        <w:t xml:space="preserve">suggested </w:t>
      </w:r>
      <w:r w:rsidR="005962DC" w:rsidRPr="006D2720">
        <w:rPr>
          <w:rFonts w:ascii="Times New Roman" w:hAnsi="Times New Roman" w:cs="Times New Roman"/>
        </w:rPr>
        <w:t>that</w:t>
      </w:r>
      <w:r w:rsidR="00940103" w:rsidRPr="006D2720">
        <w:rPr>
          <w:rFonts w:ascii="Times New Roman" w:hAnsi="Times New Roman" w:cs="Times New Roman"/>
        </w:rPr>
        <w:t xml:space="preserve"> privacy protection from Australian common law was not necessarily excluded following</w:t>
      </w:r>
      <w:r w:rsidR="005962DC" w:rsidRPr="006D2720">
        <w:rPr>
          <w:rFonts w:ascii="Times New Roman" w:hAnsi="Times New Roman" w:cs="Times New Roman"/>
        </w:rPr>
        <w:t xml:space="preserve"> </w:t>
      </w:r>
      <w:r w:rsidR="00FF1E07" w:rsidRPr="006D2720">
        <w:rPr>
          <w:rFonts w:ascii="Times New Roman" w:hAnsi="Times New Roman" w:cs="Times New Roman"/>
        </w:rPr>
        <w:t xml:space="preserve">a </w:t>
      </w:r>
      <w:r w:rsidR="00940103" w:rsidRPr="006D2720">
        <w:rPr>
          <w:rFonts w:ascii="Times New Roman" w:hAnsi="Times New Roman" w:cs="Times New Roman"/>
        </w:rPr>
        <w:t>1937</w:t>
      </w:r>
      <w:r w:rsidR="005962DC" w:rsidRPr="006D2720">
        <w:rPr>
          <w:rFonts w:ascii="Times New Roman" w:hAnsi="Times New Roman" w:cs="Times New Roman"/>
        </w:rPr>
        <w:t xml:space="preserve"> </w:t>
      </w:r>
      <w:r w:rsidR="00940103" w:rsidRPr="006D2720">
        <w:rPr>
          <w:rFonts w:ascii="Times New Roman" w:hAnsi="Times New Roman" w:cs="Times New Roman"/>
        </w:rPr>
        <w:t xml:space="preserve">case </w:t>
      </w:r>
      <w:r w:rsidR="00E14326" w:rsidRPr="006D2720">
        <w:rPr>
          <w:rFonts w:ascii="Times New Roman" w:hAnsi="Times New Roman" w:cs="Times New Roman"/>
        </w:rPr>
        <w:t xml:space="preserve">that is </w:t>
      </w:r>
      <w:r w:rsidR="00940103" w:rsidRPr="006D2720">
        <w:rPr>
          <w:rFonts w:ascii="Times New Roman" w:hAnsi="Times New Roman" w:cs="Times New Roman"/>
        </w:rPr>
        <w:t>often cited for its rejection of a right to privacy, that o</w:t>
      </w:r>
      <w:r w:rsidR="005962DC" w:rsidRPr="006D2720">
        <w:rPr>
          <w:rFonts w:ascii="Times New Roman" w:hAnsi="Times New Roman" w:cs="Times New Roman"/>
        </w:rPr>
        <w:t xml:space="preserve">f </w:t>
      </w:r>
      <w:r w:rsidR="0091474D" w:rsidRPr="006D2720">
        <w:rPr>
          <w:rFonts w:ascii="Times New Roman" w:hAnsi="Times New Roman" w:cs="Times New Roman"/>
        </w:rPr>
        <w:t>‘</w:t>
      </w:r>
      <w:r w:rsidRPr="006D2720">
        <w:rPr>
          <w:rFonts w:ascii="Times New Roman" w:hAnsi="Times New Roman" w:cs="Times New Roman"/>
          <w:i/>
        </w:rPr>
        <w:t>Victoria Park Racing</w:t>
      </w:r>
      <w:r w:rsidR="0091474D" w:rsidRPr="006D2720">
        <w:rPr>
          <w:rFonts w:ascii="Times New Roman" w:hAnsi="Times New Roman" w:cs="Times New Roman"/>
          <w:i/>
        </w:rPr>
        <w:t>’</w:t>
      </w:r>
      <w:r w:rsidR="00FF1E07" w:rsidRPr="006D2720">
        <w:rPr>
          <w:rFonts w:ascii="Times New Roman" w:hAnsi="Times New Roman" w:cs="Times New Roman"/>
        </w:rPr>
        <w:t>.</w:t>
      </w:r>
      <w:r w:rsidRPr="006D2720">
        <w:rPr>
          <w:rStyle w:val="FootnoteReference"/>
          <w:rFonts w:ascii="Times New Roman" w:hAnsi="Times New Roman" w:cs="Times New Roman"/>
        </w:rPr>
        <w:footnoteReference w:id="396"/>
      </w:r>
      <w:r w:rsidRPr="006D2720">
        <w:rPr>
          <w:rFonts w:ascii="Times New Roman" w:hAnsi="Times New Roman" w:cs="Times New Roman"/>
        </w:rPr>
        <w:t xml:space="preserve"> </w:t>
      </w:r>
      <w:r w:rsidR="00940103" w:rsidRPr="006D2720">
        <w:rPr>
          <w:rFonts w:ascii="Times New Roman" w:hAnsi="Times New Roman" w:cs="Times New Roman"/>
        </w:rPr>
        <w:t>More recently</w:t>
      </w:r>
      <w:r w:rsidR="0018007A" w:rsidRPr="006D2720">
        <w:rPr>
          <w:rFonts w:ascii="Times New Roman" w:hAnsi="Times New Roman" w:cs="Times New Roman"/>
        </w:rPr>
        <w:t>, the High Court has again confirmed that Australian courts are not precluded from recognising a tort of interference with privacy and granting tortious remedies, including compensation for harm suffered.</w:t>
      </w:r>
      <w:r w:rsidR="0018007A" w:rsidRPr="006D2720">
        <w:rPr>
          <w:rStyle w:val="FootnoteReference"/>
          <w:rFonts w:ascii="Times New Roman" w:hAnsi="Times New Roman" w:cs="Times New Roman"/>
        </w:rPr>
        <w:footnoteReference w:id="397"/>
      </w:r>
      <w:r w:rsidR="0018007A" w:rsidRPr="006D2720" w:rsidDel="0018007A">
        <w:rPr>
          <w:rFonts w:ascii="Times New Roman" w:hAnsi="Times New Roman" w:cs="Times New Roman"/>
        </w:rPr>
        <w:t xml:space="preserve"> </w:t>
      </w:r>
    </w:p>
    <w:p w14:paraId="0D379AB0" w14:textId="47007774" w:rsidR="0064050C" w:rsidRPr="006D2720" w:rsidRDefault="0064050C" w:rsidP="0066337D">
      <w:pPr>
        <w:pStyle w:val="Heading3"/>
        <w:rPr>
          <w:rFonts w:ascii="Times New Roman" w:hAnsi="Times New Roman" w:cs="Times New Roman"/>
        </w:rPr>
      </w:pPr>
      <w:r w:rsidRPr="006D2720">
        <w:rPr>
          <w:rFonts w:ascii="Times New Roman" w:hAnsi="Times New Roman" w:cs="Times New Roman"/>
        </w:rPr>
        <w:t xml:space="preserve">Since </w:t>
      </w:r>
      <w:r w:rsidR="002D2A39" w:rsidRPr="006D2720">
        <w:rPr>
          <w:rFonts w:ascii="Times New Roman" w:hAnsi="Times New Roman" w:cs="Times New Roman"/>
          <w:i/>
        </w:rPr>
        <w:t>Lenah Game Meats</w:t>
      </w:r>
      <w:r w:rsidRPr="006D2720">
        <w:rPr>
          <w:rFonts w:ascii="Times New Roman" w:hAnsi="Times New Roman" w:cs="Times New Roman"/>
        </w:rPr>
        <w:t xml:space="preserve">, </w:t>
      </w:r>
      <w:r w:rsidR="003F48D6" w:rsidRPr="006D2720">
        <w:rPr>
          <w:rFonts w:ascii="Times New Roman" w:hAnsi="Times New Roman" w:cs="Times New Roman"/>
        </w:rPr>
        <w:t xml:space="preserve">there has been </w:t>
      </w:r>
      <w:r w:rsidR="00D46C69" w:rsidRPr="006D2720">
        <w:rPr>
          <w:rFonts w:ascii="Times New Roman" w:hAnsi="Times New Roman" w:cs="Times New Roman"/>
        </w:rPr>
        <w:t>in</w:t>
      </w:r>
      <w:r w:rsidR="003F48D6" w:rsidRPr="006D2720">
        <w:rPr>
          <w:rFonts w:ascii="Times New Roman" w:hAnsi="Times New Roman" w:cs="Times New Roman"/>
        </w:rPr>
        <w:t>consisten</w:t>
      </w:r>
      <w:r w:rsidR="00C6589D" w:rsidRPr="006D2720">
        <w:rPr>
          <w:rFonts w:ascii="Times New Roman" w:hAnsi="Times New Roman" w:cs="Times New Roman"/>
        </w:rPr>
        <w:t>cy</w:t>
      </w:r>
      <w:r w:rsidR="003F48D6" w:rsidRPr="006D2720">
        <w:rPr>
          <w:rFonts w:ascii="Times New Roman" w:hAnsi="Times New Roman" w:cs="Times New Roman"/>
        </w:rPr>
        <w:t xml:space="preserve"> </w:t>
      </w:r>
      <w:r w:rsidR="00D46C69" w:rsidRPr="006D2720">
        <w:rPr>
          <w:rFonts w:ascii="Times New Roman" w:hAnsi="Times New Roman" w:cs="Times New Roman"/>
        </w:rPr>
        <w:t xml:space="preserve">among </w:t>
      </w:r>
      <w:r w:rsidR="003F48D6" w:rsidRPr="006D2720">
        <w:rPr>
          <w:rFonts w:ascii="Times New Roman" w:hAnsi="Times New Roman" w:cs="Times New Roman"/>
        </w:rPr>
        <w:t>lower courts in Australian jurisdictions towards granting remedies for interference</w:t>
      </w:r>
      <w:r w:rsidR="000B0445" w:rsidRPr="006D2720">
        <w:rPr>
          <w:rFonts w:ascii="Times New Roman" w:hAnsi="Times New Roman" w:cs="Times New Roman"/>
        </w:rPr>
        <w:t>s</w:t>
      </w:r>
      <w:r w:rsidR="003F48D6" w:rsidRPr="006D2720">
        <w:rPr>
          <w:rFonts w:ascii="Times New Roman" w:hAnsi="Times New Roman" w:cs="Times New Roman"/>
        </w:rPr>
        <w:t xml:space="preserve"> with privacy. Some have done so, including </w:t>
      </w:r>
      <w:r w:rsidR="000826BE" w:rsidRPr="006D2720">
        <w:rPr>
          <w:rFonts w:ascii="Times New Roman" w:hAnsi="Times New Roman" w:cs="Times New Roman"/>
        </w:rPr>
        <w:t>by granting damages under a tort of invasion of privacy.</w:t>
      </w:r>
      <w:r w:rsidRPr="006D2720">
        <w:rPr>
          <w:rStyle w:val="FootnoteReference"/>
          <w:rFonts w:ascii="Times New Roman" w:hAnsi="Times New Roman" w:cs="Times New Roman"/>
        </w:rPr>
        <w:footnoteReference w:id="398"/>
      </w:r>
      <w:r w:rsidRPr="006D2720">
        <w:rPr>
          <w:rFonts w:ascii="Times New Roman" w:hAnsi="Times New Roman" w:cs="Times New Roman"/>
        </w:rPr>
        <w:t xml:space="preserve"> </w:t>
      </w:r>
      <w:r w:rsidR="000826BE" w:rsidRPr="006D2720">
        <w:rPr>
          <w:rFonts w:ascii="Times New Roman" w:hAnsi="Times New Roman" w:cs="Times New Roman"/>
        </w:rPr>
        <w:t>O</w:t>
      </w:r>
      <w:r w:rsidRPr="006D2720">
        <w:rPr>
          <w:rFonts w:ascii="Times New Roman" w:hAnsi="Times New Roman" w:cs="Times New Roman"/>
        </w:rPr>
        <w:t xml:space="preserve">thers have refused to recognise any such action, whether </w:t>
      </w:r>
      <w:r w:rsidR="002F4A6E" w:rsidRPr="006D2720">
        <w:rPr>
          <w:rFonts w:ascii="Times New Roman" w:hAnsi="Times New Roman" w:cs="Times New Roman"/>
        </w:rPr>
        <w:t xml:space="preserve">as </w:t>
      </w:r>
      <w:r w:rsidRPr="006D2720">
        <w:rPr>
          <w:rFonts w:ascii="Times New Roman" w:hAnsi="Times New Roman" w:cs="Times New Roman"/>
        </w:rPr>
        <w:t xml:space="preserve">a tort or otherwise, </w:t>
      </w:r>
      <w:r w:rsidR="00AE2E08" w:rsidRPr="006D2720">
        <w:rPr>
          <w:rFonts w:ascii="Times New Roman" w:hAnsi="Times New Roman" w:cs="Times New Roman"/>
        </w:rPr>
        <w:t xml:space="preserve">even </w:t>
      </w:r>
      <w:r w:rsidRPr="006D2720">
        <w:rPr>
          <w:rFonts w:ascii="Times New Roman" w:hAnsi="Times New Roman" w:cs="Times New Roman"/>
        </w:rPr>
        <w:t>where the plaintiff is an individual rather than a corporation.</w:t>
      </w:r>
      <w:r w:rsidRPr="006D2720">
        <w:rPr>
          <w:rStyle w:val="FootnoteReference"/>
          <w:rFonts w:ascii="Times New Roman" w:hAnsi="Times New Roman" w:cs="Times New Roman"/>
        </w:rPr>
        <w:footnoteReference w:id="399"/>
      </w:r>
    </w:p>
    <w:p w14:paraId="5E09E9C7" w14:textId="47F76FC9" w:rsidR="0017376F" w:rsidRPr="006D2720" w:rsidRDefault="0017376F" w:rsidP="0017376F">
      <w:pPr>
        <w:pStyle w:val="Heading3"/>
        <w:rPr>
          <w:rFonts w:ascii="Times New Roman" w:hAnsi="Times New Roman" w:cs="Times New Roman"/>
        </w:rPr>
      </w:pPr>
      <w:r w:rsidRPr="006D2720">
        <w:rPr>
          <w:rFonts w:ascii="Times New Roman" w:hAnsi="Times New Roman" w:cs="Times New Roman"/>
        </w:rPr>
        <w:t>Appellate courts have twice considered whether to grant a remedy for interference with privacy, either as a tort or as another form of civil action. In both cases</w:t>
      </w:r>
      <w:r w:rsidR="0066132E" w:rsidRPr="006D2720">
        <w:rPr>
          <w:rFonts w:ascii="Times New Roman" w:hAnsi="Times New Roman" w:cs="Times New Roman"/>
        </w:rPr>
        <w:t>,</w:t>
      </w:r>
      <w:r w:rsidRPr="006D2720">
        <w:rPr>
          <w:rFonts w:ascii="Times New Roman" w:hAnsi="Times New Roman" w:cs="Times New Roman"/>
        </w:rPr>
        <w:t xml:space="preserve"> the </w:t>
      </w:r>
      <w:r w:rsidR="005E2E75" w:rsidRPr="006D2720">
        <w:rPr>
          <w:rFonts w:ascii="Times New Roman" w:hAnsi="Times New Roman" w:cs="Times New Roman"/>
        </w:rPr>
        <w:t>c</w:t>
      </w:r>
      <w:r w:rsidRPr="006D2720">
        <w:rPr>
          <w:rFonts w:ascii="Times New Roman" w:hAnsi="Times New Roman" w:cs="Times New Roman"/>
        </w:rPr>
        <w:t xml:space="preserve">ourt </w:t>
      </w:r>
      <w:r w:rsidR="0091474D" w:rsidRPr="006D2720">
        <w:rPr>
          <w:rFonts w:ascii="Times New Roman" w:hAnsi="Times New Roman" w:cs="Times New Roman"/>
        </w:rPr>
        <w:t>did not</w:t>
      </w:r>
      <w:r w:rsidRPr="006D2720">
        <w:rPr>
          <w:rFonts w:ascii="Times New Roman" w:hAnsi="Times New Roman" w:cs="Times New Roman"/>
        </w:rPr>
        <w:t xml:space="preserve"> </w:t>
      </w:r>
      <w:r w:rsidR="00A52872" w:rsidRPr="006D2720">
        <w:rPr>
          <w:rFonts w:ascii="Times New Roman" w:hAnsi="Times New Roman" w:cs="Times New Roman"/>
        </w:rPr>
        <w:t xml:space="preserve">use the door left open in </w:t>
      </w:r>
      <w:r w:rsidR="002D2A39" w:rsidRPr="006D2720">
        <w:rPr>
          <w:rFonts w:ascii="Times New Roman" w:hAnsi="Times New Roman" w:cs="Times New Roman"/>
          <w:i/>
        </w:rPr>
        <w:t>Lenah Game Meats</w:t>
      </w:r>
      <w:r w:rsidR="002D2A39" w:rsidRPr="006D2720">
        <w:rPr>
          <w:rFonts w:ascii="Times New Roman" w:hAnsi="Times New Roman" w:cs="Times New Roman"/>
        </w:rPr>
        <w:t xml:space="preserve"> </w:t>
      </w:r>
      <w:r w:rsidR="00A52872" w:rsidRPr="006D2720">
        <w:rPr>
          <w:rFonts w:ascii="Times New Roman" w:hAnsi="Times New Roman" w:cs="Times New Roman"/>
        </w:rPr>
        <w:t xml:space="preserve">to </w:t>
      </w:r>
      <w:r w:rsidRPr="006D2720">
        <w:rPr>
          <w:rFonts w:ascii="Times New Roman" w:hAnsi="Times New Roman" w:cs="Times New Roman"/>
        </w:rPr>
        <w:t>recognise a tort of interference with privacy</w:t>
      </w:r>
      <w:r w:rsidR="00335448" w:rsidRPr="006D2720">
        <w:rPr>
          <w:rFonts w:ascii="Times New Roman" w:hAnsi="Times New Roman" w:cs="Times New Roman"/>
        </w:rPr>
        <w:t xml:space="preserve">. </w:t>
      </w:r>
      <w:r w:rsidR="00416BE1" w:rsidRPr="006D2720">
        <w:rPr>
          <w:rFonts w:ascii="Times New Roman" w:hAnsi="Times New Roman" w:cs="Times New Roman"/>
        </w:rPr>
        <w:t>Instead</w:t>
      </w:r>
      <w:r w:rsidR="00335448" w:rsidRPr="006D2720">
        <w:rPr>
          <w:rFonts w:ascii="Times New Roman" w:hAnsi="Times New Roman" w:cs="Times New Roman"/>
        </w:rPr>
        <w:t>,</w:t>
      </w:r>
      <w:r w:rsidRPr="006D2720">
        <w:rPr>
          <w:rFonts w:ascii="Times New Roman" w:hAnsi="Times New Roman" w:cs="Times New Roman"/>
        </w:rPr>
        <w:t xml:space="preserve"> the </w:t>
      </w:r>
      <w:r w:rsidR="003F6C9F" w:rsidRPr="006D2720">
        <w:rPr>
          <w:rFonts w:ascii="Times New Roman" w:hAnsi="Times New Roman" w:cs="Times New Roman"/>
        </w:rPr>
        <w:t>c</w:t>
      </w:r>
      <w:r w:rsidRPr="006D2720">
        <w:rPr>
          <w:rFonts w:ascii="Times New Roman" w:hAnsi="Times New Roman" w:cs="Times New Roman"/>
        </w:rPr>
        <w:t>ourt granted compensation</w:t>
      </w:r>
      <w:r w:rsidR="00405169" w:rsidRPr="006D2720">
        <w:rPr>
          <w:rFonts w:ascii="Times New Roman" w:hAnsi="Times New Roman" w:cs="Times New Roman"/>
        </w:rPr>
        <w:t xml:space="preserve"> under the equitable action of breach of confidence</w:t>
      </w:r>
      <w:r w:rsidR="0063787B" w:rsidRPr="006D2720">
        <w:rPr>
          <w:rFonts w:ascii="Times New Roman" w:hAnsi="Times New Roman" w:cs="Times New Roman"/>
        </w:rPr>
        <w:t xml:space="preserve"> (discussed next)</w:t>
      </w:r>
      <w:r w:rsidRPr="006D2720">
        <w:rPr>
          <w:rFonts w:ascii="Times New Roman" w:hAnsi="Times New Roman" w:cs="Times New Roman"/>
        </w:rPr>
        <w:t>.</w:t>
      </w:r>
      <w:r w:rsidRPr="006D2720">
        <w:rPr>
          <w:rStyle w:val="FootnoteReference"/>
          <w:rFonts w:ascii="Times New Roman" w:hAnsi="Times New Roman" w:cs="Times New Roman"/>
        </w:rPr>
        <w:footnoteReference w:id="400"/>
      </w:r>
      <w:r w:rsidRPr="006D2720">
        <w:rPr>
          <w:rFonts w:ascii="Times New Roman" w:hAnsi="Times New Roman" w:cs="Times New Roman"/>
        </w:rPr>
        <w:t xml:space="preserve"> </w:t>
      </w:r>
    </w:p>
    <w:p w14:paraId="179D2F24" w14:textId="32E8435B" w:rsidR="0064050C" w:rsidRPr="006D2720" w:rsidRDefault="0091474D" w:rsidP="0066337D">
      <w:pPr>
        <w:pStyle w:val="Heading3"/>
        <w:rPr>
          <w:rFonts w:ascii="Times New Roman" w:hAnsi="Times New Roman" w:cs="Times New Roman"/>
        </w:rPr>
      </w:pPr>
      <w:r w:rsidRPr="006D2720">
        <w:rPr>
          <w:rFonts w:ascii="Times New Roman" w:hAnsi="Times New Roman" w:cs="Times New Roman"/>
        </w:rPr>
        <w:t xml:space="preserve">The </w:t>
      </w:r>
      <w:r w:rsidR="0064050C" w:rsidRPr="006D2720">
        <w:rPr>
          <w:rFonts w:ascii="Times New Roman" w:hAnsi="Times New Roman" w:cs="Times New Roman"/>
        </w:rPr>
        <w:t xml:space="preserve">Supreme Court </w:t>
      </w:r>
      <w:r w:rsidRPr="006D2720">
        <w:rPr>
          <w:rFonts w:ascii="Times New Roman" w:hAnsi="Times New Roman" w:cs="Times New Roman"/>
        </w:rPr>
        <w:t xml:space="preserve">of Tasmania </w:t>
      </w:r>
      <w:r w:rsidR="0064050C" w:rsidRPr="006D2720">
        <w:rPr>
          <w:rFonts w:ascii="Times New Roman" w:hAnsi="Times New Roman" w:cs="Times New Roman"/>
        </w:rPr>
        <w:t>has not</w:t>
      </w:r>
      <w:r w:rsidR="008506AA" w:rsidRPr="006D2720">
        <w:rPr>
          <w:rFonts w:ascii="Times New Roman" w:hAnsi="Times New Roman" w:cs="Times New Roman"/>
        </w:rPr>
        <w:t xml:space="preserve"> </w:t>
      </w:r>
      <w:r w:rsidR="0064050C" w:rsidRPr="006D2720">
        <w:rPr>
          <w:rFonts w:ascii="Times New Roman" w:hAnsi="Times New Roman" w:cs="Times New Roman"/>
        </w:rPr>
        <w:t xml:space="preserve">had </w:t>
      </w:r>
      <w:r w:rsidR="008506AA" w:rsidRPr="006D2720">
        <w:rPr>
          <w:rFonts w:ascii="Times New Roman" w:hAnsi="Times New Roman" w:cs="Times New Roman"/>
        </w:rPr>
        <w:t xml:space="preserve">an </w:t>
      </w:r>
      <w:r w:rsidR="0064050C" w:rsidRPr="006D2720">
        <w:rPr>
          <w:rFonts w:ascii="Times New Roman" w:hAnsi="Times New Roman" w:cs="Times New Roman"/>
        </w:rPr>
        <w:t>opportunity</w:t>
      </w:r>
      <w:r w:rsidR="0010002E" w:rsidRPr="006D2720">
        <w:rPr>
          <w:rFonts w:ascii="Times New Roman" w:hAnsi="Times New Roman" w:cs="Times New Roman"/>
        </w:rPr>
        <w:t>,</w:t>
      </w:r>
      <w:r w:rsidR="0064050C" w:rsidRPr="006D2720">
        <w:rPr>
          <w:rFonts w:ascii="Times New Roman" w:hAnsi="Times New Roman" w:cs="Times New Roman"/>
        </w:rPr>
        <w:t xml:space="preserve"> </w:t>
      </w:r>
      <w:r w:rsidR="00F05921" w:rsidRPr="006D2720">
        <w:rPr>
          <w:rFonts w:ascii="Times New Roman" w:hAnsi="Times New Roman" w:cs="Times New Roman"/>
        </w:rPr>
        <w:t>since</w:t>
      </w:r>
      <w:r w:rsidR="004B54D6" w:rsidRPr="006D2720">
        <w:rPr>
          <w:rFonts w:ascii="Times New Roman" w:hAnsi="Times New Roman" w:cs="Times New Roman"/>
        </w:rPr>
        <w:t xml:space="preserve"> the High Court </w:t>
      </w:r>
      <w:r w:rsidR="00264511" w:rsidRPr="006D2720">
        <w:rPr>
          <w:rFonts w:ascii="Times New Roman" w:hAnsi="Times New Roman" w:cs="Times New Roman"/>
        </w:rPr>
        <w:t>deci</w:t>
      </w:r>
      <w:r w:rsidRPr="006D2720">
        <w:rPr>
          <w:rFonts w:ascii="Times New Roman" w:hAnsi="Times New Roman" w:cs="Times New Roman"/>
        </w:rPr>
        <w:t>sion of</w:t>
      </w:r>
      <w:r w:rsidR="00264511" w:rsidRPr="006D2720">
        <w:rPr>
          <w:rFonts w:ascii="Times New Roman" w:hAnsi="Times New Roman" w:cs="Times New Roman"/>
        </w:rPr>
        <w:t xml:space="preserve"> </w:t>
      </w:r>
      <w:r w:rsidR="002D2A39" w:rsidRPr="006D2720">
        <w:rPr>
          <w:rFonts w:ascii="Times New Roman" w:hAnsi="Times New Roman" w:cs="Times New Roman"/>
          <w:i/>
        </w:rPr>
        <w:t>Lenah Game Meats</w:t>
      </w:r>
      <w:r w:rsidR="0010002E" w:rsidRPr="006D2720">
        <w:rPr>
          <w:rFonts w:ascii="Times New Roman" w:hAnsi="Times New Roman" w:cs="Times New Roman"/>
        </w:rPr>
        <w:t>,</w:t>
      </w:r>
      <w:r w:rsidR="008506AA" w:rsidRPr="006D2720">
        <w:rPr>
          <w:rFonts w:ascii="Times New Roman" w:hAnsi="Times New Roman" w:cs="Times New Roman"/>
          <w:i/>
          <w:iCs/>
        </w:rPr>
        <w:t xml:space="preserve"> </w:t>
      </w:r>
      <w:r w:rsidR="0064050C" w:rsidRPr="006D2720">
        <w:rPr>
          <w:rFonts w:ascii="Times New Roman" w:hAnsi="Times New Roman" w:cs="Times New Roman"/>
        </w:rPr>
        <w:t xml:space="preserve">to adjudicate a claim </w:t>
      </w:r>
      <w:r w:rsidR="00942752" w:rsidRPr="006D2720">
        <w:rPr>
          <w:rFonts w:ascii="Times New Roman" w:hAnsi="Times New Roman" w:cs="Times New Roman"/>
        </w:rPr>
        <w:t>seeking</w:t>
      </w:r>
      <w:r w:rsidR="0064050C" w:rsidRPr="006D2720">
        <w:rPr>
          <w:rFonts w:ascii="Times New Roman" w:hAnsi="Times New Roman" w:cs="Times New Roman"/>
        </w:rPr>
        <w:t xml:space="preserve"> tortious or other remedies for interference with privacy.</w:t>
      </w:r>
    </w:p>
    <w:p w14:paraId="01A2B058" w14:textId="4B7FDB8D" w:rsidR="0064050C" w:rsidRPr="006D2720" w:rsidRDefault="0064050C" w:rsidP="00CA1A69">
      <w:pPr>
        <w:pStyle w:val="Heading2"/>
        <w:numPr>
          <w:ilvl w:val="0"/>
          <w:numId w:val="0"/>
        </w:numPr>
        <w:ind w:left="578" w:hanging="578"/>
        <w:rPr>
          <w:rFonts w:ascii="Times New Roman" w:hAnsi="Times New Roman" w:cs="Times New Roman"/>
          <w:i/>
          <w:iCs/>
        </w:rPr>
      </w:pPr>
      <w:bookmarkStart w:id="408" w:name="_Toc91832024"/>
      <w:bookmarkStart w:id="409" w:name="_Toc130540459"/>
      <w:r w:rsidRPr="006D2720">
        <w:rPr>
          <w:rFonts w:ascii="Times New Roman" w:hAnsi="Times New Roman" w:cs="Times New Roman"/>
          <w:i/>
          <w:iCs/>
        </w:rPr>
        <w:t>Equity</w:t>
      </w:r>
      <w:bookmarkEnd w:id="408"/>
      <w:bookmarkEnd w:id="409"/>
    </w:p>
    <w:p w14:paraId="31054958" w14:textId="73752558" w:rsidR="002A63AB" w:rsidRPr="006D2720" w:rsidRDefault="002A63AB" w:rsidP="00F61894">
      <w:pPr>
        <w:pStyle w:val="Heading3"/>
        <w:rPr>
          <w:rFonts w:ascii="Times New Roman" w:hAnsi="Times New Roman" w:cs="Times New Roman"/>
        </w:rPr>
      </w:pPr>
      <w:r w:rsidRPr="006D2720">
        <w:rPr>
          <w:rFonts w:ascii="Times New Roman" w:hAnsi="Times New Roman" w:cs="Times New Roman"/>
        </w:rPr>
        <w:t xml:space="preserve">As </w:t>
      </w:r>
      <w:r w:rsidR="006926CE" w:rsidRPr="006D2720">
        <w:rPr>
          <w:rFonts w:ascii="Times New Roman" w:hAnsi="Times New Roman" w:cs="Times New Roman"/>
        </w:rPr>
        <w:t xml:space="preserve">just </w:t>
      </w:r>
      <w:r w:rsidRPr="006D2720">
        <w:rPr>
          <w:rFonts w:ascii="Times New Roman" w:hAnsi="Times New Roman" w:cs="Times New Roman"/>
        </w:rPr>
        <w:t>mentioned</w:t>
      </w:r>
      <w:r w:rsidR="006926CE" w:rsidRPr="006D2720">
        <w:rPr>
          <w:rFonts w:ascii="Times New Roman" w:hAnsi="Times New Roman" w:cs="Times New Roman"/>
        </w:rPr>
        <w:t>,</w:t>
      </w:r>
      <w:r w:rsidRPr="006D2720">
        <w:rPr>
          <w:rFonts w:ascii="Times New Roman" w:hAnsi="Times New Roman" w:cs="Times New Roman"/>
        </w:rPr>
        <w:t xml:space="preserve"> two Australian appellate courts have considered the availability of remedies for interference</w:t>
      </w:r>
      <w:r w:rsidR="000B0445" w:rsidRPr="006D2720">
        <w:rPr>
          <w:rFonts w:ascii="Times New Roman" w:hAnsi="Times New Roman" w:cs="Times New Roman"/>
        </w:rPr>
        <w:t>s</w:t>
      </w:r>
      <w:r w:rsidRPr="006D2720">
        <w:rPr>
          <w:rFonts w:ascii="Times New Roman" w:hAnsi="Times New Roman" w:cs="Times New Roman"/>
        </w:rPr>
        <w:t xml:space="preserve"> with privacy. </w:t>
      </w:r>
    </w:p>
    <w:p w14:paraId="02535207" w14:textId="7F59EA4A" w:rsidR="0064050C" w:rsidRPr="006D2720" w:rsidRDefault="008734AA" w:rsidP="0066337D">
      <w:pPr>
        <w:pStyle w:val="Heading3"/>
        <w:rPr>
          <w:rFonts w:ascii="Times New Roman" w:hAnsi="Times New Roman" w:cs="Times New Roman"/>
        </w:rPr>
      </w:pPr>
      <w:r w:rsidRPr="006D2720">
        <w:rPr>
          <w:rFonts w:ascii="Times New Roman" w:hAnsi="Times New Roman" w:cs="Times New Roman"/>
        </w:rPr>
        <w:t>T</w:t>
      </w:r>
      <w:r w:rsidR="0064050C" w:rsidRPr="006D2720">
        <w:rPr>
          <w:rFonts w:ascii="Times New Roman" w:hAnsi="Times New Roman" w:cs="Times New Roman"/>
        </w:rPr>
        <w:t xml:space="preserve">he first </w:t>
      </w:r>
      <w:r w:rsidR="002A63AB" w:rsidRPr="006D2720">
        <w:rPr>
          <w:rFonts w:ascii="Times New Roman" w:hAnsi="Times New Roman" w:cs="Times New Roman"/>
        </w:rPr>
        <w:t>was</w:t>
      </w:r>
      <w:r w:rsidR="0064050C" w:rsidRPr="006D2720">
        <w:rPr>
          <w:rFonts w:ascii="Times New Roman" w:hAnsi="Times New Roman" w:cs="Times New Roman"/>
        </w:rPr>
        <w:t xml:space="preserve"> </w:t>
      </w:r>
      <w:r w:rsidR="0064050C" w:rsidRPr="006D2720">
        <w:rPr>
          <w:rFonts w:ascii="Times New Roman" w:hAnsi="Times New Roman" w:cs="Times New Roman"/>
          <w:i/>
        </w:rPr>
        <w:t>Giller</w:t>
      </w:r>
      <w:r w:rsidR="002D2A39" w:rsidRPr="006D2720">
        <w:rPr>
          <w:rFonts w:ascii="Times New Roman" w:hAnsi="Times New Roman" w:cs="Times New Roman"/>
          <w:i/>
        </w:rPr>
        <w:t xml:space="preserve"> v Procopets</w:t>
      </w:r>
      <w:r w:rsidR="00AA12D4" w:rsidRPr="006D2720">
        <w:rPr>
          <w:rFonts w:ascii="Times New Roman" w:hAnsi="Times New Roman" w:cs="Times New Roman"/>
          <w:i/>
        </w:rPr>
        <w:t xml:space="preserve"> </w:t>
      </w:r>
      <w:r w:rsidR="00AA12D4" w:rsidRPr="006D2720">
        <w:rPr>
          <w:rFonts w:ascii="Times New Roman" w:hAnsi="Times New Roman" w:cs="Times New Roman"/>
          <w:iCs/>
        </w:rPr>
        <w:t>in the</w:t>
      </w:r>
      <w:r w:rsidR="00AA12D4" w:rsidRPr="006D2720">
        <w:rPr>
          <w:rFonts w:ascii="Times New Roman" w:hAnsi="Times New Roman" w:cs="Times New Roman"/>
        </w:rPr>
        <w:t xml:space="preserve"> Victorian Court of Appeal</w:t>
      </w:r>
      <w:r w:rsidR="001825DF" w:rsidRPr="006D2720">
        <w:rPr>
          <w:rFonts w:ascii="Times New Roman" w:hAnsi="Times New Roman" w:cs="Times New Roman"/>
        </w:rPr>
        <w:t xml:space="preserve">, where the plaintiff’s former partner (the defendant) published </w:t>
      </w:r>
      <w:r w:rsidRPr="006D2720">
        <w:rPr>
          <w:rFonts w:ascii="Times New Roman" w:hAnsi="Times New Roman" w:cs="Times New Roman"/>
        </w:rPr>
        <w:t>sexual information about the plaintiff</w:t>
      </w:r>
      <w:r w:rsidR="001825DF" w:rsidRPr="006D2720">
        <w:rPr>
          <w:rFonts w:ascii="Times New Roman" w:hAnsi="Times New Roman" w:cs="Times New Roman"/>
        </w:rPr>
        <w:t>.</w:t>
      </w:r>
      <w:r w:rsidRPr="006D2720">
        <w:rPr>
          <w:rFonts w:ascii="Times New Roman" w:hAnsi="Times New Roman" w:cs="Times New Roman"/>
        </w:rPr>
        <w:t xml:space="preserve"> </w:t>
      </w:r>
      <w:r w:rsidR="001825DF" w:rsidRPr="006D2720">
        <w:rPr>
          <w:rFonts w:ascii="Times New Roman" w:hAnsi="Times New Roman" w:cs="Times New Roman"/>
        </w:rPr>
        <w:t xml:space="preserve">The Court recognised that the harm was the plaintiff’s distress caused by the interference with her privacy. </w:t>
      </w:r>
      <w:r w:rsidR="00FF5CD7" w:rsidRPr="006D2720">
        <w:rPr>
          <w:rFonts w:ascii="Times New Roman" w:hAnsi="Times New Roman" w:cs="Times New Roman"/>
        </w:rPr>
        <w:t xml:space="preserve">While </w:t>
      </w:r>
      <w:r w:rsidR="00D109A8" w:rsidRPr="006D2720">
        <w:rPr>
          <w:rFonts w:ascii="Times New Roman" w:hAnsi="Times New Roman" w:cs="Times New Roman"/>
        </w:rPr>
        <w:t>holding</w:t>
      </w:r>
      <w:r w:rsidR="001825DF" w:rsidRPr="006D2720">
        <w:rPr>
          <w:rFonts w:ascii="Times New Roman" w:hAnsi="Times New Roman" w:cs="Times New Roman"/>
        </w:rPr>
        <w:t xml:space="preserve"> that this </w:t>
      </w:r>
      <w:r w:rsidR="002D2948" w:rsidRPr="006D2720">
        <w:rPr>
          <w:rFonts w:ascii="Times New Roman" w:hAnsi="Times New Roman" w:cs="Times New Roman"/>
        </w:rPr>
        <w:t xml:space="preserve">harm </w:t>
      </w:r>
      <w:r w:rsidR="001825DF" w:rsidRPr="006D2720">
        <w:rPr>
          <w:rFonts w:ascii="Times New Roman" w:hAnsi="Times New Roman" w:cs="Times New Roman"/>
        </w:rPr>
        <w:t xml:space="preserve">could ground an action for damages, </w:t>
      </w:r>
      <w:r w:rsidR="00D109A8" w:rsidRPr="006D2720">
        <w:rPr>
          <w:rFonts w:ascii="Times New Roman" w:hAnsi="Times New Roman" w:cs="Times New Roman"/>
        </w:rPr>
        <w:t xml:space="preserve">the Court </w:t>
      </w:r>
      <w:r w:rsidR="00FF5CD7" w:rsidRPr="006D2720">
        <w:rPr>
          <w:rFonts w:ascii="Times New Roman" w:hAnsi="Times New Roman" w:cs="Times New Roman"/>
        </w:rPr>
        <w:t xml:space="preserve">limited </w:t>
      </w:r>
      <w:r w:rsidR="00771495" w:rsidRPr="006D2720">
        <w:rPr>
          <w:rFonts w:ascii="Times New Roman" w:hAnsi="Times New Roman" w:cs="Times New Roman"/>
        </w:rPr>
        <w:t>the action</w:t>
      </w:r>
      <w:r w:rsidR="00FF5CD7" w:rsidRPr="006D2720">
        <w:rPr>
          <w:rFonts w:ascii="Times New Roman" w:hAnsi="Times New Roman" w:cs="Times New Roman"/>
        </w:rPr>
        <w:t xml:space="preserve"> to </w:t>
      </w:r>
      <w:r w:rsidR="001825DF" w:rsidRPr="006D2720">
        <w:rPr>
          <w:rFonts w:ascii="Times New Roman" w:hAnsi="Times New Roman" w:cs="Times New Roman"/>
        </w:rPr>
        <w:t>breach of confidence in equity</w:t>
      </w:r>
      <w:r w:rsidR="00FF5CD7" w:rsidRPr="006D2720">
        <w:rPr>
          <w:rFonts w:ascii="Times New Roman" w:hAnsi="Times New Roman" w:cs="Times New Roman"/>
        </w:rPr>
        <w:t xml:space="preserve"> and </w:t>
      </w:r>
      <w:r w:rsidR="0064050C" w:rsidRPr="006D2720">
        <w:rPr>
          <w:rFonts w:ascii="Times New Roman" w:hAnsi="Times New Roman" w:cs="Times New Roman"/>
        </w:rPr>
        <w:t xml:space="preserve">declined to recognise a tort of interference with privacy. </w:t>
      </w:r>
      <w:r w:rsidRPr="006D2720">
        <w:rPr>
          <w:rFonts w:ascii="Times New Roman" w:hAnsi="Times New Roman" w:cs="Times New Roman"/>
        </w:rPr>
        <w:t xml:space="preserve">Subsequently, </w:t>
      </w:r>
      <w:r w:rsidR="0064050C" w:rsidRPr="006D2720">
        <w:rPr>
          <w:rFonts w:ascii="Times New Roman" w:hAnsi="Times New Roman" w:cs="Times New Roman"/>
        </w:rPr>
        <w:t xml:space="preserve">the </w:t>
      </w:r>
      <w:r w:rsidRPr="006D2720">
        <w:rPr>
          <w:rFonts w:ascii="Times New Roman" w:hAnsi="Times New Roman" w:cs="Times New Roman"/>
        </w:rPr>
        <w:t xml:space="preserve">Supreme Court </w:t>
      </w:r>
      <w:r w:rsidR="003817DE" w:rsidRPr="006D2720">
        <w:rPr>
          <w:rFonts w:ascii="Times New Roman" w:hAnsi="Times New Roman" w:cs="Times New Roman"/>
        </w:rPr>
        <w:t xml:space="preserve">of Western Australia </w:t>
      </w:r>
      <w:r w:rsidRPr="006D2720">
        <w:rPr>
          <w:rFonts w:ascii="Times New Roman" w:hAnsi="Times New Roman" w:cs="Times New Roman"/>
        </w:rPr>
        <w:t xml:space="preserve">in </w:t>
      </w:r>
      <w:r w:rsidRPr="006D2720">
        <w:rPr>
          <w:rFonts w:ascii="Times New Roman" w:hAnsi="Times New Roman" w:cs="Times New Roman"/>
          <w:i/>
        </w:rPr>
        <w:t>Wilson</w:t>
      </w:r>
      <w:r w:rsidR="002D2A39" w:rsidRPr="006D2720">
        <w:rPr>
          <w:rFonts w:ascii="Times New Roman" w:hAnsi="Times New Roman" w:cs="Times New Roman"/>
          <w:i/>
        </w:rPr>
        <w:t xml:space="preserve"> v Ferguson</w:t>
      </w:r>
      <w:r w:rsidRPr="006D2720">
        <w:rPr>
          <w:rFonts w:ascii="Times New Roman" w:hAnsi="Times New Roman" w:cs="Times New Roman"/>
        </w:rPr>
        <w:t xml:space="preserve"> </w:t>
      </w:r>
      <w:r w:rsidR="0064050C" w:rsidRPr="006D2720">
        <w:rPr>
          <w:rFonts w:ascii="Times New Roman" w:hAnsi="Times New Roman" w:cs="Times New Roman"/>
        </w:rPr>
        <w:t xml:space="preserve">endorsed this </w:t>
      </w:r>
      <w:r w:rsidR="003605C7" w:rsidRPr="006D2720">
        <w:rPr>
          <w:rFonts w:ascii="Times New Roman" w:hAnsi="Times New Roman" w:cs="Times New Roman"/>
        </w:rPr>
        <w:t xml:space="preserve">approach to </w:t>
      </w:r>
      <w:r w:rsidR="0064050C" w:rsidRPr="006D2720">
        <w:rPr>
          <w:rFonts w:ascii="Times New Roman" w:hAnsi="Times New Roman" w:cs="Times New Roman"/>
        </w:rPr>
        <w:t>fashioning of equitable remedies for gross breach of privacy.</w:t>
      </w:r>
      <w:r w:rsidRPr="006D2720">
        <w:rPr>
          <w:rStyle w:val="FootnoteReference"/>
          <w:rFonts w:ascii="Times New Roman" w:hAnsi="Times New Roman" w:cs="Times New Roman"/>
        </w:rPr>
        <w:footnoteReference w:id="401"/>
      </w:r>
      <w:r w:rsidR="0064050C" w:rsidRPr="006D2720">
        <w:rPr>
          <w:rFonts w:ascii="Times New Roman" w:hAnsi="Times New Roman" w:cs="Times New Roman"/>
        </w:rPr>
        <w:t xml:space="preserve"> </w:t>
      </w:r>
    </w:p>
    <w:p w14:paraId="7E5F350A" w14:textId="191FB7DB" w:rsidR="0064050C" w:rsidRPr="006D2720" w:rsidRDefault="00145B3B" w:rsidP="00CA1A69">
      <w:pPr>
        <w:pStyle w:val="Heading3"/>
        <w:rPr>
          <w:rFonts w:ascii="Times New Roman" w:hAnsi="Times New Roman" w:cs="Times New Roman"/>
          <w:bCs w:val="0"/>
          <w:color w:val="auto"/>
        </w:rPr>
      </w:pPr>
      <w:r w:rsidRPr="006D2720">
        <w:rPr>
          <w:rFonts w:ascii="Times New Roman" w:hAnsi="Times New Roman" w:cs="Times New Roman"/>
          <w:color w:val="auto"/>
        </w:rPr>
        <w:t xml:space="preserve">Given that </w:t>
      </w:r>
      <w:r w:rsidRPr="006D2720">
        <w:rPr>
          <w:rFonts w:ascii="Times New Roman" w:hAnsi="Times New Roman" w:cs="Times New Roman"/>
          <w:i/>
          <w:color w:val="auto"/>
        </w:rPr>
        <w:t>Lenah</w:t>
      </w:r>
      <w:r w:rsidRPr="006D2720">
        <w:rPr>
          <w:rFonts w:ascii="Times New Roman" w:hAnsi="Times New Roman" w:cs="Times New Roman"/>
          <w:color w:val="auto"/>
        </w:rPr>
        <w:t xml:space="preserve"> </w:t>
      </w:r>
      <w:r w:rsidRPr="006D2720">
        <w:rPr>
          <w:rFonts w:ascii="Times New Roman" w:hAnsi="Times New Roman" w:cs="Times New Roman"/>
          <w:i/>
          <w:iCs/>
          <w:color w:val="auto"/>
        </w:rPr>
        <w:t xml:space="preserve">Game Meats </w:t>
      </w:r>
      <w:r w:rsidRPr="006D2720">
        <w:rPr>
          <w:rFonts w:ascii="Times New Roman" w:hAnsi="Times New Roman" w:cs="Times New Roman"/>
          <w:color w:val="auto"/>
        </w:rPr>
        <w:t xml:space="preserve">presents an open door to recognising tortious liability for interference with privacy, it </w:t>
      </w:r>
      <w:r w:rsidR="00FB1EC1" w:rsidRPr="006D2720">
        <w:rPr>
          <w:rFonts w:ascii="Times New Roman" w:hAnsi="Times New Roman" w:cs="Times New Roman"/>
          <w:color w:val="auto"/>
        </w:rPr>
        <w:t xml:space="preserve">is unclear </w:t>
      </w:r>
      <w:r w:rsidR="0064050C" w:rsidRPr="006D2720">
        <w:rPr>
          <w:rFonts w:ascii="Times New Roman" w:hAnsi="Times New Roman" w:cs="Times New Roman"/>
          <w:color w:val="auto"/>
        </w:rPr>
        <w:t xml:space="preserve">whether compensatory damages in equity are appropriate for non-tortious harm </w:t>
      </w:r>
      <w:r w:rsidR="006C6C35" w:rsidRPr="006D2720">
        <w:rPr>
          <w:rFonts w:ascii="Times New Roman" w:hAnsi="Times New Roman" w:cs="Times New Roman"/>
          <w:color w:val="auto"/>
        </w:rPr>
        <w:t xml:space="preserve">to dignity </w:t>
      </w:r>
      <w:r w:rsidR="0064050C" w:rsidRPr="006D2720">
        <w:rPr>
          <w:rFonts w:ascii="Times New Roman" w:hAnsi="Times New Roman" w:cs="Times New Roman"/>
          <w:color w:val="auto"/>
        </w:rPr>
        <w:t xml:space="preserve">or distress (the harm recognised as actionable in </w:t>
      </w:r>
      <w:r w:rsidR="0064050C" w:rsidRPr="006D2720">
        <w:rPr>
          <w:rFonts w:ascii="Times New Roman" w:hAnsi="Times New Roman" w:cs="Times New Roman"/>
          <w:i/>
          <w:color w:val="auto"/>
        </w:rPr>
        <w:t>Giller</w:t>
      </w:r>
      <w:r w:rsidR="003605C7" w:rsidRPr="006D2720">
        <w:rPr>
          <w:rFonts w:ascii="Times New Roman" w:hAnsi="Times New Roman" w:cs="Times New Roman"/>
          <w:i/>
          <w:color w:val="auto"/>
        </w:rPr>
        <w:t xml:space="preserve"> v Procopets</w:t>
      </w:r>
      <w:r w:rsidR="0064050C" w:rsidRPr="006D2720">
        <w:rPr>
          <w:rFonts w:ascii="Times New Roman" w:hAnsi="Times New Roman" w:cs="Times New Roman"/>
          <w:color w:val="auto"/>
        </w:rPr>
        <w:t>)</w:t>
      </w:r>
      <w:r w:rsidRPr="006D2720">
        <w:rPr>
          <w:rFonts w:ascii="Times New Roman" w:hAnsi="Times New Roman" w:cs="Times New Roman"/>
          <w:color w:val="auto"/>
        </w:rPr>
        <w:t>.</w:t>
      </w:r>
      <w:bookmarkStart w:id="410" w:name="_Ref91831705"/>
      <w:r w:rsidR="0064050C" w:rsidRPr="006D2720">
        <w:rPr>
          <w:rStyle w:val="FootnoteReference"/>
          <w:rFonts w:ascii="Times New Roman" w:hAnsi="Times New Roman" w:cs="Times New Roman"/>
          <w:color w:val="auto"/>
        </w:rPr>
        <w:footnoteReference w:id="402"/>
      </w:r>
      <w:bookmarkEnd w:id="410"/>
      <w:r w:rsidR="0064050C" w:rsidRPr="006D2720">
        <w:rPr>
          <w:rFonts w:ascii="Times New Roman" w:hAnsi="Times New Roman" w:cs="Times New Roman"/>
          <w:color w:val="auto"/>
        </w:rPr>
        <w:t xml:space="preserve"> </w:t>
      </w:r>
    </w:p>
    <w:p w14:paraId="23778B90" w14:textId="56A2F15F" w:rsidR="0064050C" w:rsidRPr="006D2720" w:rsidRDefault="00FB1EC1" w:rsidP="00CA1A69">
      <w:pPr>
        <w:pStyle w:val="Heading2"/>
        <w:numPr>
          <w:ilvl w:val="0"/>
          <w:numId w:val="0"/>
        </w:numPr>
        <w:ind w:left="578" w:hanging="578"/>
        <w:rPr>
          <w:rFonts w:ascii="Times New Roman" w:hAnsi="Times New Roman" w:cs="Times New Roman"/>
          <w:i/>
          <w:iCs/>
        </w:rPr>
      </w:pPr>
      <w:bookmarkStart w:id="411" w:name="_Toc91832025"/>
      <w:bookmarkStart w:id="412" w:name="_Toc130540460"/>
      <w:r w:rsidRPr="006D2720">
        <w:rPr>
          <w:rFonts w:ascii="Times New Roman" w:hAnsi="Times New Roman" w:cs="Times New Roman"/>
          <w:i/>
          <w:iCs/>
        </w:rPr>
        <w:t xml:space="preserve">Recognition of privacy in </w:t>
      </w:r>
      <w:r w:rsidR="00C55C55" w:rsidRPr="006D2720">
        <w:rPr>
          <w:rFonts w:ascii="Times New Roman" w:hAnsi="Times New Roman" w:cs="Times New Roman"/>
          <w:i/>
          <w:iCs/>
        </w:rPr>
        <w:t xml:space="preserve">constitutional </w:t>
      </w:r>
      <w:r w:rsidRPr="006D2720">
        <w:rPr>
          <w:rFonts w:ascii="Times New Roman" w:hAnsi="Times New Roman" w:cs="Times New Roman"/>
          <w:i/>
          <w:iCs/>
        </w:rPr>
        <w:t>settings</w:t>
      </w:r>
      <w:bookmarkEnd w:id="411"/>
      <w:bookmarkEnd w:id="412"/>
    </w:p>
    <w:p w14:paraId="0E8A646A" w14:textId="0AB41138" w:rsidR="00EE6E03" w:rsidRPr="006D2720" w:rsidRDefault="008F6F0B" w:rsidP="007809D3">
      <w:pPr>
        <w:pStyle w:val="Heading3"/>
        <w:rPr>
          <w:rFonts w:ascii="Times New Roman" w:hAnsi="Times New Roman" w:cs="Times New Roman"/>
        </w:rPr>
      </w:pPr>
      <w:r w:rsidRPr="006D2720">
        <w:rPr>
          <w:rFonts w:ascii="Times New Roman" w:hAnsi="Times New Roman" w:cs="Times New Roman"/>
        </w:rPr>
        <w:t xml:space="preserve">Under the </w:t>
      </w:r>
      <w:r w:rsidRPr="006D2720">
        <w:rPr>
          <w:rFonts w:ascii="Times New Roman" w:hAnsi="Times New Roman" w:cs="Times New Roman"/>
          <w:i/>
        </w:rPr>
        <w:t>Commonwealth Constitution</w:t>
      </w:r>
      <w:r w:rsidRPr="006D2720">
        <w:rPr>
          <w:rFonts w:ascii="Times New Roman" w:hAnsi="Times New Roman" w:cs="Times New Roman"/>
          <w:iCs/>
        </w:rPr>
        <w:t xml:space="preserve">, there is an implied right of freedom of political communication. </w:t>
      </w:r>
      <w:r w:rsidR="009E63EE" w:rsidRPr="006D2720">
        <w:rPr>
          <w:rFonts w:ascii="Times New Roman" w:hAnsi="Times New Roman" w:cs="Times New Roman"/>
          <w:iCs/>
        </w:rPr>
        <w:t>If l</w:t>
      </w:r>
      <w:r w:rsidR="00CC7804" w:rsidRPr="006D2720">
        <w:rPr>
          <w:rFonts w:ascii="Times New Roman" w:hAnsi="Times New Roman" w:cs="Times New Roman"/>
          <w:iCs/>
        </w:rPr>
        <w:t xml:space="preserve">egislation </w:t>
      </w:r>
      <w:r w:rsidR="00AB6F36" w:rsidRPr="006D2720">
        <w:rPr>
          <w:rFonts w:ascii="Times New Roman" w:hAnsi="Times New Roman" w:cs="Times New Roman"/>
          <w:iCs/>
        </w:rPr>
        <w:t>burdens</w:t>
      </w:r>
      <w:r w:rsidR="00CC7804" w:rsidRPr="006D2720">
        <w:rPr>
          <w:rFonts w:ascii="Times New Roman" w:hAnsi="Times New Roman" w:cs="Times New Roman"/>
          <w:iCs/>
        </w:rPr>
        <w:t xml:space="preserve"> this right</w:t>
      </w:r>
      <w:r w:rsidR="009E63EE" w:rsidRPr="006D2720">
        <w:rPr>
          <w:rFonts w:ascii="Times New Roman" w:hAnsi="Times New Roman" w:cs="Times New Roman"/>
          <w:iCs/>
        </w:rPr>
        <w:t xml:space="preserve">, </w:t>
      </w:r>
      <w:r w:rsidR="00847435" w:rsidRPr="006D2720">
        <w:rPr>
          <w:rFonts w:ascii="Times New Roman" w:hAnsi="Times New Roman" w:cs="Times New Roman"/>
          <w:iCs/>
        </w:rPr>
        <w:t>one step of the test of whether it</w:t>
      </w:r>
      <w:r w:rsidR="006C53A9" w:rsidRPr="006D2720">
        <w:rPr>
          <w:rFonts w:ascii="Times New Roman" w:hAnsi="Times New Roman" w:cs="Times New Roman"/>
          <w:iCs/>
        </w:rPr>
        <w:t xml:space="preserve"> is</w:t>
      </w:r>
      <w:r w:rsidR="00847435" w:rsidRPr="006D2720">
        <w:rPr>
          <w:rFonts w:ascii="Times New Roman" w:hAnsi="Times New Roman" w:cs="Times New Roman"/>
          <w:iCs/>
        </w:rPr>
        <w:t xml:space="preserve"> </w:t>
      </w:r>
      <w:r w:rsidR="00195B78" w:rsidRPr="006D2720">
        <w:rPr>
          <w:rFonts w:ascii="Times New Roman" w:hAnsi="Times New Roman" w:cs="Times New Roman"/>
          <w:iCs/>
        </w:rPr>
        <w:t>a</w:t>
      </w:r>
      <w:r w:rsidR="00847435" w:rsidRPr="006D2720">
        <w:rPr>
          <w:rFonts w:ascii="Times New Roman" w:hAnsi="Times New Roman" w:cs="Times New Roman"/>
          <w:iCs/>
        </w:rPr>
        <w:t xml:space="preserve"> </w:t>
      </w:r>
      <w:r w:rsidR="009E63EE" w:rsidRPr="006D2720">
        <w:rPr>
          <w:rFonts w:ascii="Times New Roman" w:hAnsi="Times New Roman" w:cs="Times New Roman"/>
          <w:i/>
        </w:rPr>
        <w:t>justifi</w:t>
      </w:r>
      <w:r w:rsidR="00195B78" w:rsidRPr="006D2720">
        <w:rPr>
          <w:rFonts w:ascii="Times New Roman" w:hAnsi="Times New Roman" w:cs="Times New Roman"/>
          <w:i/>
        </w:rPr>
        <w:t>able</w:t>
      </w:r>
      <w:r w:rsidR="00195B78" w:rsidRPr="006D2720">
        <w:rPr>
          <w:rFonts w:ascii="Times New Roman" w:hAnsi="Times New Roman" w:cs="Times New Roman"/>
          <w:iCs/>
        </w:rPr>
        <w:t xml:space="preserve"> </w:t>
      </w:r>
      <w:r w:rsidR="004B166A" w:rsidRPr="006D2720">
        <w:rPr>
          <w:rFonts w:ascii="Times New Roman" w:hAnsi="Times New Roman" w:cs="Times New Roman"/>
          <w:iCs/>
        </w:rPr>
        <w:t>burden</w:t>
      </w:r>
      <w:r w:rsidR="00D318B7" w:rsidRPr="006D2720">
        <w:rPr>
          <w:rFonts w:ascii="Times New Roman" w:hAnsi="Times New Roman" w:cs="Times New Roman"/>
          <w:iCs/>
        </w:rPr>
        <w:t xml:space="preserve"> </w:t>
      </w:r>
      <w:r w:rsidR="004F1642" w:rsidRPr="006D2720">
        <w:rPr>
          <w:rFonts w:ascii="Times New Roman" w:hAnsi="Times New Roman" w:cs="Times New Roman"/>
          <w:iCs/>
        </w:rPr>
        <w:t xml:space="preserve">is </w:t>
      </w:r>
      <w:r w:rsidR="00903D5E" w:rsidRPr="006D2720">
        <w:rPr>
          <w:rFonts w:ascii="Times New Roman" w:hAnsi="Times New Roman" w:cs="Times New Roman"/>
          <w:iCs/>
        </w:rPr>
        <w:t xml:space="preserve">whether </w:t>
      </w:r>
      <w:r w:rsidR="009E63EE" w:rsidRPr="006D2720">
        <w:rPr>
          <w:rFonts w:ascii="Times New Roman" w:hAnsi="Times New Roman" w:cs="Times New Roman"/>
          <w:iCs/>
        </w:rPr>
        <w:t xml:space="preserve">its </w:t>
      </w:r>
      <w:r w:rsidR="00C811E4" w:rsidRPr="006D2720">
        <w:rPr>
          <w:rFonts w:ascii="Times New Roman" w:hAnsi="Times New Roman" w:cs="Times New Roman"/>
          <w:iCs/>
        </w:rPr>
        <w:t xml:space="preserve">legislative </w:t>
      </w:r>
      <w:r w:rsidR="004522D3" w:rsidRPr="006D2720">
        <w:rPr>
          <w:rFonts w:ascii="Times New Roman" w:hAnsi="Times New Roman" w:cs="Times New Roman"/>
          <w:iCs/>
        </w:rPr>
        <w:t xml:space="preserve">objective </w:t>
      </w:r>
      <w:r w:rsidR="0075472D" w:rsidRPr="006D2720">
        <w:rPr>
          <w:rFonts w:ascii="Times New Roman" w:hAnsi="Times New Roman" w:cs="Times New Roman"/>
          <w:iCs/>
        </w:rPr>
        <w:t>is</w:t>
      </w:r>
      <w:r w:rsidR="00691B03" w:rsidRPr="006D2720">
        <w:rPr>
          <w:rFonts w:ascii="Times New Roman" w:hAnsi="Times New Roman" w:cs="Times New Roman"/>
          <w:iCs/>
        </w:rPr>
        <w:t xml:space="preserve"> ‘legitimate’—</w:t>
      </w:r>
      <w:r w:rsidR="00F310F1" w:rsidRPr="006D2720">
        <w:rPr>
          <w:rFonts w:ascii="Times New Roman" w:hAnsi="Times New Roman" w:cs="Times New Roman"/>
          <w:iCs/>
        </w:rPr>
        <w:t>whether it is</w:t>
      </w:r>
      <w:r w:rsidR="0075472D" w:rsidRPr="006D2720">
        <w:rPr>
          <w:rFonts w:ascii="Times New Roman" w:hAnsi="Times New Roman" w:cs="Times New Roman"/>
          <w:iCs/>
        </w:rPr>
        <w:t xml:space="preserve"> compatible with</w:t>
      </w:r>
      <w:r w:rsidR="009B0D1D" w:rsidRPr="006D2720">
        <w:rPr>
          <w:rFonts w:ascii="Times New Roman" w:hAnsi="Times New Roman" w:cs="Times New Roman"/>
          <w:iCs/>
        </w:rPr>
        <w:t xml:space="preserve"> </w:t>
      </w:r>
      <w:r w:rsidR="00691B03" w:rsidRPr="006D2720">
        <w:rPr>
          <w:rFonts w:ascii="Times New Roman" w:hAnsi="Times New Roman" w:cs="Times New Roman"/>
          <w:iCs/>
        </w:rPr>
        <w:t xml:space="preserve">maintaining </w:t>
      </w:r>
      <w:r w:rsidR="001C1330" w:rsidRPr="006D2720">
        <w:rPr>
          <w:rFonts w:ascii="Times New Roman" w:hAnsi="Times New Roman" w:cs="Times New Roman"/>
          <w:iCs/>
        </w:rPr>
        <w:t>the</w:t>
      </w:r>
      <w:r w:rsidR="00691B03" w:rsidRPr="006D2720">
        <w:rPr>
          <w:rFonts w:ascii="Times New Roman" w:hAnsi="Times New Roman" w:cs="Times New Roman"/>
          <w:iCs/>
        </w:rPr>
        <w:t xml:space="preserve"> system of representative government</w:t>
      </w:r>
      <w:r w:rsidR="00C70C59" w:rsidRPr="006D2720">
        <w:rPr>
          <w:rFonts w:ascii="Times New Roman" w:hAnsi="Times New Roman" w:cs="Times New Roman"/>
          <w:iCs/>
        </w:rPr>
        <w:t xml:space="preserve"> as established by the </w:t>
      </w:r>
      <w:r w:rsidR="00C70C59" w:rsidRPr="006D2720">
        <w:rPr>
          <w:rFonts w:ascii="Times New Roman" w:hAnsi="Times New Roman" w:cs="Times New Roman"/>
          <w:i/>
        </w:rPr>
        <w:t>Constitution</w:t>
      </w:r>
      <w:r w:rsidR="00C70C59" w:rsidRPr="006D2720">
        <w:rPr>
          <w:rFonts w:ascii="Times New Roman" w:hAnsi="Times New Roman" w:cs="Times New Roman"/>
          <w:iCs/>
        </w:rPr>
        <w:t>.</w:t>
      </w:r>
      <w:r w:rsidR="00B6562D" w:rsidRPr="006D2720">
        <w:rPr>
          <w:rFonts w:ascii="Times New Roman" w:hAnsi="Times New Roman" w:cs="Times New Roman"/>
        </w:rPr>
        <w:t xml:space="preserve"> </w:t>
      </w:r>
      <w:r w:rsidR="00CC1E18" w:rsidRPr="006D2720">
        <w:rPr>
          <w:rFonts w:ascii="Times New Roman" w:hAnsi="Times New Roman" w:cs="Times New Roman"/>
        </w:rPr>
        <w:t>If yes</w:t>
      </w:r>
      <w:r w:rsidR="00CD6074" w:rsidRPr="006D2720">
        <w:rPr>
          <w:rFonts w:ascii="Times New Roman" w:hAnsi="Times New Roman" w:cs="Times New Roman"/>
        </w:rPr>
        <w:t>, t</w:t>
      </w:r>
      <w:r w:rsidR="00E8077C" w:rsidRPr="006D2720">
        <w:rPr>
          <w:rFonts w:ascii="Times New Roman" w:hAnsi="Times New Roman" w:cs="Times New Roman"/>
        </w:rPr>
        <w:t>he</w:t>
      </w:r>
      <w:r w:rsidR="00BF435E" w:rsidRPr="006D2720">
        <w:rPr>
          <w:rFonts w:ascii="Times New Roman" w:hAnsi="Times New Roman" w:cs="Times New Roman"/>
        </w:rPr>
        <w:t xml:space="preserve"> means</w:t>
      </w:r>
      <w:r w:rsidR="00491AC2" w:rsidRPr="006D2720">
        <w:rPr>
          <w:rFonts w:ascii="Times New Roman" w:hAnsi="Times New Roman" w:cs="Times New Roman"/>
        </w:rPr>
        <w:t xml:space="preserve"> used</w:t>
      </w:r>
      <w:r w:rsidR="00E8077C" w:rsidRPr="006D2720">
        <w:rPr>
          <w:rFonts w:ascii="Times New Roman" w:hAnsi="Times New Roman" w:cs="Times New Roman"/>
        </w:rPr>
        <w:t xml:space="preserve"> must </w:t>
      </w:r>
      <w:r w:rsidR="0027364D" w:rsidRPr="006D2720">
        <w:rPr>
          <w:rFonts w:ascii="Times New Roman" w:hAnsi="Times New Roman" w:cs="Times New Roman"/>
        </w:rPr>
        <w:t>still</w:t>
      </w:r>
      <w:r w:rsidR="00E8077C" w:rsidRPr="006D2720">
        <w:rPr>
          <w:rFonts w:ascii="Times New Roman" w:hAnsi="Times New Roman" w:cs="Times New Roman"/>
        </w:rPr>
        <w:t xml:space="preserve"> </w:t>
      </w:r>
      <w:r w:rsidR="00BF435E" w:rsidRPr="006D2720">
        <w:rPr>
          <w:rFonts w:ascii="Times New Roman" w:hAnsi="Times New Roman" w:cs="Times New Roman"/>
        </w:rPr>
        <w:t xml:space="preserve">be ‘appropriate and adapted’ to serving </w:t>
      </w:r>
      <w:r w:rsidR="005237B6" w:rsidRPr="006D2720">
        <w:rPr>
          <w:rFonts w:ascii="Times New Roman" w:hAnsi="Times New Roman" w:cs="Times New Roman"/>
        </w:rPr>
        <w:t>the</w:t>
      </w:r>
      <w:r w:rsidR="00BF435E" w:rsidRPr="006D2720">
        <w:rPr>
          <w:rFonts w:ascii="Times New Roman" w:hAnsi="Times New Roman" w:cs="Times New Roman"/>
        </w:rPr>
        <w:t xml:space="preserve"> end.</w:t>
      </w:r>
      <w:r w:rsidR="00B860FF" w:rsidRPr="006D2720">
        <w:rPr>
          <w:rFonts w:ascii="Times New Roman" w:hAnsi="Times New Roman" w:cs="Times New Roman"/>
        </w:rPr>
        <w:t xml:space="preserve"> This latter question involves, in part,</w:t>
      </w:r>
      <w:r w:rsidR="001161D9" w:rsidRPr="006D2720">
        <w:rPr>
          <w:rFonts w:ascii="Times New Roman" w:hAnsi="Times New Roman" w:cs="Times New Roman"/>
        </w:rPr>
        <w:t xml:space="preserve"> </w:t>
      </w:r>
      <w:r w:rsidR="00565203" w:rsidRPr="006D2720">
        <w:rPr>
          <w:rFonts w:ascii="Times New Roman" w:hAnsi="Times New Roman" w:cs="Times New Roman"/>
        </w:rPr>
        <w:t>assessing</w:t>
      </w:r>
      <w:r w:rsidR="00160BD7" w:rsidRPr="006D2720">
        <w:rPr>
          <w:rFonts w:ascii="Times New Roman" w:hAnsi="Times New Roman" w:cs="Times New Roman"/>
        </w:rPr>
        <w:t xml:space="preserve"> whether </w:t>
      </w:r>
      <w:r w:rsidR="004023B5" w:rsidRPr="006D2720">
        <w:rPr>
          <w:rFonts w:ascii="Times New Roman" w:hAnsi="Times New Roman" w:cs="Times New Roman"/>
        </w:rPr>
        <w:t xml:space="preserve">the importance of the purpose </w:t>
      </w:r>
      <w:r w:rsidR="00160BD7" w:rsidRPr="006D2720">
        <w:rPr>
          <w:rFonts w:ascii="Times New Roman" w:hAnsi="Times New Roman" w:cs="Times New Roman"/>
        </w:rPr>
        <w:t xml:space="preserve">is proportionate to </w:t>
      </w:r>
      <w:r w:rsidR="004023B5" w:rsidRPr="006D2720">
        <w:rPr>
          <w:rFonts w:ascii="Times New Roman" w:hAnsi="Times New Roman" w:cs="Times New Roman"/>
        </w:rPr>
        <w:t>the extent of the restriction.</w:t>
      </w:r>
      <w:r w:rsidR="0074774E" w:rsidRPr="006D2720">
        <w:rPr>
          <w:rStyle w:val="FootnoteReference"/>
          <w:rFonts w:ascii="Times New Roman" w:hAnsi="Times New Roman" w:cs="Times New Roman"/>
        </w:rPr>
        <w:footnoteReference w:id="403"/>
      </w:r>
    </w:p>
    <w:p w14:paraId="334F2C04" w14:textId="39053A08" w:rsidR="0064050C" w:rsidRPr="006D2720" w:rsidRDefault="00AB6F36" w:rsidP="0066337D">
      <w:pPr>
        <w:pStyle w:val="Heading3"/>
        <w:rPr>
          <w:rFonts w:ascii="Times New Roman" w:hAnsi="Times New Roman" w:cs="Times New Roman"/>
        </w:rPr>
      </w:pPr>
      <w:r w:rsidRPr="006D2720">
        <w:rPr>
          <w:rFonts w:ascii="Times New Roman" w:hAnsi="Times New Roman" w:cs="Times New Roman"/>
        </w:rPr>
        <w:t>The High Court recognised t</w:t>
      </w:r>
      <w:r w:rsidR="00FB1EC1" w:rsidRPr="006D2720">
        <w:rPr>
          <w:rFonts w:ascii="Times New Roman" w:hAnsi="Times New Roman" w:cs="Times New Roman"/>
        </w:rPr>
        <w:t>he protection of p</w:t>
      </w:r>
      <w:r w:rsidR="0064050C" w:rsidRPr="006D2720">
        <w:rPr>
          <w:rFonts w:ascii="Times New Roman" w:hAnsi="Times New Roman" w:cs="Times New Roman"/>
        </w:rPr>
        <w:t xml:space="preserve">rivacy as </w:t>
      </w:r>
      <w:r w:rsidR="0003723A" w:rsidRPr="006D2720">
        <w:rPr>
          <w:rFonts w:ascii="Times New Roman" w:hAnsi="Times New Roman" w:cs="Times New Roman"/>
        </w:rPr>
        <w:t>a</w:t>
      </w:r>
      <w:r w:rsidR="00FB1EC1" w:rsidRPr="006D2720">
        <w:rPr>
          <w:rFonts w:ascii="Times New Roman" w:hAnsi="Times New Roman" w:cs="Times New Roman"/>
        </w:rPr>
        <w:t xml:space="preserve"> legitimate objective</w:t>
      </w:r>
      <w:r w:rsidR="0064050C" w:rsidRPr="006D2720">
        <w:rPr>
          <w:rFonts w:ascii="Times New Roman" w:hAnsi="Times New Roman" w:cs="Times New Roman"/>
        </w:rPr>
        <w:t xml:space="preserve"> </w:t>
      </w:r>
      <w:r w:rsidR="00EE6E03" w:rsidRPr="006D2720">
        <w:rPr>
          <w:rFonts w:ascii="Times New Roman" w:hAnsi="Times New Roman" w:cs="Times New Roman"/>
        </w:rPr>
        <w:t>in a case</w:t>
      </w:r>
      <w:r w:rsidR="0064050C" w:rsidRPr="006D2720">
        <w:rPr>
          <w:rFonts w:ascii="Times New Roman" w:hAnsi="Times New Roman" w:cs="Times New Roman"/>
        </w:rPr>
        <w:t xml:space="preserve"> involving </w:t>
      </w:r>
      <w:r w:rsidR="00060EC5" w:rsidRPr="006D2720">
        <w:rPr>
          <w:rFonts w:ascii="Times New Roman" w:hAnsi="Times New Roman" w:cs="Times New Roman"/>
        </w:rPr>
        <w:t>legislation that</w:t>
      </w:r>
      <w:r w:rsidR="0064050C" w:rsidRPr="006D2720">
        <w:rPr>
          <w:rFonts w:ascii="Times New Roman" w:hAnsi="Times New Roman" w:cs="Times New Roman"/>
        </w:rPr>
        <w:t xml:space="preserve"> </w:t>
      </w:r>
      <w:r w:rsidR="00060EC5" w:rsidRPr="006D2720">
        <w:rPr>
          <w:rFonts w:ascii="Times New Roman" w:hAnsi="Times New Roman" w:cs="Times New Roman"/>
        </w:rPr>
        <w:t xml:space="preserve">limited </w:t>
      </w:r>
      <w:r w:rsidR="0064050C" w:rsidRPr="006D2720">
        <w:rPr>
          <w:rFonts w:ascii="Times New Roman" w:hAnsi="Times New Roman" w:cs="Times New Roman"/>
        </w:rPr>
        <w:t>the freedom of individuals to protest outside abortion clinics</w:t>
      </w:r>
      <w:r w:rsidR="00060EC5" w:rsidRPr="006D2720">
        <w:rPr>
          <w:rFonts w:ascii="Times New Roman" w:hAnsi="Times New Roman" w:cs="Times New Roman"/>
        </w:rPr>
        <w:t>.</w:t>
      </w:r>
      <w:r w:rsidR="0064050C" w:rsidRPr="006D2720">
        <w:rPr>
          <w:rStyle w:val="FootnoteReference"/>
          <w:rFonts w:ascii="Times New Roman" w:hAnsi="Times New Roman" w:cs="Times New Roman"/>
        </w:rPr>
        <w:footnoteReference w:id="404"/>
      </w:r>
      <w:r w:rsidR="0064050C" w:rsidRPr="006D2720">
        <w:rPr>
          <w:rFonts w:ascii="Times New Roman" w:hAnsi="Times New Roman" w:cs="Times New Roman"/>
        </w:rPr>
        <w:t xml:space="preserve"> </w:t>
      </w:r>
      <w:r w:rsidR="00D176D4" w:rsidRPr="006D2720">
        <w:rPr>
          <w:rFonts w:ascii="Times New Roman" w:hAnsi="Times New Roman" w:cs="Times New Roman"/>
        </w:rPr>
        <w:t xml:space="preserve">The case </w:t>
      </w:r>
      <w:r w:rsidR="00CE5FDF" w:rsidRPr="006D2720">
        <w:rPr>
          <w:rFonts w:ascii="Times New Roman" w:hAnsi="Times New Roman" w:cs="Times New Roman"/>
        </w:rPr>
        <w:t>incorporated an appeal from the Magistrates</w:t>
      </w:r>
      <w:r w:rsidR="00026BE2" w:rsidRPr="006D2720">
        <w:rPr>
          <w:rFonts w:ascii="Times New Roman" w:hAnsi="Times New Roman" w:cs="Times New Roman"/>
        </w:rPr>
        <w:t>’</w:t>
      </w:r>
      <w:r w:rsidR="00CE5FDF" w:rsidRPr="006D2720">
        <w:rPr>
          <w:rFonts w:ascii="Times New Roman" w:hAnsi="Times New Roman" w:cs="Times New Roman"/>
        </w:rPr>
        <w:t xml:space="preserve"> Court</w:t>
      </w:r>
      <w:r w:rsidR="00026BE2" w:rsidRPr="006D2720">
        <w:rPr>
          <w:rFonts w:ascii="Times New Roman" w:hAnsi="Times New Roman" w:cs="Times New Roman"/>
        </w:rPr>
        <w:t xml:space="preserve"> of Tasmania</w:t>
      </w:r>
      <w:r w:rsidR="00A80042" w:rsidRPr="006D2720">
        <w:rPr>
          <w:rFonts w:ascii="Times New Roman" w:hAnsi="Times New Roman" w:cs="Times New Roman"/>
        </w:rPr>
        <w:t>,</w:t>
      </w:r>
      <w:r w:rsidR="0064050C" w:rsidRPr="006D2720">
        <w:rPr>
          <w:rStyle w:val="FootnoteReference"/>
          <w:rFonts w:ascii="Times New Roman" w:hAnsi="Times New Roman" w:cs="Times New Roman"/>
        </w:rPr>
        <w:footnoteReference w:id="405"/>
      </w:r>
      <w:r w:rsidR="00A80042" w:rsidRPr="006D2720">
        <w:rPr>
          <w:rFonts w:ascii="Times New Roman" w:hAnsi="Times New Roman" w:cs="Times New Roman"/>
        </w:rPr>
        <w:t xml:space="preserve"> and the Tasmanian Solicitor-General submitted that the prohibition </w:t>
      </w:r>
      <w:r w:rsidR="008C666A" w:rsidRPr="006D2720">
        <w:rPr>
          <w:rFonts w:ascii="Times New Roman" w:hAnsi="Times New Roman" w:cs="Times New Roman"/>
        </w:rPr>
        <w:t>on</w:t>
      </w:r>
      <w:r w:rsidR="00A80042" w:rsidRPr="006D2720">
        <w:rPr>
          <w:rFonts w:ascii="Times New Roman" w:hAnsi="Times New Roman" w:cs="Times New Roman"/>
        </w:rPr>
        <w:t xml:space="preserve"> protests </w:t>
      </w:r>
      <w:r w:rsidR="00174FB5" w:rsidRPr="006D2720">
        <w:rPr>
          <w:rFonts w:ascii="Times New Roman" w:hAnsi="Times New Roman" w:cs="Times New Roman"/>
        </w:rPr>
        <w:t>‘</w:t>
      </w:r>
      <w:r w:rsidR="00A80042" w:rsidRPr="006D2720">
        <w:rPr>
          <w:rFonts w:ascii="Times New Roman" w:hAnsi="Times New Roman" w:cs="Times New Roman"/>
        </w:rPr>
        <w:t>can readily be see</w:t>
      </w:r>
      <w:r w:rsidR="009D1E48" w:rsidRPr="006D2720">
        <w:rPr>
          <w:rFonts w:ascii="Times New Roman" w:hAnsi="Times New Roman" w:cs="Times New Roman"/>
        </w:rPr>
        <w:t>n</w:t>
      </w:r>
      <w:r w:rsidR="00A80042" w:rsidRPr="006D2720">
        <w:rPr>
          <w:rFonts w:ascii="Times New Roman" w:hAnsi="Times New Roman" w:cs="Times New Roman"/>
        </w:rPr>
        <w:t xml:space="preserve"> to serve the purpose of protecting the safety, wellbeing, privacy and dignity of persons accessing premises where terminations are provided.</w:t>
      </w:r>
      <w:r w:rsidR="00174FB5" w:rsidRPr="006D2720">
        <w:rPr>
          <w:rFonts w:ascii="Times New Roman" w:hAnsi="Times New Roman" w:cs="Times New Roman"/>
        </w:rPr>
        <w:t>’</w:t>
      </w:r>
      <w:r w:rsidR="00A80042" w:rsidRPr="006D2720">
        <w:rPr>
          <w:rStyle w:val="FootnoteReference"/>
          <w:rFonts w:ascii="Times New Roman" w:hAnsi="Times New Roman" w:cs="Times New Roman"/>
        </w:rPr>
        <w:footnoteReference w:id="406"/>
      </w:r>
      <w:r w:rsidR="00174FB5" w:rsidRPr="006D2720">
        <w:rPr>
          <w:rFonts w:ascii="Times New Roman" w:hAnsi="Times New Roman" w:cs="Times New Roman"/>
        </w:rPr>
        <w:t xml:space="preserve"> The </w:t>
      </w:r>
      <w:r w:rsidR="0064050C" w:rsidRPr="006D2720">
        <w:rPr>
          <w:rFonts w:ascii="Times New Roman" w:hAnsi="Times New Roman" w:cs="Times New Roman"/>
        </w:rPr>
        <w:t xml:space="preserve">High Court of Australia accepted </w:t>
      </w:r>
      <w:r w:rsidR="00174FB5" w:rsidRPr="006D2720">
        <w:rPr>
          <w:rFonts w:ascii="Times New Roman" w:hAnsi="Times New Roman" w:cs="Times New Roman"/>
        </w:rPr>
        <w:t>these submissions.</w:t>
      </w:r>
    </w:p>
    <w:p w14:paraId="51A8D7BC" w14:textId="18901096" w:rsidR="003239C8" w:rsidRPr="006D2720" w:rsidRDefault="0064050C" w:rsidP="00CA1A69">
      <w:pPr>
        <w:pStyle w:val="Heading3"/>
        <w:rPr>
          <w:rFonts w:ascii="Times New Roman" w:hAnsi="Times New Roman" w:cs="Times New Roman"/>
        </w:rPr>
      </w:pPr>
      <w:r w:rsidRPr="006D2720">
        <w:rPr>
          <w:rFonts w:ascii="Times New Roman" w:hAnsi="Times New Roman" w:cs="Times New Roman"/>
        </w:rPr>
        <w:t xml:space="preserve">In </w:t>
      </w:r>
      <w:r w:rsidR="00A9369F" w:rsidRPr="006D2720">
        <w:rPr>
          <w:rFonts w:ascii="Times New Roman" w:hAnsi="Times New Roman" w:cs="Times New Roman"/>
        </w:rPr>
        <w:t xml:space="preserve">the </w:t>
      </w:r>
      <w:r w:rsidR="0059735A" w:rsidRPr="006D2720">
        <w:rPr>
          <w:rFonts w:ascii="Times New Roman" w:hAnsi="Times New Roman" w:cs="Times New Roman"/>
        </w:rPr>
        <w:t>judgment</w:t>
      </w:r>
      <w:r w:rsidRPr="006D2720">
        <w:rPr>
          <w:rFonts w:ascii="Times New Roman" w:hAnsi="Times New Roman" w:cs="Times New Roman"/>
        </w:rPr>
        <w:t xml:space="preserve">, the majority of the Court reasoned that a justified and proportionate limitation on the implied freedom of political communication could be found in a fundamental right to privacy, cognisable in Australian common law. </w:t>
      </w:r>
      <w:r w:rsidR="00857CA1" w:rsidRPr="006D2720">
        <w:rPr>
          <w:rFonts w:ascii="Times New Roman" w:hAnsi="Times New Roman" w:cs="Times New Roman"/>
        </w:rPr>
        <w:t xml:space="preserve">It was through reference to this </w:t>
      </w:r>
      <w:r w:rsidR="00CE5FDF" w:rsidRPr="006D2720">
        <w:rPr>
          <w:rFonts w:ascii="Times New Roman" w:hAnsi="Times New Roman" w:cs="Times New Roman"/>
        </w:rPr>
        <w:t xml:space="preserve">right to </w:t>
      </w:r>
      <w:r w:rsidRPr="006D2720">
        <w:rPr>
          <w:rFonts w:ascii="Times New Roman" w:hAnsi="Times New Roman" w:cs="Times New Roman"/>
        </w:rPr>
        <w:t>privacy</w:t>
      </w:r>
      <w:r w:rsidR="00857CA1" w:rsidRPr="006D2720">
        <w:rPr>
          <w:rFonts w:ascii="Times New Roman" w:hAnsi="Times New Roman" w:cs="Times New Roman"/>
        </w:rPr>
        <w:t xml:space="preserve"> that the legislation justified </w:t>
      </w:r>
      <w:r w:rsidR="00CD44A3" w:rsidRPr="006D2720">
        <w:rPr>
          <w:rFonts w:ascii="Times New Roman" w:hAnsi="Times New Roman" w:cs="Times New Roman"/>
        </w:rPr>
        <w:t>protecting</w:t>
      </w:r>
      <w:r w:rsidR="00857CA1" w:rsidRPr="006D2720">
        <w:rPr>
          <w:rFonts w:ascii="Times New Roman" w:hAnsi="Times New Roman" w:cs="Times New Roman"/>
        </w:rPr>
        <w:t xml:space="preserve"> </w:t>
      </w:r>
      <w:r w:rsidRPr="006D2720">
        <w:rPr>
          <w:rFonts w:ascii="Times New Roman" w:hAnsi="Times New Roman" w:cs="Times New Roman"/>
        </w:rPr>
        <w:t xml:space="preserve">healthcare autonomy and security </w:t>
      </w:r>
      <w:r w:rsidR="00CD44A3" w:rsidRPr="006D2720">
        <w:rPr>
          <w:rFonts w:ascii="Times New Roman" w:hAnsi="Times New Roman" w:cs="Times New Roman"/>
        </w:rPr>
        <w:t xml:space="preserve">by creating </w:t>
      </w:r>
      <w:r w:rsidRPr="006D2720">
        <w:rPr>
          <w:rFonts w:ascii="Times New Roman" w:hAnsi="Times New Roman" w:cs="Times New Roman"/>
        </w:rPr>
        <w:t xml:space="preserve">a protected </w:t>
      </w:r>
      <w:r w:rsidR="00CE5FDF" w:rsidRPr="006D2720">
        <w:rPr>
          <w:rFonts w:ascii="Times New Roman" w:hAnsi="Times New Roman" w:cs="Times New Roman"/>
        </w:rPr>
        <w:t xml:space="preserve">space </w:t>
      </w:r>
      <w:r w:rsidR="0042089A" w:rsidRPr="006D2720">
        <w:rPr>
          <w:rFonts w:ascii="Times New Roman" w:hAnsi="Times New Roman" w:cs="Times New Roman"/>
        </w:rPr>
        <w:t>where</w:t>
      </w:r>
      <w:r w:rsidRPr="006D2720">
        <w:rPr>
          <w:rFonts w:ascii="Times New Roman" w:hAnsi="Times New Roman" w:cs="Times New Roman"/>
        </w:rPr>
        <w:t xml:space="preserve"> protests against certain healthcare decisions were </w:t>
      </w:r>
      <w:r w:rsidR="005464E5" w:rsidRPr="006D2720">
        <w:rPr>
          <w:rFonts w:ascii="Times New Roman" w:hAnsi="Times New Roman" w:cs="Times New Roman"/>
        </w:rPr>
        <w:t>prohibited</w:t>
      </w:r>
      <w:r w:rsidRPr="006D2720">
        <w:rPr>
          <w:rFonts w:ascii="Times New Roman" w:hAnsi="Times New Roman" w:cs="Times New Roman"/>
        </w:rPr>
        <w:t>.</w:t>
      </w:r>
      <w:r w:rsidR="00857CA1" w:rsidRPr="006D2720">
        <w:rPr>
          <w:rFonts w:ascii="Times New Roman" w:hAnsi="Times New Roman" w:cs="Times New Roman"/>
        </w:rPr>
        <w:t xml:space="preserve"> The legislative purpose of protecting an individual’s right to privacy, informed as it was by the value of individual dignity, was therefore compatible with the maintenance of the constitutionally prescribed system of representative and responsible government.</w:t>
      </w:r>
      <w:r w:rsidR="00857CA1" w:rsidRPr="006D2720">
        <w:rPr>
          <w:rStyle w:val="FootnoteReference"/>
          <w:rFonts w:ascii="Times New Roman" w:hAnsi="Times New Roman" w:cs="Times New Roman"/>
        </w:rPr>
        <w:footnoteReference w:id="407"/>
      </w:r>
      <w:bookmarkStart w:id="413" w:name="_Toc91536817"/>
      <w:bookmarkEnd w:id="413"/>
    </w:p>
    <w:p w14:paraId="30306212" w14:textId="37FA1057" w:rsidR="00D03A75" w:rsidRPr="006D2720" w:rsidRDefault="00D03A75" w:rsidP="00D03A75">
      <w:pPr>
        <w:pStyle w:val="Heading3"/>
        <w:rPr>
          <w:rFonts w:ascii="Times New Roman" w:hAnsi="Times New Roman" w:cs="Times New Roman"/>
        </w:rPr>
      </w:pPr>
      <w:r w:rsidRPr="006D2720">
        <w:rPr>
          <w:rFonts w:ascii="Times New Roman" w:hAnsi="Times New Roman" w:cs="Times New Roman"/>
        </w:rPr>
        <w:t xml:space="preserve">Separate from the implied freedom of political communication, the High Court has also recognised the possible importance of privacy in the grant of an injunction </w:t>
      </w:r>
      <w:r w:rsidR="0005531A" w:rsidRPr="006D2720">
        <w:rPr>
          <w:rFonts w:ascii="Times New Roman" w:hAnsi="Times New Roman" w:cs="Times New Roman"/>
        </w:rPr>
        <w:t xml:space="preserve">against an officer of the Commonwealth </w:t>
      </w:r>
      <w:r w:rsidRPr="006D2720">
        <w:rPr>
          <w:rFonts w:ascii="Times New Roman" w:hAnsi="Times New Roman" w:cs="Times New Roman"/>
        </w:rPr>
        <w:t xml:space="preserve">under section 75(v) of the </w:t>
      </w:r>
      <w:r w:rsidRPr="006D2720">
        <w:rPr>
          <w:rFonts w:ascii="Times New Roman" w:hAnsi="Times New Roman" w:cs="Times New Roman"/>
          <w:i/>
          <w:iCs/>
        </w:rPr>
        <w:t>Constitution</w:t>
      </w:r>
      <w:r w:rsidRPr="006D2720">
        <w:rPr>
          <w:rFonts w:ascii="Times New Roman" w:hAnsi="Times New Roman" w:cs="Times New Roman"/>
        </w:rPr>
        <w:t>. This was decided in the context of a legal challenge brought against</w:t>
      </w:r>
      <w:r w:rsidR="0005531A" w:rsidRPr="006D2720">
        <w:rPr>
          <w:rFonts w:ascii="Times New Roman" w:hAnsi="Times New Roman" w:cs="Times New Roman"/>
        </w:rPr>
        <w:t xml:space="preserve"> the federal </w:t>
      </w:r>
      <w:r w:rsidRPr="006D2720">
        <w:rPr>
          <w:rFonts w:ascii="Times New Roman" w:hAnsi="Times New Roman" w:cs="Times New Roman"/>
        </w:rPr>
        <w:t>police for searching a journalist’s private residence and seizing information from their phone.</w:t>
      </w:r>
      <w:r w:rsidRPr="006D2720">
        <w:rPr>
          <w:rStyle w:val="FootnoteReference"/>
          <w:rFonts w:ascii="Times New Roman" w:hAnsi="Times New Roman" w:cs="Times New Roman"/>
        </w:rPr>
        <w:footnoteReference w:id="408"/>
      </w:r>
    </w:p>
    <w:p w14:paraId="6E478CA4" w14:textId="1A9F2184" w:rsidR="007809D3" w:rsidRPr="006D2720" w:rsidRDefault="008B3017" w:rsidP="00365101">
      <w:pPr>
        <w:pStyle w:val="Heading3"/>
        <w:rPr>
          <w:rFonts w:ascii="Times New Roman" w:hAnsi="Times New Roman" w:cs="Times New Roman"/>
        </w:rPr>
      </w:pPr>
      <w:r w:rsidRPr="006D2720">
        <w:rPr>
          <w:rFonts w:ascii="Times New Roman" w:hAnsi="Times New Roman" w:cs="Times New Roman"/>
        </w:rPr>
        <w:t>It</w:t>
      </w:r>
      <w:r w:rsidR="00977D74" w:rsidRPr="006D2720">
        <w:rPr>
          <w:rFonts w:ascii="Times New Roman" w:hAnsi="Times New Roman" w:cs="Times New Roman"/>
          <w:iCs/>
        </w:rPr>
        <w:t xml:space="preserve"> </w:t>
      </w:r>
      <w:r w:rsidRPr="006D2720">
        <w:rPr>
          <w:rFonts w:ascii="Times New Roman" w:hAnsi="Times New Roman" w:cs="Times New Roman"/>
          <w:iCs/>
        </w:rPr>
        <w:t>is</w:t>
      </w:r>
      <w:r w:rsidR="00977D74" w:rsidRPr="006D2720">
        <w:rPr>
          <w:rFonts w:ascii="Times New Roman" w:hAnsi="Times New Roman" w:cs="Times New Roman"/>
          <w:iCs/>
        </w:rPr>
        <w:t xml:space="preserve"> noted that </w:t>
      </w:r>
      <w:r w:rsidR="003239C8" w:rsidRPr="006D2720">
        <w:rPr>
          <w:rFonts w:ascii="Times New Roman" w:hAnsi="Times New Roman" w:cs="Times New Roman"/>
          <w:iCs/>
        </w:rPr>
        <w:t xml:space="preserve">three Australian </w:t>
      </w:r>
      <w:r w:rsidR="002A1AFC" w:rsidRPr="006D2720">
        <w:rPr>
          <w:rFonts w:ascii="Times New Roman" w:hAnsi="Times New Roman" w:cs="Times New Roman"/>
          <w:iCs/>
        </w:rPr>
        <w:t xml:space="preserve">states have </w:t>
      </w:r>
      <w:r w:rsidR="00F036AC" w:rsidRPr="006D2720">
        <w:rPr>
          <w:rFonts w:ascii="Times New Roman" w:hAnsi="Times New Roman" w:cs="Times New Roman"/>
          <w:iCs/>
        </w:rPr>
        <w:t xml:space="preserve">statutes codifying human rights or fundamental rights. </w:t>
      </w:r>
      <w:r w:rsidR="00977D74" w:rsidRPr="006D2720">
        <w:rPr>
          <w:rFonts w:ascii="Times New Roman" w:hAnsi="Times New Roman" w:cs="Times New Roman"/>
          <w:iCs/>
        </w:rPr>
        <w:t>T</w:t>
      </w:r>
      <w:r w:rsidR="00F036AC" w:rsidRPr="006D2720">
        <w:rPr>
          <w:rFonts w:ascii="Times New Roman" w:hAnsi="Times New Roman" w:cs="Times New Roman"/>
          <w:iCs/>
        </w:rPr>
        <w:t xml:space="preserve">hese contain </w:t>
      </w:r>
      <w:r w:rsidR="0064050C" w:rsidRPr="006D2720">
        <w:rPr>
          <w:rFonts w:ascii="Times New Roman" w:hAnsi="Times New Roman" w:cs="Times New Roman"/>
        </w:rPr>
        <w:t>a qualified statutory right to privacy.</w:t>
      </w:r>
      <w:r w:rsidR="0064050C" w:rsidRPr="006D2720">
        <w:rPr>
          <w:rStyle w:val="FootnoteReference"/>
          <w:rFonts w:ascii="Times New Roman" w:hAnsi="Times New Roman" w:cs="Times New Roman"/>
        </w:rPr>
        <w:footnoteReference w:id="409"/>
      </w:r>
      <w:r w:rsidR="0064050C" w:rsidRPr="006D2720">
        <w:rPr>
          <w:rFonts w:ascii="Times New Roman" w:hAnsi="Times New Roman" w:cs="Times New Roman"/>
        </w:rPr>
        <w:t xml:space="preserve"> </w:t>
      </w:r>
      <w:r w:rsidR="00F036AC" w:rsidRPr="006D2720">
        <w:rPr>
          <w:rFonts w:ascii="Times New Roman" w:hAnsi="Times New Roman" w:cs="Times New Roman"/>
        </w:rPr>
        <w:t xml:space="preserve">However, </w:t>
      </w:r>
      <w:r w:rsidR="00926723" w:rsidRPr="006D2720">
        <w:rPr>
          <w:rFonts w:ascii="Times New Roman" w:hAnsi="Times New Roman" w:cs="Times New Roman"/>
        </w:rPr>
        <w:t xml:space="preserve">as the rights are contained in ordinary </w:t>
      </w:r>
      <w:r w:rsidR="006715CF" w:rsidRPr="006D2720">
        <w:rPr>
          <w:rFonts w:ascii="Times New Roman" w:hAnsi="Times New Roman" w:cs="Times New Roman"/>
        </w:rPr>
        <w:t>state</w:t>
      </w:r>
      <w:r w:rsidRPr="006D2720">
        <w:rPr>
          <w:rFonts w:ascii="Times New Roman" w:hAnsi="Times New Roman" w:cs="Times New Roman"/>
        </w:rPr>
        <w:t xml:space="preserve"> or territory</w:t>
      </w:r>
      <w:r w:rsidR="006715CF" w:rsidRPr="006D2720">
        <w:rPr>
          <w:rFonts w:ascii="Times New Roman" w:hAnsi="Times New Roman" w:cs="Times New Roman"/>
        </w:rPr>
        <w:t xml:space="preserve"> </w:t>
      </w:r>
      <w:r w:rsidR="00926723" w:rsidRPr="006D2720">
        <w:rPr>
          <w:rFonts w:ascii="Times New Roman" w:hAnsi="Times New Roman" w:cs="Times New Roman"/>
        </w:rPr>
        <w:t>legislation</w:t>
      </w:r>
      <w:r w:rsidR="00791EFB" w:rsidRPr="006D2720">
        <w:rPr>
          <w:rFonts w:ascii="Times New Roman" w:hAnsi="Times New Roman" w:cs="Times New Roman"/>
        </w:rPr>
        <w:t xml:space="preserve">, they can be </w:t>
      </w:r>
      <w:r w:rsidR="0064050C" w:rsidRPr="006D2720">
        <w:rPr>
          <w:rFonts w:ascii="Times New Roman" w:hAnsi="Times New Roman" w:cs="Times New Roman"/>
        </w:rPr>
        <w:t>set aside</w:t>
      </w:r>
      <w:r w:rsidR="008719DF" w:rsidRPr="006D2720">
        <w:rPr>
          <w:rFonts w:ascii="Times New Roman" w:hAnsi="Times New Roman" w:cs="Times New Roman"/>
        </w:rPr>
        <w:t xml:space="preserve">, limited, or otherwise interfered with by other legislation. </w:t>
      </w:r>
    </w:p>
    <w:p w14:paraId="52BD60F3" w14:textId="3C7F9833" w:rsidR="0064050C" w:rsidRPr="006D2720" w:rsidRDefault="0064050C" w:rsidP="0066337D">
      <w:pPr>
        <w:pStyle w:val="Heading2"/>
        <w:rPr>
          <w:rFonts w:ascii="Times New Roman" w:hAnsi="Times New Roman" w:cs="Times New Roman"/>
        </w:rPr>
      </w:pPr>
      <w:bookmarkStart w:id="414" w:name="_Toc91536821"/>
      <w:bookmarkStart w:id="415" w:name="_Toc91536914"/>
      <w:bookmarkStart w:id="416" w:name="_Toc91685238"/>
      <w:bookmarkStart w:id="417" w:name="_Toc91691995"/>
      <w:bookmarkStart w:id="418" w:name="_Toc91769176"/>
      <w:bookmarkStart w:id="419" w:name="_Toc91770088"/>
      <w:bookmarkStart w:id="420" w:name="_Toc91830053"/>
      <w:bookmarkStart w:id="421" w:name="_Toc77846315"/>
      <w:bookmarkStart w:id="422" w:name="_Toc77846367"/>
      <w:bookmarkStart w:id="423" w:name="_Toc77846419"/>
      <w:bookmarkStart w:id="424" w:name="_Toc77846579"/>
      <w:bookmarkStart w:id="425" w:name="_Toc77933370"/>
      <w:bookmarkStart w:id="426" w:name="_Toc77846316"/>
      <w:bookmarkStart w:id="427" w:name="_Toc77846368"/>
      <w:bookmarkStart w:id="428" w:name="_Toc77846420"/>
      <w:bookmarkStart w:id="429" w:name="_Toc77846580"/>
      <w:bookmarkStart w:id="430" w:name="_Toc77933371"/>
      <w:bookmarkStart w:id="431" w:name="_Ref91828612"/>
      <w:bookmarkStart w:id="432" w:name="_Toc91832026"/>
      <w:bookmarkStart w:id="433" w:name="_Toc13054046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6D2720">
        <w:rPr>
          <w:rFonts w:ascii="Times New Roman" w:hAnsi="Times New Roman" w:cs="Times New Roman"/>
        </w:rPr>
        <w:t xml:space="preserve">A civil </w:t>
      </w:r>
      <w:r w:rsidR="00113CD8" w:rsidRPr="006D2720">
        <w:rPr>
          <w:rFonts w:ascii="Times New Roman" w:hAnsi="Times New Roman" w:cs="Times New Roman"/>
        </w:rPr>
        <w:t xml:space="preserve">cause of action </w:t>
      </w:r>
      <w:r w:rsidRPr="006D2720">
        <w:rPr>
          <w:rFonts w:ascii="Times New Roman" w:hAnsi="Times New Roman" w:cs="Times New Roman"/>
        </w:rPr>
        <w:t>for interference with privacy</w:t>
      </w:r>
      <w:bookmarkEnd w:id="431"/>
      <w:bookmarkEnd w:id="432"/>
      <w:bookmarkEnd w:id="433"/>
    </w:p>
    <w:p w14:paraId="2DA1B875" w14:textId="4AD88A02" w:rsidR="00C34FB5" w:rsidRPr="006D2720" w:rsidRDefault="0064050C" w:rsidP="00C34FB5">
      <w:pPr>
        <w:pStyle w:val="Heading3"/>
        <w:rPr>
          <w:rFonts w:ascii="Times New Roman" w:hAnsi="Times New Roman" w:cs="Times New Roman"/>
        </w:rPr>
      </w:pPr>
      <w:r w:rsidRPr="006D2720">
        <w:rPr>
          <w:rFonts w:ascii="Times New Roman" w:hAnsi="Times New Roman" w:cs="Times New Roman"/>
        </w:rPr>
        <w:t xml:space="preserve">As </w:t>
      </w:r>
      <w:r w:rsidR="007F45FD" w:rsidRPr="006D2720">
        <w:rPr>
          <w:rFonts w:ascii="Times New Roman" w:hAnsi="Times New Roman" w:cs="Times New Roman"/>
        </w:rPr>
        <w:t xml:space="preserve">this Issues Paper has </w:t>
      </w:r>
      <w:r w:rsidRPr="006D2720">
        <w:rPr>
          <w:rFonts w:ascii="Times New Roman" w:hAnsi="Times New Roman" w:cs="Times New Roman"/>
        </w:rPr>
        <w:t xml:space="preserve">noted, there is currently no civil </w:t>
      </w:r>
      <w:r w:rsidR="00113CD8" w:rsidRPr="006D2720">
        <w:rPr>
          <w:rFonts w:ascii="Times New Roman" w:hAnsi="Times New Roman" w:cs="Times New Roman"/>
        </w:rPr>
        <w:t xml:space="preserve">cause of action (and therefore no </w:t>
      </w:r>
      <w:r w:rsidRPr="006D2720">
        <w:rPr>
          <w:rFonts w:ascii="Times New Roman" w:hAnsi="Times New Roman" w:cs="Times New Roman"/>
        </w:rPr>
        <w:t>remedy</w:t>
      </w:r>
      <w:r w:rsidR="00113CD8" w:rsidRPr="006D2720">
        <w:rPr>
          <w:rFonts w:ascii="Times New Roman" w:hAnsi="Times New Roman" w:cs="Times New Roman"/>
        </w:rPr>
        <w:t>)</w:t>
      </w:r>
      <w:r w:rsidRPr="006D2720">
        <w:rPr>
          <w:rFonts w:ascii="Times New Roman" w:hAnsi="Times New Roman" w:cs="Times New Roman"/>
        </w:rPr>
        <w:t xml:space="preserve"> </w:t>
      </w:r>
      <w:r w:rsidR="00FB7947" w:rsidRPr="006D2720">
        <w:rPr>
          <w:rFonts w:ascii="Times New Roman" w:hAnsi="Times New Roman" w:cs="Times New Roman"/>
        </w:rPr>
        <w:t xml:space="preserve">in Australia </w:t>
      </w:r>
      <w:r w:rsidR="004B131C" w:rsidRPr="006D2720">
        <w:rPr>
          <w:rFonts w:ascii="Times New Roman" w:hAnsi="Times New Roman" w:cs="Times New Roman"/>
        </w:rPr>
        <w:t xml:space="preserve">that covers </w:t>
      </w:r>
      <w:r w:rsidRPr="006D2720">
        <w:rPr>
          <w:rFonts w:ascii="Times New Roman" w:hAnsi="Times New Roman" w:cs="Times New Roman"/>
        </w:rPr>
        <w:t>interference</w:t>
      </w:r>
      <w:r w:rsidR="00F3295D" w:rsidRPr="006D2720">
        <w:rPr>
          <w:rFonts w:ascii="Times New Roman" w:hAnsi="Times New Roman" w:cs="Times New Roman"/>
        </w:rPr>
        <w:t>s</w:t>
      </w:r>
      <w:r w:rsidRPr="006D2720">
        <w:rPr>
          <w:rFonts w:ascii="Times New Roman" w:hAnsi="Times New Roman" w:cs="Times New Roman"/>
        </w:rPr>
        <w:t xml:space="preserve"> with privacy</w:t>
      </w:r>
      <w:r w:rsidR="002D0C5D" w:rsidRPr="006D2720">
        <w:rPr>
          <w:rFonts w:ascii="Times New Roman" w:hAnsi="Times New Roman" w:cs="Times New Roman"/>
        </w:rPr>
        <w:t xml:space="preserve"> in a</w:t>
      </w:r>
      <w:r w:rsidR="008737E2" w:rsidRPr="006D2720">
        <w:rPr>
          <w:rFonts w:ascii="Times New Roman" w:hAnsi="Times New Roman" w:cs="Times New Roman"/>
        </w:rPr>
        <w:t xml:space="preserve"> </w:t>
      </w:r>
      <w:r w:rsidR="002D0C5D" w:rsidRPr="006D2720">
        <w:rPr>
          <w:rFonts w:ascii="Times New Roman" w:hAnsi="Times New Roman" w:cs="Times New Roman"/>
        </w:rPr>
        <w:t>comprehensive manner</w:t>
      </w:r>
      <w:r w:rsidR="00B7143B" w:rsidRPr="006D2720">
        <w:rPr>
          <w:rFonts w:ascii="Times New Roman" w:hAnsi="Times New Roman" w:cs="Times New Roman"/>
        </w:rPr>
        <w:t>.</w:t>
      </w:r>
      <w:r w:rsidRPr="006D2720">
        <w:rPr>
          <w:rFonts w:ascii="Times New Roman" w:hAnsi="Times New Roman" w:cs="Times New Roman"/>
        </w:rPr>
        <w:t xml:space="preserve"> </w:t>
      </w:r>
      <w:r w:rsidR="001553FF" w:rsidRPr="006D2720">
        <w:rPr>
          <w:rFonts w:ascii="Times New Roman" w:hAnsi="Times New Roman" w:cs="Times New Roman"/>
        </w:rPr>
        <w:t xml:space="preserve">Instead, there </w:t>
      </w:r>
      <w:r w:rsidR="00113CD8" w:rsidRPr="006D2720">
        <w:rPr>
          <w:rFonts w:ascii="Times New Roman" w:hAnsi="Times New Roman" w:cs="Times New Roman"/>
        </w:rPr>
        <w:t xml:space="preserve">are various </w:t>
      </w:r>
      <w:r w:rsidR="000B76B5" w:rsidRPr="006D2720">
        <w:rPr>
          <w:rFonts w:ascii="Times New Roman" w:hAnsi="Times New Roman" w:cs="Times New Roman"/>
        </w:rPr>
        <w:t xml:space="preserve">sources of law </w:t>
      </w:r>
      <w:r w:rsidR="009378FF" w:rsidRPr="006D2720">
        <w:rPr>
          <w:rFonts w:ascii="Times New Roman" w:hAnsi="Times New Roman" w:cs="Times New Roman"/>
        </w:rPr>
        <w:t xml:space="preserve">and </w:t>
      </w:r>
      <w:r w:rsidR="001553FF" w:rsidRPr="006D2720">
        <w:rPr>
          <w:rFonts w:ascii="Times New Roman" w:hAnsi="Times New Roman" w:cs="Times New Roman"/>
        </w:rPr>
        <w:t>remedies</w:t>
      </w:r>
      <w:r w:rsidR="000B76B5" w:rsidRPr="006D2720">
        <w:rPr>
          <w:rFonts w:ascii="Times New Roman" w:hAnsi="Times New Roman" w:cs="Times New Roman"/>
        </w:rPr>
        <w:t xml:space="preserve"> for those causes of action</w:t>
      </w:r>
      <w:r w:rsidR="001553FF" w:rsidRPr="006D2720">
        <w:rPr>
          <w:rFonts w:ascii="Times New Roman" w:hAnsi="Times New Roman" w:cs="Times New Roman"/>
        </w:rPr>
        <w:t>, including under the PIPA, that cover various types of privacy in various contexts</w:t>
      </w:r>
      <w:r w:rsidR="0016775B" w:rsidRPr="006D2720">
        <w:rPr>
          <w:rFonts w:ascii="Times New Roman" w:hAnsi="Times New Roman" w:cs="Times New Roman"/>
        </w:rPr>
        <w:t>.</w:t>
      </w:r>
      <w:r w:rsidR="00C34FB5" w:rsidRPr="006D2720">
        <w:rPr>
          <w:rFonts w:ascii="Times New Roman" w:hAnsi="Times New Roman" w:cs="Times New Roman"/>
        </w:rPr>
        <w:t xml:space="preserve"> Some legal scholars in Australia have engaged with the prospect of a civil remedy for interference with privacy in Australia</w:t>
      </w:r>
      <w:r w:rsidR="004F121F" w:rsidRPr="006D2720">
        <w:rPr>
          <w:rFonts w:ascii="Times New Roman" w:hAnsi="Times New Roman" w:cs="Times New Roman"/>
        </w:rPr>
        <w:t xml:space="preserve"> with a view to, among other things, addressing gaps where protection is lacking</w:t>
      </w:r>
      <w:r w:rsidR="00C44BB0" w:rsidRPr="006D2720">
        <w:rPr>
          <w:rFonts w:ascii="Times New Roman" w:hAnsi="Times New Roman" w:cs="Times New Roman"/>
        </w:rPr>
        <w:t>—</w:t>
      </w:r>
      <w:r w:rsidR="003B061A" w:rsidRPr="006D2720">
        <w:rPr>
          <w:rFonts w:ascii="Times New Roman" w:hAnsi="Times New Roman" w:cs="Times New Roman"/>
        </w:rPr>
        <w:t>particularly in relation to physical privacy of the person</w:t>
      </w:r>
      <w:r w:rsidR="00C34FB5" w:rsidRPr="006D2720">
        <w:rPr>
          <w:rFonts w:ascii="Times New Roman" w:hAnsi="Times New Roman" w:cs="Times New Roman"/>
        </w:rPr>
        <w:t>.</w:t>
      </w:r>
      <w:r w:rsidR="00C34FB5" w:rsidRPr="006D2720">
        <w:rPr>
          <w:rStyle w:val="FootnoteReference"/>
          <w:rFonts w:ascii="Times New Roman" w:hAnsi="Times New Roman" w:cs="Times New Roman"/>
        </w:rPr>
        <w:footnoteReference w:id="410"/>
      </w:r>
      <w:r w:rsidR="000B76B5" w:rsidRPr="006D2720">
        <w:rPr>
          <w:rFonts w:ascii="Times New Roman" w:hAnsi="Times New Roman" w:cs="Times New Roman"/>
        </w:rPr>
        <w:t xml:space="preserve"> </w:t>
      </w:r>
    </w:p>
    <w:p w14:paraId="70E9F1F8" w14:textId="5CC2FA45" w:rsidR="00D23496" w:rsidRPr="006D2720" w:rsidRDefault="00F33AE8" w:rsidP="009378FF">
      <w:pPr>
        <w:pStyle w:val="Heading3"/>
        <w:rPr>
          <w:rFonts w:ascii="Times New Roman" w:hAnsi="Times New Roman" w:cs="Times New Roman"/>
        </w:rPr>
      </w:pPr>
      <w:r w:rsidRPr="006D2720">
        <w:rPr>
          <w:rFonts w:ascii="Times New Roman" w:hAnsi="Times New Roman" w:cs="Times New Roman"/>
        </w:rPr>
        <w:t>The</w:t>
      </w:r>
      <w:r w:rsidR="00C34FB5" w:rsidRPr="006D2720">
        <w:rPr>
          <w:rFonts w:ascii="Times New Roman" w:hAnsi="Times New Roman" w:cs="Times New Roman"/>
        </w:rPr>
        <w:t xml:space="preserve"> existing</w:t>
      </w:r>
      <w:r w:rsidRPr="006D2720">
        <w:rPr>
          <w:rFonts w:ascii="Times New Roman" w:hAnsi="Times New Roman" w:cs="Times New Roman"/>
        </w:rPr>
        <w:t xml:space="preserve"> </w:t>
      </w:r>
      <w:r w:rsidR="004F1606" w:rsidRPr="006D2720">
        <w:rPr>
          <w:rFonts w:ascii="Times New Roman" w:hAnsi="Times New Roman" w:cs="Times New Roman"/>
        </w:rPr>
        <w:t>provisions</w:t>
      </w:r>
      <w:r w:rsidR="00A53AC3" w:rsidRPr="006D2720">
        <w:rPr>
          <w:rFonts w:ascii="Times New Roman" w:hAnsi="Times New Roman" w:cs="Times New Roman"/>
        </w:rPr>
        <w:t xml:space="preserve"> </w:t>
      </w:r>
      <w:r w:rsidR="0064050C" w:rsidRPr="006D2720">
        <w:rPr>
          <w:rFonts w:ascii="Times New Roman" w:hAnsi="Times New Roman" w:cs="Times New Roman"/>
        </w:rPr>
        <w:t>and remedies</w:t>
      </w:r>
      <w:r w:rsidR="00002D87" w:rsidRPr="006D2720">
        <w:rPr>
          <w:rFonts w:ascii="Times New Roman" w:hAnsi="Times New Roman" w:cs="Times New Roman"/>
        </w:rPr>
        <w:t xml:space="preserve"> </w:t>
      </w:r>
      <w:r w:rsidR="008361F8" w:rsidRPr="006D2720">
        <w:rPr>
          <w:rFonts w:ascii="Times New Roman" w:hAnsi="Times New Roman" w:cs="Times New Roman"/>
        </w:rPr>
        <w:t xml:space="preserve">may </w:t>
      </w:r>
      <w:r w:rsidR="0064050C" w:rsidRPr="006D2720">
        <w:rPr>
          <w:rFonts w:ascii="Times New Roman" w:hAnsi="Times New Roman" w:cs="Times New Roman"/>
        </w:rPr>
        <w:t>invoke privacy, relate to privacy, or happen to protect or vindicate privacy</w:t>
      </w:r>
      <w:r w:rsidR="00BD5726" w:rsidRPr="006D2720">
        <w:rPr>
          <w:rFonts w:ascii="Times New Roman" w:hAnsi="Times New Roman" w:cs="Times New Roman"/>
        </w:rPr>
        <w:t>. They</w:t>
      </w:r>
      <w:r w:rsidR="0064050C" w:rsidRPr="006D2720">
        <w:rPr>
          <w:rFonts w:ascii="Times New Roman" w:hAnsi="Times New Roman" w:cs="Times New Roman"/>
        </w:rPr>
        <w:t xml:space="preserve"> may cover some common, or increasingly more common, situations involving interference with privacy. However, </w:t>
      </w:r>
      <w:r w:rsidR="00060D75" w:rsidRPr="006D2720">
        <w:rPr>
          <w:rFonts w:ascii="Times New Roman" w:hAnsi="Times New Roman" w:cs="Times New Roman"/>
        </w:rPr>
        <w:t>it may be that the</w:t>
      </w:r>
      <w:r w:rsidR="0064050C" w:rsidRPr="006D2720">
        <w:rPr>
          <w:rFonts w:ascii="Times New Roman" w:hAnsi="Times New Roman" w:cs="Times New Roman"/>
        </w:rPr>
        <w:t xml:space="preserve"> </w:t>
      </w:r>
      <w:r w:rsidR="00771030" w:rsidRPr="006D2720">
        <w:rPr>
          <w:rFonts w:ascii="Times New Roman" w:hAnsi="Times New Roman" w:cs="Times New Roman"/>
        </w:rPr>
        <w:t xml:space="preserve">fragmented </w:t>
      </w:r>
      <w:r w:rsidR="0064050C" w:rsidRPr="006D2720">
        <w:rPr>
          <w:rFonts w:ascii="Times New Roman" w:hAnsi="Times New Roman" w:cs="Times New Roman"/>
        </w:rPr>
        <w:t xml:space="preserve">landscape of existing </w:t>
      </w:r>
      <w:r w:rsidR="00060D75" w:rsidRPr="006D2720">
        <w:rPr>
          <w:rFonts w:ascii="Times New Roman" w:hAnsi="Times New Roman" w:cs="Times New Roman"/>
        </w:rPr>
        <w:t>provisions</w:t>
      </w:r>
      <w:r w:rsidR="00A53AC3" w:rsidRPr="006D2720">
        <w:rPr>
          <w:rFonts w:ascii="Times New Roman" w:hAnsi="Times New Roman" w:cs="Times New Roman"/>
        </w:rPr>
        <w:t xml:space="preserve"> </w:t>
      </w:r>
      <w:r w:rsidR="0064050C" w:rsidRPr="006D2720">
        <w:rPr>
          <w:rFonts w:ascii="Times New Roman" w:hAnsi="Times New Roman" w:cs="Times New Roman"/>
        </w:rPr>
        <w:t xml:space="preserve">and remedies does not cover all situations, regardless of context, in which there may be an interference </w:t>
      </w:r>
      <w:r w:rsidR="00D23496" w:rsidRPr="006D2720">
        <w:rPr>
          <w:rFonts w:ascii="Times New Roman" w:hAnsi="Times New Roman" w:cs="Times New Roman"/>
        </w:rPr>
        <w:t xml:space="preserve">with or reasonable expectation of </w:t>
      </w:r>
      <w:r w:rsidR="0064050C" w:rsidRPr="006D2720">
        <w:rPr>
          <w:rFonts w:ascii="Times New Roman" w:hAnsi="Times New Roman" w:cs="Times New Roman"/>
        </w:rPr>
        <w:t>privacy</w:t>
      </w:r>
      <w:r w:rsidR="00D101DB" w:rsidRPr="006D2720">
        <w:rPr>
          <w:rFonts w:ascii="Times New Roman" w:hAnsi="Times New Roman" w:cs="Times New Roman"/>
        </w:rPr>
        <w:t>, especially physical privacy</w:t>
      </w:r>
      <w:r w:rsidR="0064050C" w:rsidRPr="006D2720">
        <w:rPr>
          <w:rFonts w:ascii="Times New Roman" w:hAnsi="Times New Roman" w:cs="Times New Roman"/>
        </w:rPr>
        <w:t xml:space="preserve">. </w:t>
      </w:r>
    </w:p>
    <w:p w14:paraId="482EC22E" w14:textId="7D9361C8" w:rsidR="0064050C" w:rsidRPr="006D2720" w:rsidRDefault="004B17A7" w:rsidP="0066337D">
      <w:pPr>
        <w:pStyle w:val="Heading3"/>
        <w:rPr>
          <w:rFonts w:ascii="Times New Roman" w:hAnsi="Times New Roman" w:cs="Times New Roman"/>
        </w:rPr>
      </w:pPr>
      <w:bookmarkStart w:id="434" w:name="_Ref91828460"/>
      <w:r w:rsidRPr="006D2720">
        <w:rPr>
          <w:rFonts w:ascii="Times New Roman" w:hAnsi="Times New Roman" w:cs="Times New Roman"/>
        </w:rPr>
        <w:t xml:space="preserve">The piecemeal nature of existing </w:t>
      </w:r>
      <w:r w:rsidR="00FC37B0" w:rsidRPr="006D2720">
        <w:rPr>
          <w:rFonts w:ascii="Times New Roman" w:hAnsi="Times New Roman" w:cs="Times New Roman"/>
        </w:rPr>
        <w:t>protections</w:t>
      </w:r>
      <w:r w:rsidR="00BC3314" w:rsidRPr="006D2720">
        <w:rPr>
          <w:rFonts w:ascii="Times New Roman" w:hAnsi="Times New Roman" w:cs="Times New Roman"/>
        </w:rPr>
        <w:t xml:space="preserve"> is demonstrated by </w:t>
      </w:r>
      <w:r w:rsidR="00DF2AA9" w:rsidRPr="006D2720">
        <w:rPr>
          <w:rFonts w:ascii="Times New Roman" w:hAnsi="Times New Roman" w:cs="Times New Roman"/>
        </w:rPr>
        <w:t xml:space="preserve">the </w:t>
      </w:r>
      <w:r w:rsidR="0064050C" w:rsidRPr="006D2720">
        <w:rPr>
          <w:rFonts w:ascii="Times New Roman" w:hAnsi="Times New Roman" w:cs="Times New Roman"/>
        </w:rPr>
        <w:t>following</w:t>
      </w:r>
      <w:r w:rsidR="00BC3314" w:rsidRPr="006D2720">
        <w:rPr>
          <w:rFonts w:ascii="Times New Roman" w:hAnsi="Times New Roman" w:cs="Times New Roman"/>
        </w:rPr>
        <w:t xml:space="preserve"> examples</w:t>
      </w:r>
      <w:r w:rsidR="002C3F19" w:rsidRPr="006D2720">
        <w:rPr>
          <w:rFonts w:ascii="Times New Roman" w:hAnsi="Times New Roman" w:cs="Times New Roman"/>
        </w:rPr>
        <w:t xml:space="preserve"> </w:t>
      </w:r>
      <w:r w:rsidR="00D101DB" w:rsidRPr="006D2720">
        <w:rPr>
          <w:rFonts w:ascii="Times New Roman" w:hAnsi="Times New Roman" w:cs="Times New Roman"/>
        </w:rPr>
        <w:t xml:space="preserve">outlining </w:t>
      </w:r>
      <w:r w:rsidR="002C3F19" w:rsidRPr="006D2720">
        <w:rPr>
          <w:rFonts w:ascii="Times New Roman" w:hAnsi="Times New Roman" w:cs="Times New Roman"/>
        </w:rPr>
        <w:t xml:space="preserve">some </w:t>
      </w:r>
      <w:r w:rsidR="00BC3314" w:rsidRPr="006D2720">
        <w:rPr>
          <w:rFonts w:ascii="Times New Roman" w:hAnsi="Times New Roman" w:cs="Times New Roman"/>
        </w:rPr>
        <w:t xml:space="preserve">of </w:t>
      </w:r>
      <w:r w:rsidR="002C3F19" w:rsidRPr="006D2720">
        <w:rPr>
          <w:rFonts w:ascii="Times New Roman" w:hAnsi="Times New Roman" w:cs="Times New Roman"/>
        </w:rPr>
        <w:t xml:space="preserve">the </w:t>
      </w:r>
      <w:r w:rsidR="0064050C" w:rsidRPr="006D2720">
        <w:rPr>
          <w:rFonts w:ascii="Times New Roman" w:hAnsi="Times New Roman" w:cs="Times New Roman"/>
        </w:rPr>
        <w:t>situations that could involve interference</w:t>
      </w:r>
      <w:r w:rsidR="003268A6" w:rsidRPr="006D2720">
        <w:rPr>
          <w:rFonts w:ascii="Times New Roman" w:hAnsi="Times New Roman" w:cs="Times New Roman"/>
        </w:rPr>
        <w:t>s</w:t>
      </w:r>
      <w:r w:rsidR="0064050C" w:rsidRPr="006D2720">
        <w:rPr>
          <w:rFonts w:ascii="Times New Roman" w:hAnsi="Times New Roman" w:cs="Times New Roman"/>
        </w:rPr>
        <w:t xml:space="preserve"> with privacy</w:t>
      </w:r>
      <w:r w:rsidR="007A456F" w:rsidRPr="006D2720">
        <w:rPr>
          <w:rFonts w:ascii="Times New Roman" w:hAnsi="Times New Roman" w:cs="Times New Roman"/>
        </w:rPr>
        <w:t>,</w:t>
      </w:r>
      <w:r w:rsidR="0064050C" w:rsidRPr="006D2720">
        <w:rPr>
          <w:rFonts w:ascii="Times New Roman" w:hAnsi="Times New Roman" w:cs="Times New Roman"/>
        </w:rPr>
        <w:t xml:space="preserve"> </w:t>
      </w:r>
      <w:r w:rsidR="003268A6" w:rsidRPr="006D2720">
        <w:rPr>
          <w:rFonts w:ascii="Times New Roman" w:hAnsi="Times New Roman" w:cs="Times New Roman"/>
        </w:rPr>
        <w:t xml:space="preserve">which are </w:t>
      </w:r>
      <w:r w:rsidR="0064050C" w:rsidRPr="006D2720">
        <w:rPr>
          <w:rFonts w:ascii="Times New Roman" w:hAnsi="Times New Roman" w:cs="Times New Roman"/>
        </w:rPr>
        <w:t xml:space="preserve">not necessarily covered by existing legislation or </w:t>
      </w:r>
      <w:r w:rsidR="008C45B2" w:rsidRPr="006D2720">
        <w:rPr>
          <w:rFonts w:ascii="Times New Roman" w:hAnsi="Times New Roman" w:cs="Times New Roman"/>
        </w:rPr>
        <w:t xml:space="preserve">general </w:t>
      </w:r>
      <w:r w:rsidR="0064050C" w:rsidRPr="006D2720">
        <w:rPr>
          <w:rFonts w:ascii="Times New Roman" w:hAnsi="Times New Roman" w:cs="Times New Roman"/>
        </w:rPr>
        <w:t>law</w:t>
      </w:r>
      <w:r w:rsidR="002C3F19" w:rsidRPr="006D2720">
        <w:rPr>
          <w:rFonts w:ascii="Times New Roman" w:hAnsi="Times New Roman" w:cs="Times New Roman"/>
        </w:rPr>
        <w:t>:</w:t>
      </w:r>
      <w:bookmarkEnd w:id="434"/>
      <w:r w:rsidR="0064050C" w:rsidRPr="006D2720">
        <w:rPr>
          <w:rFonts w:ascii="Times New Roman" w:hAnsi="Times New Roman" w:cs="Times New Roman"/>
        </w:rPr>
        <w:t xml:space="preserve"> </w:t>
      </w:r>
    </w:p>
    <w:p w14:paraId="7EB880C5" w14:textId="6F59707E" w:rsidR="0064050C"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m</w:t>
      </w:r>
      <w:r w:rsidR="0064050C" w:rsidRPr="006D2720">
        <w:rPr>
          <w:rFonts w:ascii="Times New Roman" w:hAnsi="Times New Roman" w:cs="Times New Roman"/>
          <w:bCs/>
          <w:szCs w:val="21"/>
        </w:rPr>
        <w:t>isuse of private information by non-governmental actors, including the media, journalists, advertising corporations, and data processing entities</w:t>
      </w:r>
      <w:r w:rsidRPr="006D2720">
        <w:rPr>
          <w:rFonts w:ascii="Times New Roman" w:hAnsi="Times New Roman" w:cs="Times New Roman"/>
          <w:bCs/>
          <w:szCs w:val="21"/>
        </w:rPr>
        <w:t>;</w:t>
      </w:r>
      <w:r w:rsidR="0064050C" w:rsidRPr="006D2720">
        <w:rPr>
          <w:rFonts w:ascii="Times New Roman" w:hAnsi="Times New Roman" w:cs="Times New Roman"/>
          <w:bCs/>
          <w:szCs w:val="21"/>
          <w:vertAlign w:val="superscript"/>
        </w:rPr>
        <w:footnoteReference w:id="411"/>
      </w:r>
      <w:r w:rsidR="0064050C" w:rsidRPr="006D2720">
        <w:rPr>
          <w:rFonts w:ascii="Times New Roman" w:hAnsi="Times New Roman" w:cs="Times New Roman"/>
          <w:bCs/>
          <w:szCs w:val="21"/>
        </w:rPr>
        <w:t xml:space="preserve"> </w:t>
      </w:r>
    </w:p>
    <w:p w14:paraId="0001B985" w14:textId="31A0C8FC" w:rsidR="0064050C" w:rsidRPr="006D2720" w:rsidRDefault="002C3F19">
      <w:pPr>
        <w:numPr>
          <w:ilvl w:val="0"/>
          <w:numId w:val="4"/>
        </w:numPr>
        <w:rPr>
          <w:rFonts w:ascii="Times New Roman" w:hAnsi="Times New Roman" w:cs="Times New Roman"/>
        </w:rPr>
      </w:pPr>
      <w:r w:rsidRPr="006D2720">
        <w:rPr>
          <w:rFonts w:ascii="Times New Roman" w:hAnsi="Times New Roman" w:cs="Times New Roman"/>
        </w:rPr>
        <w:t>i</w:t>
      </w:r>
      <w:r w:rsidR="0005415C" w:rsidRPr="006D2720">
        <w:rPr>
          <w:rFonts w:ascii="Times New Roman" w:hAnsi="Times New Roman" w:cs="Times New Roman"/>
        </w:rPr>
        <w:t>mage-based abuse</w:t>
      </w:r>
      <w:r w:rsidR="0064050C" w:rsidRPr="006D2720">
        <w:rPr>
          <w:rFonts w:ascii="Times New Roman" w:hAnsi="Times New Roman" w:cs="Times New Roman"/>
        </w:rPr>
        <w:t xml:space="preserve"> and other non-consensual acquisition and use of intimate images, including where the individual in the image is not identifiable by the public at large</w:t>
      </w:r>
      <w:r w:rsidRPr="006D2720">
        <w:rPr>
          <w:rFonts w:ascii="Times New Roman" w:hAnsi="Times New Roman" w:cs="Times New Roman"/>
        </w:rPr>
        <w:t>;</w:t>
      </w:r>
      <w:r w:rsidR="0064050C" w:rsidRPr="006D2720">
        <w:rPr>
          <w:rFonts w:ascii="Times New Roman" w:hAnsi="Times New Roman" w:cs="Times New Roman"/>
          <w:vertAlign w:val="superscript"/>
        </w:rPr>
        <w:footnoteReference w:id="412"/>
      </w:r>
    </w:p>
    <w:p w14:paraId="1BD81B8D" w14:textId="3A523B8E" w:rsidR="0064050C"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u</w:t>
      </w:r>
      <w:r w:rsidR="0064050C" w:rsidRPr="006D2720">
        <w:rPr>
          <w:rFonts w:ascii="Times New Roman" w:hAnsi="Times New Roman" w:cs="Times New Roman"/>
          <w:bCs/>
          <w:szCs w:val="21"/>
        </w:rPr>
        <w:t>se of private information for the purposes of blackmail</w:t>
      </w:r>
      <w:r w:rsidRPr="006D2720">
        <w:rPr>
          <w:rFonts w:ascii="Times New Roman" w:hAnsi="Times New Roman" w:cs="Times New Roman"/>
          <w:bCs/>
          <w:szCs w:val="21"/>
        </w:rPr>
        <w:t>;</w:t>
      </w:r>
      <w:r w:rsidR="0064050C" w:rsidRPr="006D2720">
        <w:rPr>
          <w:rFonts w:ascii="Times New Roman" w:hAnsi="Times New Roman" w:cs="Times New Roman"/>
          <w:bCs/>
          <w:szCs w:val="21"/>
          <w:vertAlign w:val="superscript"/>
        </w:rPr>
        <w:footnoteReference w:id="413"/>
      </w:r>
    </w:p>
    <w:p w14:paraId="0C267D71" w14:textId="69F00C5D" w:rsidR="0064050C"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a</w:t>
      </w:r>
      <w:r w:rsidR="0064050C" w:rsidRPr="006D2720">
        <w:rPr>
          <w:rFonts w:ascii="Times New Roman" w:hAnsi="Times New Roman" w:cs="Times New Roman"/>
          <w:bCs/>
          <w:szCs w:val="21"/>
        </w:rPr>
        <w:t>ggressive media reportage activities, including ‘door-stepping’ and ‘grief journalism’</w:t>
      </w:r>
      <w:r w:rsidRPr="006D2720">
        <w:rPr>
          <w:rFonts w:ascii="Times New Roman" w:hAnsi="Times New Roman" w:cs="Times New Roman"/>
          <w:bCs/>
          <w:szCs w:val="21"/>
        </w:rPr>
        <w:t>;</w:t>
      </w:r>
      <w:bookmarkStart w:id="435" w:name="_Ref129333832"/>
      <w:r w:rsidR="0064050C" w:rsidRPr="006D2720">
        <w:rPr>
          <w:rFonts w:ascii="Times New Roman" w:hAnsi="Times New Roman" w:cs="Times New Roman"/>
          <w:bCs/>
          <w:szCs w:val="21"/>
          <w:vertAlign w:val="superscript"/>
        </w:rPr>
        <w:footnoteReference w:id="414"/>
      </w:r>
      <w:bookmarkEnd w:id="435"/>
    </w:p>
    <w:p w14:paraId="1197958C" w14:textId="4DD0BA53" w:rsidR="0064050C" w:rsidRPr="006D2720" w:rsidRDefault="0064050C">
      <w:pPr>
        <w:numPr>
          <w:ilvl w:val="0"/>
          <w:numId w:val="4"/>
        </w:numPr>
        <w:rPr>
          <w:rFonts w:ascii="Times New Roman" w:hAnsi="Times New Roman" w:cs="Times New Roman"/>
          <w:bCs/>
          <w:szCs w:val="21"/>
        </w:rPr>
      </w:pPr>
      <w:r w:rsidRPr="006D2720">
        <w:rPr>
          <w:rFonts w:ascii="Times New Roman" w:hAnsi="Times New Roman" w:cs="Times New Roman"/>
          <w:bCs/>
          <w:szCs w:val="21"/>
        </w:rPr>
        <w:t>online sharing or publication of a child’s image or information by that child’s parent or guardian, referred to as ‘sharenting’, and where this creates a digital dossier for that child</w:t>
      </w:r>
      <w:r w:rsidR="002C3F19" w:rsidRPr="006D2720">
        <w:rPr>
          <w:rFonts w:ascii="Times New Roman" w:hAnsi="Times New Roman" w:cs="Times New Roman"/>
          <w:bCs/>
          <w:szCs w:val="21"/>
        </w:rPr>
        <w:t>;</w:t>
      </w:r>
      <w:r w:rsidRPr="006D2720">
        <w:rPr>
          <w:rFonts w:ascii="Times New Roman" w:hAnsi="Times New Roman" w:cs="Times New Roman"/>
          <w:bCs/>
          <w:szCs w:val="21"/>
          <w:vertAlign w:val="superscript"/>
        </w:rPr>
        <w:footnoteReference w:id="415"/>
      </w:r>
    </w:p>
    <w:p w14:paraId="5B0F1DD3" w14:textId="537909C7" w:rsidR="007F6971"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i</w:t>
      </w:r>
      <w:r w:rsidR="0064050C" w:rsidRPr="006D2720">
        <w:rPr>
          <w:rFonts w:ascii="Times New Roman" w:hAnsi="Times New Roman" w:cs="Times New Roman"/>
          <w:bCs/>
          <w:szCs w:val="21"/>
        </w:rPr>
        <w:t>nterferences with the privacy of third parties involved in or affected</w:t>
      </w:r>
      <w:r w:rsidR="00F43E7D" w:rsidRPr="006D2720">
        <w:rPr>
          <w:rFonts w:ascii="Times New Roman" w:hAnsi="Times New Roman" w:cs="Times New Roman"/>
          <w:bCs/>
          <w:szCs w:val="21"/>
        </w:rPr>
        <w:t xml:space="preserve"> by</w:t>
      </w:r>
      <w:r w:rsidR="0064050C" w:rsidRPr="006D2720">
        <w:rPr>
          <w:rFonts w:ascii="Times New Roman" w:hAnsi="Times New Roman" w:cs="Times New Roman"/>
          <w:bCs/>
          <w:szCs w:val="21"/>
        </w:rPr>
        <w:t xml:space="preserve"> law enforcement investigations or judicial processes</w:t>
      </w:r>
      <w:r w:rsidRPr="006D2720">
        <w:rPr>
          <w:rFonts w:ascii="Times New Roman" w:hAnsi="Times New Roman" w:cs="Times New Roman"/>
          <w:bCs/>
          <w:szCs w:val="21"/>
        </w:rPr>
        <w:t xml:space="preserve"> (for </w:t>
      </w:r>
      <w:r w:rsidR="0064050C" w:rsidRPr="006D2720">
        <w:rPr>
          <w:rFonts w:ascii="Times New Roman" w:hAnsi="Times New Roman" w:cs="Times New Roman"/>
          <w:bCs/>
          <w:szCs w:val="21"/>
        </w:rPr>
        <w:t>example, victims of an offence, family members</w:t>
      </w:r>
      <w:r w:rsidR="0023070A" w:rsidRPr="006D2720">
        <w:rPr>
          <w:rFonts w:ascii="Times New Roman" w:hAnsi="Times New Roman" w:cs="Times New Roman"/>
          <w:bCs/>
          <w:szCs w:val="21"/>
        </w:rPr>
        <w:t>,</w:t>
      </w:r>
      <w:r w:rsidR="0064050C" w:rsidRPr="006D2720">
        <w:rPr>
          <w:rFonts w:ascii="Times New Roman" w:hAnsi="Times New Roman" w:cs="Times New Roman"/>
          <w:bCs/>
          <w:szCs w:val="21"/>
        </w:rPr>
        <w:t xml:space="preserve"> or relatives of an accused, and children of parties to divorce proceedings</w:t>
      </w:r>
      <w:r w:rsidRPr="006D2720">
        <w:rPr>
          <w:rFonts w:ascii="Times New Roman" w:hAnsi="Times New Roman" w:cs="Times New Roman"/>
          <w:bCs/>
          <w:szCs w:val="21"/>
        </w:rPr>
        <w:t>);</w:t>
      </w:r>
      <w:r w:rsidR="0064050C" w:rsidRPr="006D2720">
        <w:rPr>
          <w:rFonts w:ascii="Times New Roman" w:hAnsi="Times New Roman" w:cs="Times New Roman"/>
          <w:bCs/>
          <w:szCs w:val="21"/>
          <w:vertAlign w:val="superscript"/>
        </w:rPr>
        <w:footnoteReference w:id="416"/>
      </w:r>
    </w:p>
    <w:p w14:paraId="65790A75" w14:textId="77777777" w:rsidR="007F6971" w:rsidRPr="006D2720" w:rsidRDefault="007F6971">
      <w:pPr>
        <w:rPr>
          <w:rFonts w:ascii="Times New Roman" w:hAnsi="Times New Roman" w:cs="Times New Roman"/>
          <w:bCs/>
          <w:szCs w:val="21"/>
        </w:rPr>
      </w:pPr>
      <w:r w:rsidRPr="006D2720">
        <w:rPr>
          <w:rFonts w:ascii="Times New Roman" w:hAnsi="Times New Roman" w:cs="Times New Roman"/>
          <w:bCs/>
          <w:szCs w:val="21"/>
        </w:rPr>
        <w:br w:type="page"/>
      </w:r>
    </w:p>
    <w:p w14:paraId="61DEE818" w14:textId="0E5E21C2" w:rsidR="00AD5049"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i</w:t>
      </w:r>
      <w:r w:rsidR="0064050C" w:rsidRPr="006D2720">
        <w:rPr>
          <w:rFonts w:ascii="Times New Roman" w:hAnsi="Times New Roman" w:cs="Times New Roman"/>
          <w:bCs/>
          <w:szCs w:val="21"/>
        </w:rPr>
        <w:t>ntrusions upon the privacy of public figures</w:t>
      </w:r>
      <w:r w:rsidR="004427B9" w:rsidRPr="006D2720">
        <w:rPr>
          <w:rFonts w:ascii="Times New Roman" w:hAnsi="Times New Roman" w:cs="Times New Roman"/>
          <w:bCs/>
          <w:szCs w:val="21"/>
        </w:rPr>
        <w:t xml:space="preserve"> such as </w:t>
      </w:r>
      <w:r w:rsidR="0064050C" w:rsidRPr="006D2720">
        <w:rPr>
          <w:rFonts w:ascii="Times New Roman" w:hAnsi="Times New Roman" w:cs="Times New Roman"/>
          <w:bCs/>
          <w:szCs w:val="21"/>
        </w:rPr>
        <w:t>voluntary public figures (for example, celebrities and politicians) and involuntary public figures (for example, the children of voluntary public figures)</w:t>
      </w:r>
      <w:r w:rsidRPr="006D2720">
        <w:rPr>
          <w:rFonts w:ascii="Times New Roman" w:hAnsi="Times New Roman" w:cs="Times New Roman"/>
          <w:bCs/>
          <w:szCs w:val="21"/>
        </w:rPr>
        <w:t xml:space="preserve">, including </w:t>
      </w:r>
      <w:r w:rsidR="0064050C" w:rsidRPr="006D2720">
        <w:rPr>
          <w:rFonts w:ascii="Times New Roman" w:hAnsi="Times New Roman" w:cs="Times New Roman"/>
          <w:bCs/>
          <w:szCs w:val="21"/>
        </w:rPr>
        <w:t xml:space="preserve">where the public figure has revealed some aspects of </w:t>
      </w:r>
      <w:r w:rsidR="002440BB" w:rsidRPr="006D2720">
        <w:rPr>
          <w:rFonts w:ascii="Times New Roman" w:hAnsi="Times New Roman" w:cs="Times New Roman"/>
          <w:bCs/>
          <w:szCs w:val="21"/>
        </w:rPr>
        <w:t>their</w:t>
      </w:r>
      <w:r w:rsidR="0064050C" w:rsidRPr="006D2720">
        <w:rPr>
          <w:rFonts w:ascii="Times New Roman" w:hAnsi="Times New Roman" w:cs="Times New Roman"/>
          <w:bCs/>
          <w:szCs w:val="21"/>
        </w:rPr>
        <w:t xml:space="preserve"> private life, but wishes to keep other aspects private</w:t>
      </w:r>
      <w:r w:rsidRPr="006D2720">
        <w:rPr>
          <w:rFonts w:ascii="Times New Roman" w:hAnsi="Times New Roman" w:cs="Times New Roman"/>
          <w:bCs/>
          <w:szCs w:val="21"/>
        </w:rPr>
        <w:t>;</w:t>
      </w:r>
      <w:r w:rsidR="0064050C" w:rsidRPr="006D2720">
        <w:rPr>
          <w:rFonts w:ascii="Times New Roman" w:hAnsi="Times New Roman" w:cs="Times New Roman"/>
          <w:bCs/>
          <w:szCs w:val="21"/>
          <w:vertAlign w:val="superscript"/>
        </w:rPr>
        <w:footnoteReference w:id="417"/>
      </w:r>
    </w:p>
    <w:p w14:paraId="65113210" w14:textId="3E234B4E" w:rsidR="0064050C" w:rsidRPr="006D2720" w:rsidRDefault="0064050C">
      <w:pPr>
        <w:numPr>
          <w:ilvl w:val="0"/>
          <w:numId w:val="4"/>
        </w:numPr>
        <w:rPr>
          <w:rFonts w:ascii="Times New Roman" w:hAnsi="Times New Roman" w:cs="Times New Roman"/>
          <w:bCs/>
          <w:szCs w:val="21"/>
        </w:rPr>
      </w:pPr>
      <w:r w:rsidRPr="006D2720">
        <w:rPr>
          <w:rFonts w:ascii="Times New Roman" w:hAnsi="Times New Roman" w:cs="Times New Roman"/>
          <w:bCs/>
          <w:szCs w:val="21"/>
        </w:rPr>
        <w:t>‘</w:t>
      </w:r>
      <w:r w:rsidR="002C3F19" w:rsidRPr="006D2720">
        <w:rPr>
          <w:rFonts w:ascii="Times New Roman" w:hAnsi="Times New Roman" w:cs="Times New Roman"/>
          <w:bCs/>
          <w:szCs w:val="21"/>
        </w:rPr>
        <w:t>k</w:t>
      </w:r>
      <w:r w:rsidRPr="006D2720">
        <w:rPr>
          <w:rFonts w:ascii="Times New Roman" w:hAnsi="Times New Roman" w:cs="Times New Roman"/>
          <w:bCs/>
          <w:szCs w:val="21"/>
        </w:rPr>
        <w:t>iss and tell’ stories, involving one party to a private or intimate relationship wishing to sell or disclos</w:t>
      </w:r>
      <w:r w:rsidR="006007DB" w:rsidRPr="006D2720">
        <w:rPr>
          <w:rFonts w:ascii="Times New Roman" w:hAnsi="Times New Roman" w:cs="Times New Roman"/>
          <w:bCs/>
          <w:szCs w:val="21"/>
        </w:rPr>
        <w:t>e</w:t>
      </w:r>
      <w:r w:rsidRPr="006D2720">
        <w:rPr>
          <w:rFonts w:ascii="Times New Roman" w:hAnsi="Times New Roman" w:cs="Times New Roman"/>
          <w:bCs/>
          <w:szCs w:val="21"/>
        </w:rPr>
        <w:t xml:space="preserve"> private or intimate information which also relates to the other party or parties to that relationship, where the latter party or parties do not consent or are opposed to that disclosure</w:t>
      </w:r>
      <w:r w:rsidR="002C3F19" w:rsidRPr="006D2720">
        <w:rPr>
          <w:rFonts w:ascii="Times New Roman" w:hAnsi="Times New Roman" w:cs="Times New Roman"/>
          <w:bCs/>
          <w:szCs w:val="21"/>
        </w:rPr>
        <w:t>;</w:t>
      </w:r>
      <w:r w:rsidRPr="006D2720">
        <w:rPr>
          <w:rFonts w:ascii="Times New Roman" w:hAnsi="Times New Roman" w:cs="Times New Roman"/>
          <w:bCs/>
          <w:szCs w:val="21"/>
          <w:vertAlign w:val="superscript"/>
        </w:rPr>
        <w:footnoteReference w:id="418"/>
      </w:r>
    </w:p>
    <w:p w14:paraId="11EC09DF" w14:textId="7857F46A" w:rsidR="0064050C"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i</w:t>
      </w:r>
      <w:r w:rsidR="0064050C" w:rsidRPr="006D2720">
        <w:rPr>
          <w:rFonts w:ascii="Times New Roman" w:hAnsi="Times New Roman" w:cs="Times New Roman"/>
          <w:bCs/>
          <w:szCs w:val="21"/>
        </w:rPr>
        <w:t>ntrusions upon privacy, including taking targeted photographs or recordings of individuals engaging in anodyne activities and/or in a public space</w:t>
      </w:r>
      <w:r w:rsidRPr="006D2720">
        <w:rPr>
          <w:rFonts w:ascii="Times New Roman" w:hAnsi="Times New Roman" w:cs="Times New Roman"/>
          <w:bCs/>
          <w:szCs w:val="21"/>
        </w:rPr>
        <w:t xml:space="preserve"> (</w:t>
      </w:r>
      <w:r w:rsidRPr="006D2720">
        <w:rPr>
          <w:rFonts w:ascii="Times New Roman" w:hAnsi="Times New Roman" w:cs="Times New Roman"/>
          <w:bCs/>
          <w:color w:val="000000" w:themeColor="text1"/>
          <w:szCs w:val="21"/>
        </w:rPr>
        <w:t>f</w:t>
      </w:r>
      <w:r w:rsidR="004539C7" w:rsidRPr="006D2720">
        <w:rPr>
          <w:rFonts w:ascii="Times New Roman" w:hAnsi="Times New Roman" w:cs="Times New Roman"/>
          <w:bCs/>
          <w:color w:val="000000" w:themeColor="text1"/>
          <w:szCs w:val="21"/>
        </w:rPr>
        <w:t xml:space="preserve">or </w:t>
      </w:r>
      <w:r w:rsidR="0064050C" w:rsidRPr="006D2720">
        <w:rPr>
          <w:rFonts w:ascii="Times New Roman" w:hAnsi="Times New Roman" w:cs="Times New Roman"/>
          <w:bCs/>
          <w:color w:val="000000" w:themeColor="text1"/>
          <w:szCs w:val="21"/>
        </w:rPr>
        <w:t xml:space="preserve">example, a family outing to a restaurant, where there is no consent to publication of the activity to the world at large, and especially </w:t>
      </w:r>
      <w:r w:rsidR="0005531A" w:rsidRPr="006D2720">
        <w:rPr>
          <w:rFonts w:ascii="Times New Roman" w:hAnsi="Times New Roman" w:cs="Times New Roman"/>
          <w:bCs/>
          <w:color w:val="000000" w:themeColor="text1"/>
          <w:szCs w:val="21"/>
        </w:rPr>
        <w:t>when photos are taken of a child, who in some cases may have a reasonable expectation of privacy where an adult does not)</w:t>
      </w:r>
      <w:r w:rsidRPr="006D2720">
        <w:rPr>
          <w:rFonts w:ascii="Times New Roman" w:hAnsi="Times New Roman" w:cs="Times New Roman"/>
          <w:bCs/>
          <w:color w:val="000000" w:themeColor="text1"/>
          <w:szCs w:val="21"/>
        </w:rPr>
        <w:t>;</w:t>
      </w:r>
      <w:r w:rsidR="0064050C" w:rsidRPr="006D2720">
        <w:rPr>
          <w:rFonts w:ascii="Times New Roman" w:hAnsi="Times New Roman" w:cs="Times New Roman"/>
          <w:bCs/>
          <w:color w:val="000000" w:themeColor="text1"/>
          <w:szCs w:val="21"/>
          <w:vertAlign w:val="superscript"/>
        </w:rPr>
        <w:footnoteReference w:id="419"/>
      </w:r>
    </w:p>
    <w:p w14:paraId="60A57490" w14:textId="33E3C2A1" w:rsidR="0064050C"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u</w:t>
      </w:r>
      <w:r w:rsidR="0064050C" w:rsidRPr="006D2720">
        <w:rPr>
          <w:rFonts w:ascii="Times New Roman" w:hAnsi="Times New Roman" w:cs="Times New Roman"/>
          <w:bCs/>
          <w:szCs w:val="21"/>
        </w:rPr>
        <w:t xml:space="preserve">se of RPAs and UAVs (drones) in a way that is intended to </w:t>
      </w:r>
      <w:r w:rsidR="002C2284" w:rsidRPr="006D2720">
        <w:rPr>
          <w:rFonts w:ascii="Times New Roman" w:hAnsi="Times New Roman" w:cs="Times New Roman"/>
          <w:bCs/>
          <w:szCs w:val="21"/>
        </w:rPr>
        <w:t xml:space="preserve">have </w:t>
      </w:r>
      <w:r w:rsidR="0064050C" w:rsidRPr="006D2720">
        <w:rPr>
          <w:rFonts w:ascii="Times New Roman" w:hAnsi="Times New Roman" w:cs="Times New Roman"/>
          <w:bCs/>
          <w:szCs w:val="21"/>
        </w:rPr>
        <w:t xml:space="preserve">or </w:t>
      </w:r>
      <w:r w:rsidR="002C2284" w:rsidRPr="006D2720">
        <w:rPr>
          <w:rFonts w:ascii="Times New Roman" w:hAnsi="Times New Roman" w:cs="Times New Roman"/>
          <w:bCs/>
          <w:szCs w:val="21"/>
        </w:rPr>
        <w:t xml:space="preserve">in fact </w:t>
      </w:r>
      <w:r w:rsidR="0064050C" w:rsidRPr="006D2720">
        <w:rPr>
          <w:rFonts w:ascii="Times New Roman" w:hAnsi="Times New Roman" w:cs="Times New Roman"/>
          <w:bCs/>
          <w:szCs w:val="21"/>
        </w:rPr>
        <w:t>has the effect of intruding upon an individual’s physical privacy</w:t>
      </w:r>
      <w:r w:rsidRPr="006D2720">
        <w:rPr>
          <w:rFonts w:ascii="Times New Roman" w:hAnsi="Times New Roman" w:cs="Times New Roman"/>
          <w:bCs/>
          <w:szCs w:val="21"/>
        </w:rPr>
        <w:t>;</w:t>
      </w:r>
      <w:r w:rsidR="0064050C" w:rsidRPr="006D2720">
        <w:rPr>
          <w:rFonts w:ascii="Times New Roman" w:hAnsi="Times New Roman" w:cs="Times New Roman"/>
          <w:bCs/>
          <w:szCs w:val="21"/>
          <w:vertAlign w:val="superscript"/>
        </w:rPr>
        <w:footnoteReference w:id="420"/>
      </w:r>
      <w:r w:rsidRPr="006D2720">
        <w:rPr>
          <w:rFonts w:ascii="Times New Roman" w:hAnsi="Times New Roman" w:cs="Times New Roman"/>
          <w:bCs/>
          <w:szCs w:val="21"/>
        </w:rPr>
        <w:t xml:space="preserve"> and</w:t>
      </w:r>
    </w:p>
    <w:p w14:paraId="597F5376" w14:textId="43AE7228" w:rsidR="00145B3B" w:rsidRPr="006D2720" w:rsidRDefault="002C3F19">
      <w:pPr>
        <w:numPr>
          <w:ilvl w:val="0"/>
          <w:numId w:val="4"/>
        </w:numPr>
        <w:rPr>
          <w:rFonts w:ascii="Times New Roman" w:hAnsi="Times New Roman" w:cs="Times New Roman"/>
          <w:bCs/>
          <w:szCs w:val="21"/>
        </w:rPr>
      </w:pPr>
      <w:r w:rsidRPr="006D2720">
        <w:rPr>
          <w:rFonts w:ascii="Times New Roman" w:hAnsi="Times New Roman" w:cs="Times New Roman"/>
          <w:bCs/>
          <w:szCs w:val="21"/>
        </w:rPr>
        <w:t>g</w:t>
      </w:r>
      <w:r w:rsidR="0064050C" w:rsidRPr="006D2720">
        <w:rPr>
          <w:rFonts w:ascii="Times New Roman" w:hAnsi="Times New Roman" w:cs="Times New Roman"/>
          <w:bCs/>
          <w:szCs w:val="21"/>
        </w:rPr>
        <w:t>eneral intrusions upon seclusion, whether or not they involve audio-visual recording.</w:t>
      </w:r>
      <w:r w:rsidR="0064050C" w:rsidRPr="006D2720">
        <w:rPr>
          <w:rFonts w:ascii="Times New Roman" w:hAnsi="Times New Roman" w:cs="Times New Roman"/>
          <w:bCs/>
          <w:szCs w:val="21"/>
          <w:vertAlign w:val="superscript"/>
        </w:rPr>
        <w:footnoteReference w:id="421"/>
      </w:r>
    </w:p>
    <w:p w14:paraId="7F5C5C63" w14:textId="10A8BBE2" w:rsidR="00A42491" w:rsidRDefault="00145B3B" w:rsidP="00145B3B">
      <w:pPr>
        <w:pStyle w:val="Heading3"/>
        <w:rPr>
          <w:rFonts w:ascii="Times New Roman" w:hAnsi="Times New Roman" w:cs="Times New Roman"/>
        </w:rPr>
      </w:pPr>
      <w:bookmarkStart w:id="436" w:name="_Ref129273622"/>
      <w:r w:rsidRPr="006D2720">
        <w:rPr>
          <w:rFonts w:ascii="Times New Roman" w:hAnsi="Times New Roman" w:cs="Times New Roman"/>
        </w:rPr>
        <w:t xml:space="preserve">The discussion in this section raises a general issue as to whether Tasmania needs a comprehensive civil </w:t>
      </w:r>
      <w:r w:rsidR="00A53AC3" w:rsidRPr="006D2720">
        <w:rPr>
          <w:rFonts w:ascii="Times New Roman" w:hAnsi="Times New Roman" w:cs="Times New Roman"/>
        </w:rPr>
        <w:t xml:space="preserve">statutory cause of action (and </w:t>
      </w:r>
      <w:r w:rsidRPr="006D2720">
        <w:rPr>
          <w:rFonts w:ascii="Times New Roman" w:hAnsi="Times New Roman" w:cs="Times New Roman"/>
        </w:rPr>
        <w:t>remedy</w:t>
      </w:r>
      <w:r w:rsidR="00A53AC3" w:rsidRPr="006D2720">
        <w:rPr>
          <w:rFonts w:ascii="Times New Roman" w:hAnsi="Times New Roman" w:cs="Times New Roman"/>
        </w:rPr>
        <w:t>)</w:t>
      </w:r>
      <w:r w:rsidRPr="006D2720">
        <w:rPr>
          <w:rFonts w:ascii="Times New Roman" w:hAnsi="Times New Roman" w:cs="Times New Roman"/>
        </w:rPr>
        <w:t xml:space="preserve"> for privacy interference</w:t>
      </w:r>
      <w:r w:rsidR="008B5D15" w:rsidRPr="006D2720">
        <w:rPr>
          <w:rFonts w:ascii="Times New Roman" w:hAnsi="Times New Roman" w:cs="Times New Roman"/>
        </w:rPr>
        <w:t>.</w:t>
      </w:r>
      <w:r w:rsidRPr="006D2720">
        <w:rPr>
          <w:rFonts w:ascii="Times New Roman" w:hAnsi="Times New Roman" w:cs="Times New Roman"/>
        </w:rPr>
        <w:t xml:space="preserve"> </w:t>
      </w:r>
      <w:r w:rsidR="00CD1E8B" w:rsidRPr="006D2720">
        <w:rPr>
          <w:rFonts w:ascii="Times New Roman" w:hAnsi="Times New Roman" w:cs="Times New Roman"/>
        </w:rPr>
        <w:t>As courts in Australia and other jurisdiction</w:t>
      </w:r>
      <w:r w:rsidR="008B5D15" w:rsidRPr="006D2720">
        <w:rPr>
          <w:rFonts w:ascii="Times New Roman" w:hAnsi="Times New Roman" w:cs="Times New Roman"/>
        </w:rPr>
        <w:t>s</w:t>
      </w:r>
      <w:r w:rsidR="00CD1E8B" w:rsidRPr="006D2720">
        <w:rPr>
          <w:rFonts w:ascii="Times New Roman" w:hAnsi="Times New Roman" w:cs="Times New Roman"/>
        </w:rPr>
        <w:t xml:space="preserve">, such as New Zealand, have been reluctant to recognise such </w:t>
      </w:r>
      <w:r w:rsidRPr="006D2720">
        <w:rPr>
          <w:rFonts w:ascii="Times New Roman" w:hAnsi="Times New Roman" w:cs="Times New Roman"/>
        </w:rPr>
        <w:t xml:space="preserve">a </w:t>
      </w:r>
      <w:r w:rsidR="00371109" w:rsidRPr="006D2720">
        <w:rPr>
          <w:rFonts w:ascii="Times New Roman" w:hAnsi="Times New Roman" w:cs="Times New Roman"/>
        </w:rPr>
        <w:t>cause of action</w:t>
      </w:r>
      <w:r w:rsidR="008B5D15" w:rsidRPr="006D2720">
        <w:rPr>
          <w:rFonts w:ascii="Times New Roman" w:hAnsi="Times New Roman" w:cs="Times New Roman"/>
        </w:rPr>
        <w:t>,</w:t>
      </w:r>
      <w:r w:rsidR="006A5AB7" w:rsidRPr="006D2720">
        <w:rPr>
          <w:rStyle w:val="FootnoteReference"/>
          <w:rFonts w:ascii="Times New Roman" w:hAnsi="Times New Roman" w:cs="Times New Roman"/>
        </w:rPr>
        <w:footnoteReference w:id="422"/>
      </w:r>
      <w:r w:rsidR="006A5AB7" w:rsidRPr="006D2720">
        <w:rPr>
          <w:rFonts w:ascii="Times New Roman" w:hAnsi="Times New Roman" w:cs="Times New Roman"/>
        </w:rPr>
        <w:t xml:space="preserve"> i</w:t>
      </w:r>
      <w:r w:rsidR="00CD1E8B" w:rsidRPr="006D2720">
        <w:rPr>
          <w:rFonts w:ascii="Times New Roman" w:hAnsi="Times New Roman" w:cs="Times New Roman"/>
        </w:rPr>
        <w:t xml:space="preserve">f it were to be introduced </w:t>
      </w:r>
      <w:r w:rsidRPr="006D2720">
        <w:rPr>
          <w:rFonts w:ascii="Times New Roman" w:hAnsi="Times New Roman" w:cs="Times New Roman"/>
        </w:rPr>
        <w:t>in</w:t>
      </w:r>
      <w:r w:rsidR="00CD1E8B" w:rsidRPr="006D2720">
        <w:rPr>
          <w:rFonts w:ascii="Times New Roman" w:hAnsi="Times New Roman" w:cs="Times New Roman"/>
        </w:rPr>
        <w:t>to</w:t>
      </w:r>
      <w:r w:rsidRPr="006D2720">
        <w:rPr>
          <w:rFonts w:ascii="Times New Roman" w:hAnsi="Times New Roman" w:cs="Times New Roman"/>
        </w:rPr>
        <w:t xml:space="preserve"> legislation, </w:t>
      </w:r>
      <w:r w:rsidR="00CD1E8B" w:rsidRPr="006D2720">
        <w:rPr>
          <w:rFonts w:ascii="Times New Roman" w:hAnsi="Times New Roman" w:cs="Times New Roman"/>
        </w:rPr>
        <w:t>it could</w:t>
      </w:r>
      <w:r w:rsidRPr="006D2720">
        <w:rPr>
          <w:rFonts w:ascii="Times New Roman" w:hAnsi="Times New Roman" w:cs="Times New Roman"/>
        </w:rPr>
        <w:t xml:space="preserve"> operate in addition to the existing web of </w:t>
      </w:r>
      <w:r w:rsidR="00CD1E8B" w:rsidRPr="006D2720">
        <w:rPr>
          <w:rFonts w:ascii="Times New Roman" w:hAnsi="Times New Roman" w:cs="Times New Roman"/>
        </w:rPr>
        <w:t>legal protections</w:t>
      </w:r>
      <w:r w:rsidR="00F64FC5" w:rsidRPr="006D2720">
        <w:rPr>
          <w:rFonts w:ascii="Times New Roman" w:hAnsi="Times New Roman" w:cs="Times New Roman"/>
        </w:rPr>
        <w:t>.</w:t>
      </w:r>
      <w:r w:rsidR="00CD1E8B" w:rsidRPr="006D2720">
        <w:rPr>
          <w:rFonts w:ascii="Times New Roman" w:hAnsi="Times New Roman" w:cs="Times New Roman"/>
        </w:rPr>
        <w:t xml:space="preserve"> </w:t>
      </w:r>
      <w:r w:rsidRPr="006D2720">
        <w:rPr>
          <w:rFonts w:ascii="Times New Roman" w:hAnsi="Times New Roman" w:cs="Times New Roman"/>
        </w:rPr>
        <w:t xml:space="preserve">If such a </w:t>
      </w:r>
      <w:r w:rsidR="00371109" w:rsidRPr="006D2720">
        <w:rPr>
          <w:rFonts w:ascii="Times New Roman" w:hAnsi="Times New Roman" w:cs="Times New Roman"/>
        </w:rPr>
        <w:t>cause of action</w:t>
      </w:r>
      <w:r w:rsidRPr="006D2720">
        <w:rPr>
          <w:rFonts w:ascii="Times New Roman" w:hAnsi="Times New Roman" w:cs="Times New Roman"/>
        </w:rPr>
        <w:t xml:space="preserve"> were to exist, the scope and limits of such a comprehensive protection also require consideration.</w:t>
      </w:r>
      <w:bookmarkEnd w:id="436"/>
      <w:r w:rsidR="006A5AB7" w:rsidRPr="006D2720">
        <w:rPr>
          <w:rFonts w:ascii="Times New Roman" w:hAnsi="Times New Roman" w:cs="Times New Roman"/>
        </w:rPr>
        <w:t xml:space="preserve"> </w:t>
      </w:r>
    </w:p>
    <w:p w14:paraId="343C8467" w14:textId="77777777" w:rsidR="00A42491" w:rsidRDefault="00A42491">
      <w:pPr>
        <w:rPr>
          <w:rFonts w:ascii="Times New Roman" w:eastAsiaTheme="majorEastAsia" w:hAnsi="Times New Roman" w:cs="Times New Roman"/>
          <w:bCs/>
          <w:color w:val="0D0D0D" w:themeColor="text1" w:themeTint="F2"/>
          <w:szCs w:val="21"/>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607"/>
        <w:gridCol w:w="8409"/>
      </w:tblGrid>
      <w:tr w:rsidR="00344310" w:rsidRPr="006D2720" w14:paraId="6BE94141" w14:textId="77777777" w:rsidTr="007F6971">
        <w:trPr>
          <w:tblHeader/>
        </w:trPr>
        <w:tc>
          <w:tcPr>
            <w:tcW w:w="0" w:type="auto"/>
            <w:gridSpan w:val="2"/>
            <w:shd w:val="clear" w:color="auto" w:fill="A6A6A6" w:themeFill="background1" w:themeFillShade="A6"/>
          </w:tcPr>
          <w:p w14:paraId="5388C910" w14:textId="77777777" w:rsidR="00344310" w:rsidRPr="006D2720" w:rsidRDefault="00344310" w:rsidP="00951B41">
            <w:pPr>
              <w:rPr>
                <w:rFonts w:ascii="Times New Roman" w:hAnsi="Times New Roman" w:cs="Times New Roman"/>
                <w:b/>
                <w:bCs/>
                <w:sz w:val="22"/>
                <w:szCs w:val="22"/>
              </w:rPr>
            </w:pPr>
          </w:p>
          <w:p w14:paraId="41965908" w14:textId="77777777" w:rsidR="00344310" w:rsidRPr="006D2720" w:rsidRDefault="00344310" w:rsidP="00951B41">
            <w:pPr>
              <w:rPr>
                <w:rFonts w:ascii="Times New Roman" w:hAnsi="Times New Roman" w:cs="Times New Roman"/>
                <w:b/>
                <w:bCs/>
                <w:sz w:val="24"/>
              </w:rPr>
            </w:pPr>
            <w:r w:rsidRPr="006D2720">
              <w:rPr>
                <w:rFonts w:ascii="Times New Roman" w:hAnsi="Times New Roman" w:cs="Times New Roman"/>
                <w:b/>
                <w:bCs/>
                <w:sz w:val="24"/>
              </w:rPr>
              <w:t>Questions:</w:t>
            </w:r>
          </w:p>
          <w:p w14:paraId="3FE2692A" w14:textId="77777777" w:rsidR="00344310" w:rsidRPr="006D2720" w:rsidRDefault="00344310" w:rsidP="00951B41">
            <w:pPr>
              <w:rPr>
                <w:rFonts w:ascii="Times New Roman" w:hAnsi="Times New Roman" w:cs="Times New Roman"/>
                <w:b/>
                <w:bCs/>
                <w:sz w:val="22"/>
                <w:szCs w:val="22"/>
              </w:rPr>
            </w:pPr>
          </w:p>
        </w:tc>
      </w:tr>
      <w:tr w:rsidR="00344310" w:rsidRPr="006D2720" w14:paraId="6D0D3E3C" w14:textId="77777777" w:rsidTr="00951B41">
        <w:tc>
          <w:tcPr>
            <w:tcW w:w="607" w:type="dxa"/>
          </w:tcPr>
          <w:p w14:paraId="6E794203" w14:textId="5FAA3697"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4.1</w:t>
            </w:r>
          </w:p>
        </w:tc>
        <w:tc>
          <w:tcPr>
            <w:tcW w:w="8409" w:type="dxa"/>
          </w:tcPr>
          <w:p w14:paraId="3CE66068" w14:textId="3F5CE3A2"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Should the existing protections in the listening devices legislation be amended in Tasmania to strengthen the protection of individuals against surveillance, whether governmental, workplace, or private surveillance?</w:t>
            </w:r>
          </w:p>
        </w:tc>
      </w:tr>
      <w:tr w:rsidR="00344310" w:rsidRPr="006D2720" w14:paraId="748E1267" w14:textId="77777777" w:rsidTr="00951B41">
        <w:tc>
          <w:tcPr>
            <w:tcW w:w="607" w:type="dxa"/>
          </w:tcPr>
          <w:p w14:paraId="30197670" w14:textId="6543A703"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4.2</w:t>
            </w:r>
          </w:p>
        </w:tc>
        <w:tc>
          <w:tcPr>
            <w:tcW w:w="8409" w:type="dxa"/>
          </w:tcPr>
          <w:p w14:paraId="5BE17D3A" w14:textId="2B84F821"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Should there be stronger legislative protection, including through the introduction of new statutes in Tasmania, against governmental (particularly police) surveillance in general?</w:t>
            </w:r>
          </w:p>
        </w:tc>
      </w:tr>
      <w:tr w:rsidR="00344310" w:rsidRPr="006D2720" w14:paraId="13249D3A" w14:textId="77777777" w:rsidTr="00951B41">
        <w:tc>
          <w:tcPr>
            <w:tcW w:w="607" w:type="dxa"/>
          </w:tcPr>
          <w:p w14:paraId="36E2698C" w14:textId="657EBF66"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4.3</w:t>
            </w:r>
          </w:p>
        </w:tc>
        <w:tc>
          <w:tcPr>
            <w:tcW w:w="8409" w:type="dxa"/>
          </w:tcPr>
          <w:p w14:paraId="26F7FFFF" w14:textId="5C51549B"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Should there be stronger legislative protection, including through the introduction of new statutes in Tasmania, against workplace surveillance in particular?</w:t>
            </w:r>
          </w:p>
        </w:tc>
      </w:tr>
      <w:tr w:rsidR="00344310" w:rsidRPr="006D2720" w14:paraId="56ADCD39" w14:textId="77777777" w:rsidTr="00951B41">
        <w:tc>
          <w:tcPr>
            <w:tcW w:w="607" w:type="dxa"/>
          </w:tcPr>
          <w:p w14:paraId="5D984810" w14:textId="6492C56D"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4.4</w:t>
            </w:r>
          </w:p>
        </w:tc>
        <w:tc>
          <w:tcPr>
            <w:tcW w:w="8409" w:type="dxa"/>
          </w:tcPr>
          <w:p w14:paraId="36117477" w14:textId="6C60E1E0"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Should there be specific protection against interference with physical privacy through the use of drones (RPAs and UAVs)?</w:t>
            </w:r>
          </w:p>
        </w:tc>
      </w:tr>
      <w:tr w:rsidR="00344310" w:rsidRPr="006D2720" w14:paraId="5BDAA36D" w14:textId="77777777" w:rsidTr="00951B41">
        <w:tc>
          <w:tcPr>
            <w:tcW w:w="607" w:type="dxa"/>
          </w:tcPr>
          <w:p w14:paraId="255187ED" w14:textId="5DDB0B76"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4.5</w:t>
            </w:r>
          </w:p>
        </w:tc>
        <w:tc>
          <w:tcPr>
            <w:tcW w:w="8409" w:type="dxa"/>
          </w:tcPr>
          <w:p w14:paraId="43D84BA4" w14:textId="6F1FE065"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Are the existing legislative protections against stalking and harassment adequate to protect physical privacy, or should there be a new or strengthened law to protect against such physical and intimidating interferences?</w:t>
            </w:r>
          </w:p>
        </w:tc>
      </w:tr>
      <w:tr w:rsidR="00344310" w:rsidRPr="006D2720" w14:paraId="57D48391" w14:textId="77777777" w:rsidTr="00951B41">
        <w:tc>
          <w:tcPr>
            <w:tcW w:w="607" w:type="dxa"/>
          </w:tcPr>
          <w:p w14:paraId="49349E0D" w14:textId="454D2180"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4.6</w:t>
            </w:r>
          </w:p>
        </w:tc>
        <w:tc>
          <w:tcPr>
            <w:tcW w:w="8409" w:type="dxa"/>
          </w:tcPr>
          <w:p w14:paraId="02A039C2" w14:textId="160E57D0"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 xml:space="preserve">Are the existing legislative protections (largely at the Commonwealth level) against </w:t>
            </w:r>
            <w:r w:rsidR="00420479">
              <w:rPr>
                <w:rFonts w:ascii="Times New Roman" w:hAnsi="Times New Roman" w:cs="Times New Roman"/>
                <w:sz w:val="22"/>
                <w:szCs w:val="22"/>
              </w:rPr>
              <w:t>image</w:t>
            </w:r>
            <w:r w:rsidR="00CB6D7E">
              <w:rPr>
                <w:rFonts w:ascii="Times New Roman" w:hAnsi="Times New Roman" w:cs="Times New Roman"/>
                <w:sz w:val="22"/>
                <w:szCs w:val="22"/>
              </w:rPr>
              <w:t>-</w:t>
            </w:r>
            <w:r w:rsidR="00420479">
              <w:rPr>
                <w:rFonts w:ascii="Times New Roman" w:hAnsi="Times New Roman" w:cs="Times New Roman"/>
                <w:sz w:val="22"/>
                <w:szCs w:val="22"/>
              </w:rPr>
              <w:t xml:space="preserve">based abuse </w:t>
            </w:r>
            <w:r w:rsidRPr="006D2720">
              <w:rPr>
                <w:rFonts w:ascii="Times New Roman" w:hAnsi="Times New Roman" w:cs="Times New Roman"/>
                <w:sz w:val="22"/>
                <w:szCs w:val="22"/>
              </w:rPr>
              <w:t>and similar online privacy interferences adequate to protect individual privacy, or should the Tasmanian Parliament enact new criminal offences or civil remedies for such egregious online interferences with privacy, as other Australian jurisdictions have done?</w:t>
            </w:r>
          </w:p>
        </w:tc>
      </w:tr>
      <w:tr w:rsidR="00344310" w:rsidRPr="006D2720" w14:paraId="5338C1FB" w14:textId="77777777" w:rsidTr="00951B41">
        <w:tc>
          <w:tcPr>
            <w:tcW w:w="607" w:type="dxa"/>
          </w:tcPr>
          <w:p w14:paraId="0EC84572" w14:textId="0D7F1272"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4.7</w:t>
            </w:r>
          </w:p>
        </w:tc>
        <w:tc>
          <w:tcPr>
            <w:tcW w:w="8409" w:type="dxa"/>
          </w:tcPr>
          <w:p w14:paraId="341CE2E2" w14:textId="04FFDA12"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Does existing judicial recognition of privacy (either through equitable remedies or as a nascent constitutional principle) provide adequate protection for individual privacy, especially in circumstances not covered by the PIPA and other legislative protections?</w:t>
            </w:r>
          </w:p>
        </w:tc>
      </w:tr>
      <w:tr w:rsidR="00344310" w:rsidRPr="006D2720" w14:paraId="7171E21D" w14:textId="77777777" w:rsidTr="005B0903">
        <w:tc>
          <w:tcPr>
            <w:tcW w:w="607" w:type="dxa"/>
          </w:tcPr>
          <w:p w14:paraId="437697C5" w14:textId="3A85C68F"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4.8</w:t>
            </w:r>
          </w:p>
        </w:tc>
        <w:tc>
          <w:tcPr>
            <w:tcW w:w="8409" w:type="dxa"/>
          </w:tcPr>
          <w:p w14:paraId="37A93563" w14:textId="35FF2D09" w:rsidR="00344310" w:rsidRPr="006D2720" w:rsidRDefault="00344310" w:rsidP="005B0903">
            <w:pPr>
              <w:spacing w:before="120" w:after="120"/>
              <w:rPr>
                <w:rFonts w:ascii="Times New Roman" w:hAnsi="Times New Roman" w:cs="Times New Roman"/>
                <w:bCs/>
                <w:sz w:val="22"/>
                <w:szCs w:val="22"/>
              </w:rPr>
            </w:pPr>
            <w:r w:rsidRPr="006D2720">
              <w:rPr>
                <w:rFonts w:ascii="Times New Roman" w:hAnsi="Times New Roman" w:cs="Times New Roman"/>
                <w:bCs/>
                <w:sz w:val="22"/>
                <w:szCs w:val="22"/>
              </w:rPr>
              <w:t>Should Tasmania codify a fundamental right to privacy, which can be set aside by other legislation that authorises activities that may interfere with privacy, and which is qualified by justified limitations?</w:t>
            </w:r>
          </w:p>
        </w:tc>
      </w:tr>
      <w:tr w:rsidR="00344310" w:rsidRPr="006D2720" w14:paraId="79D19385" w14:textId="77777777" w:rsidTr="00951B41">
        <w:tc>
          <w:tcPr>
            <w:tcW w:w="607" w:type="dxa"/>
          </w:tcPr>
          <w:p w14:paraId="6C1561E3" w14:textId="1D172FFB" w:rsidR="00344310" w:rsidRPr="006D2720" w:rsidRDefault="00344310" w:rsidP="005B0903">
            <w:pPr>
              <w:spacing w:before="120" w:after="120"/>
              <w:rPr>
                <w:rFonts w:ascii="Times New Roman" w:hAnsi="Times New Roman" w:cs="Times New Roman"/>
                <w:sz w:val="22"/>
                <w:szCs w:val="22"/>
              </w:rPr>
            </w:pPr>
            <w:r w:rsidRPr="006D2720">
              <w:rPr>
                <w:rFonts w:ascii="Times New Roman" w:hAnsi="Times New Roman" w:cs="Times New Roman"/>
                <w:sz w:val="22"/>
                <w:szCs w:val="22"/>
              </w:rPr>
              <w:t>4.9</w:t>
            </w:r>
          </w:p>
        </w:tc>
        <w:tc>
          <w:tcPr>
            <w:tcW w:w="8409" w:type="dxa"/>
          </w:tcPr>
          <w:p w14:paraId="0B593EF9" w14:textId="3F7E78DE" w:rsidR="00344310" w:rsidRPr="006D2720" w:rsidRDefault="00344310" w:rsidP="005B0903">
            <w:pPr>
              <w:spacing w:before="120" w:after="120"/>
              <w:rPr>
                <w:rFonts w:ascii="Times New Roman" w:hAnsi="Times New Roman" w:cs="Times New Roman"/>
                <w:bCs/>
                <w:sz w:val="22"/>
                <w:szCs w:val="22"/>
              </w:rPr>
            </w:pPr>
            <w:r w:rsidRPr="006D2720">
              <w:rPr>
                <w:rFonts w:ascii="Times New Roman" w:hAnsi="Times New Roman" w:cs="Times New Roman"/>
                <w:bCs/>
                <w:sz w:val="22"/>
                <w:szCs w:val="22"/>
              </w:rPr>
              <w:t xml:space="preserve">Should </w:t>
            </w:r>
            <w:r w:rsidR="00D17C67" w:rsidRPr="006D2720">
              <w:rPr>
                <w:rFonts w:ascii="Times New Roman" w:hAnsi="Times New Roman" w:cs="Times New Roman"/>
                <w:bCs/>
                <w:sz w:val="22"/>
                <w:szCs w:val="22"/>
              </w:rPr>
              <w:t xml:space="preserve">the Tasmanian Parliament legislate to introduce a statutory civil cause of action </w:t>
            </w:r>
            <w:r w:rsidRPr="006D2720">
              <w:rPr>
                <w:rFonts w:ascii="Times New Roman" w:hAnsi="Times New Roman" w:cs="Times New Roman"/>
                <w:bCs/>
                <w:sz w:val="22"/>
                <w:szCs w:val="22"/>
              </w:rPr>
              <w:t xml:space="preserve">for interference with privacy in Tasmania in </w:t>
            </w:r>
            <w:r w:rsidR="00ED7327" w:rsidRPr="006D2720">
              <w:rPr>
                <w:rFonts w:ascii="Times New Roman" w:hAnsi="Times New Roman" w:cs="Times New Roman"/>
                <w:bCs/>
                <w:sz w:val="22"/>
                <w:szCs w:val="22"/>
              </w:rPr>
              <w:t xml:space="preserve">place of or in </w:t>
            </w:r>
            <w:r w:rsidRPr="006D2720">
              <w:rPr>
                <w:rFonts w:ascii="Times New Roman" w:hAnsi="Times New Roman" w:cs="Times New Roman"/>
                <w:bCs/>
                <w:sz w:val="22"/>
                <w:szCs w:val="22"/>
              </w:rPr>
              <w:t>addition to existing legal protections?</w:t>
            </w:r>
            <w:r w:rsidR="00ED7327" w:rsidRPr="006D2720">
              <w:rPr>
                <w:rFonts w:ascii="Times New Roman" w:hAnsi="Times New Roman" w:cs="Times New Roman"/>
                <w:bCs/>
                <w:sz w:val="22"/>
                <w:szCs w:val="22"/>
              </w:rPr>
              <w:t xml:space="preserve">  </w:t>
            </w:r>
            <w:r w:rsidR="00113CD8" w:rsidRPr="006D2720">
              <w:rPr>
                <w:rFonts w:ascii="Times New Roman" w:hAnsi="Times New Roman" w:cs="Times New Roman"/>
                <w:bCs/>
                <w:sz w:val="22"/>
                <w:szCs w:val="22"/>
              </w:rPr>
              <w:t>If so, how should this cause of action be framed, taking into account the matters of threshold and scope, breach, defences, and remedies?</w:t>
            </w:r>
          </w:p>
        </w:tc>
      </w:tr>
    </w:tbl>
    <w:p w14:paraId="5BB8A899" w14:textId="77777777" w:rsidR="00344310" w:rsidRPr="006D2720" w:rsidRDefault="00344310" w:rsidP="003F04FF">
      <w:pPr>
        <w:keepNext/>
        <w:rPr>
          <w:rFonts w:ascii="Times New Roman" w:hAnsi="Times New Roman" w:cs="Times New Roman"/>
          <w:bCs/>
          <w:i/>
          <w:szCs w:val="21"/>
          <w:lang w:val="en-GB"/>
        </w:rPr>
      </w:pPr>
    </w:p>
    <w:p w14:paraId="54DF8710" w14:textId="77777777" w:rsidR="00AD1632" w:rsidRPr="006D2720" w:rsidRDefault="00AD1632" w:rsidP="00EE0776">
      <w:pPr>
        <w:pStyle w:val="Heading1"/>
        <w:numPr>
          <w:ilvl w:val="0"/>
          <w:numId w:val="0"/>
        </w:numPr>
        <w:ind w:left="431" w:hanging="431"/>
        <w:rPr>
          <w:rFonts w:ascii="Times New Roman" w:hAnsi="Times New Roman" w:cs="Times New Roman"/>
          <w:lang w:val="en-GB"/>
        </w:rPr>
        <w:sectPr w:rsidR="00AD1632" w:rsidRPr="006D2720" w:rsidSect="00AD1632">
          <w:headerReference w:type="even" r:id="rId33"/>
          <w:headerReference w:type="default" r:id="rId34"/>
          <w:pgSz w:w="11906" w:h="16838"/>
          <w:pgMar w:top="1440" w:right="1440" w:bottom="1440" w:left="1440" w:header="708" w:footer="708" w:gutter="0"/>
          <w:cols w:space="708"/>
          <w:docGrid w:linePitch="360"/>
        </w:sectPr>
      </w:pPr>
      <w:bookmarkStart w:id="437" w:name="_Appendix_1_1"/>
      <w:bookmarkEnd w:id="437"/>
    </w:p>
    <w:p w14:paraId="346E41F2" w14:textId="54AC78F6" w:rsidR="00EE0776" w:rsidRPr="006D2720" w:rsidRDefault="00EE0776" w:rsidP="00EE0776">
      <w:pPr>
        <w:pStyle w:val="Heading1"/>
        <w:numPr>
          <w:ilvl w:val="0"/>
          <w:numId w:val="0"/>
        </w:numPr>
        <w:ind w:left="431" w:hanging="431"/>
        <w:rPr>
          <w:rFonts w:ascii="Times New Roman" w:hAnsi="Times New Roman" w:cs="Times New Roman"/>
          <w:lang w:val="en-GB"/>
        </w:rPr>
      </w:pPr>
      <w:bookmarkStart w:id="438" w:name="_Toc130540462"/>
      <w:r w:rsidRPr="006D2720">
        <w:rPr>
          <w:rFonts w:ascii="Times New Roman" w:hAnsi="Times New Roman" w:cs="Times New Roman"/>
          <w:lang w:val="en-GB"/>
        </w:rPr>
        <w:t>Appendix 1</w:t>
      </w:r>
      <w:bookmarkEnd w:id="438"/>
    </w:p>
    <w:p w14:paraId="04E4C21A" w14:textId="49E25877" w:rsidR="00EE0776" w:rsidRPr="006D2720" w:rsidRDefault="00EE0776" w:rsidP="00EE0776">
      <w:pPr>
        <w:pStyle w:val="Heading2"/>
        <w:numPr>
          <w:ilvl w:val="0"/>
          <w:numId w:val="0"/>
        </w:numPr>
        <w:ind w:left="578" w:hanging="578"/>
        <w:rPr>
          <w:rFonts w:ascii="Times New Roman" w:hAnsi="Times New Roman" w:cs="Times New Roman"/>
          <w:lang w:val="en-GB"/>
        </w:rPr>
      </w:pPr>
      <w:bookmarkStart w:id="439" w:name="_Toc130540463"/>
      <w:r w:rsidRPr="006D2720">
        <w:rPr>
          <w:rFonts w:ascii="Times New Roman" w:hAnsi="Times New Roman" w:cs="Times New Roman"/>
          <w:lang w:val="en-GB"/>
        </w:rPr>
        <w:t>State and territory protection of privacy</w:t>
      </w:r>
      <w:bookmarkEnd w:id="439"/>
    </w:p>
    <w:p w14:paraId="56F7031C"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New South Wales (‘NSW’)</w:t>
      </w:r>
    </w:p>
    <w:p w14:paraId="5D3F34B1"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 xml:space="preserve">Privacy Committee Act 1975 </w:t>
      </w:r>
      <w:r w:rsidRPr="006D2720">
        <w:rPr>
          <w:rFonts w:ascii="Times New Roman" w:hAnsi="Times New Roman" w:cs="Times New Roman"/>
          <w:iCs/>
        </w:rPr>
        <w:t>(NSW)</w:t>
      </w:r>
      <w:r w:rsidRPr="006D2720">
        <w:rPr>
          <w:rFonts w:ascii="Times New Roman" w:hAnsi="Times New Roman" w:cs="Times New Roman"/>
        </w:rPr>
        <w:t xml:space="preserve"> established a body to investigate complaints about the handing of private information by NSW government bodies. After the passing of the</w:t>
      </w:r>
      <w:r w:rsidRPr="006D2720">
        <w:rPr>
          <w:rFonts w:ascii="Times New Roman" w:hAnsi="Times New Roman" w:cs="Times New Roman"/>
          <w:i/>
        </w:rPr>
        <w:t xml:space="preserve"> Privacy and Personal Information Protection Act 1998 </w:t>
      </w:r>
      <w:r w:rsidRPr="006D2720">
        <w:rPr>
          <w:rFonts w:ascii="Times New Roman" w:hAnsi="Times New Roman" w:cs="Times New Roman"/>
        </w:rPr>
        <w:t xml:space="preserve">(NSW), the Committee was replaced by a Privacy Commissioner. The Act also establishes Information Privacy Principles applicable to NSW public sector agencies (other than health information). These principles are similar, though not identical, to the APPs in the </w:t>
      </w:r>
      <w:r w:rsidRPr="006D2720">
        <w:rPr>
          <w:rFonts w:ascii="Times New Roman" w:hAnsi="Times New Roman" w:cs="Times New Roman"/>
          <w:i/>
          <w:iCs/>
        </w:rPr>
        <w:t>Privacy Act 1998</w:t>
      </w:r>
      <w:r w:rsidRPr="006D2720">
        <w:rPr>
          <w:rFonts w:ascii="Times New Roman" w:hAnsi="Times New Roman" w:cs="Times New Roman"/>
        </w:rPr>
        <w:t xml:space="preserve"> (Cth) (‘Privacy Act’). The </w:t>
      </w:r>
      <w:r w:rsidRPr="006D2720">
        <w:rPr>
          <w:rFonts w:ascii="Times New Roman" w:hAnsi="Times New Roman" w:cs="Times New Roman"/>
          <w:i/>
          <w:iCs/>
        </w:rPr>
        <w:t>Government Information (Information Commissioner) Act 2009</w:t>
      </w:r>
      <w:r w:rsidRPr="006D2720">
        <w:rPr>
          <w:rFonts w:ascii="Times New Roman" w:hAnsi="Times New Roman" w:cs="Times New Roman"/>
        </w:rPr>
        <w:t xml:space="preserve"> (NSW) establishes an Information Commissioner, separate to the Privacy Commissioner, both of which operate within the Information and Privacy Commission of NSW. </w:t>
      </w:r>
    </w:p>
    <w:p w14:paraId="5CD55D3D"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Health Records and Information Privacy Protection Act 2002</w:t>
      </w:r>
      <w:r w:rsidRPr="006D2720">
        <w:rPr>
          <w:rFonts w:ascii="Times New Roman" w:hAnsi="Times New Roman" w:cs="Times New Roman"/>
        </w:rPr>
        <w:t xml:space="preserve"> (NSW) extended protection of personal health information to some private health organisations. The </w:t>
      </w:r>
      <w:r w:rsidRPr="006D2720">
        <w:rPr>
          <w:rFonts w:ascii="Times New Roman" w:hAnsi="Times New Roman" w:cs="Times New Roman"/>
          <w:i/>
        </w:rPr>
        <w:t>Workplace Surveillance Act 2005</w:t>
      </w:r>
      <w:r w:rsidRPr="006D2720">
        <w:rPr>
          <w:rFonts w:ascii="Times New Roman" w:hAnsi="Times New Roman" w:cs="Times New Roman"/>
        </w:rPr>
        <w:t xml:space="preserve"> (NSW) and </w:t>
      </w:r>
      <w:r w:rsidRPr="006D2720">
        <w:rPr>
          <w:rFonts w:ascii="Times New Roman" w:hAnsi="Times New Roman" w:cs="Times New Roman"/>
          <w:i/>
        </w:rPr>
        <w:t>Surveillance Devices Act 2007</w:t>
      </w:r>
      <w:r w:rsidRPr="006D2720">
        <w:rPr>
          <w:rFonts w:ascii="Times New Roman" w:hAnsi="Times New Roman" w:cs="Times New Roman"/>
        </w:rPr>
        <w:t xml:space="preserve"> (NSW) regulate the surveillance of employees and use of surveillance devices generally. Other legislation that relates to privacy include: the </w:t>
      </w:r>
      <w:r w:rsidRPr="006D2720">
        <w:rPr>
          <w:rFonts w:ascii="Times New Roman" w:hAnsi="Times New Roman" w:cs="Times New Roman"/>
          <w:i/>
        </w:rPr>
        <w:t>Adoption Act 2000</w:t>
      </w:r>
      <w:r w:rsidRPr="006D2720">
        <w:rPr>
          <w:rFonts w:ascii="Times New Roman" w:hAnsi="Times New Roman" w:cs="Times New Roman"/>
        </w:rPr>
        <w:t xml:space="preserve"> (NSW), </w:t>
      </w:r>
      <w:r w:rsidRPr="006D2720">
        <w:rPr>
          <w:rFonts w:ascii="Times New Roman" w:hAnsi="Times New Roman" w:cs="Times New Roman"/>
          <w:i/>
        </w:rPr>
        <w:t>Assisted Reproductive Technology Act 2007</w:t>
      </w:r>
      <w:r w:rsidRPr="006D2720">
        <w:rPr>
          <w:rFonts w:ascii="Times New Roman" w:hAnsi="Times New Roman" w:cs="Times New Roman"/>
        </w:rPr>
        <w:t xml:space="preserve"> (NSW), </w:t>
      </w:r>
      <w:r w:rsidRPr="006D2720">
        <w:rPr>
          <w:rFonts w:ascii="Times New Roman" w:hAnsi="Times New Roman" w:cs="Times New Roman"/>
          <w:i/>
        </w:rPr>
        <w:t>Crimes (Forensic Procedures) Act 2000</w:t>
      </w:r>
      <w:r w:rsidRPr="006D2720">
        <w:rPr>
          <w:rFonts w:ascii="Times New Roman" w:hAnsi="Times New Roman" w:cs="Times New Roman"/>
        </w:rPr>
        <w:t xml:space="preserve"> (NSW), and the </w:t>
      </w:r>
      <w:r w:rsidRPr="006D2720">
        <w:rPr>
          <w:rFonts w:ascii="Times New Roman" w:hAnsi="Times New Roman" w:cs="Times New Roman"/>
          <w:i/>
        </w:rPr>
        <w:t>Criminal Records Act 1991</w:t>
      </w:r>
      <w:r w:rsidRPr="006D2720">
        <w:rPr>
          <w:rFonts w:ascii="Times New Roman" w:hAnsi="Times New Roman" w:cs="Times New Roman"/>
        </w:rPr>
        <w:t xml:space="preserve"> (NSW).</w:t>
      </w:r>
    </w:p>
    <w:p w14:paraId="0066DF6E" w14:textId="77777777" w:rsidR="00EE0776" w:rsidRPr="006D2720" w:rsidRDefault="00EE0776" w:rsidP="00EE0776">
      <w:pPr>
        <w:rPr>
          <w:rFonts w:ascii="Times New Roman" w:hAnsi="Times New Roman" w:cs="Times New Roman"/>
          <w:b/>
          <w:bCs/>
          <w:i/>
          <w:iCs/>
          <w:sz w:val="21"/>
          <w:szCs w:val="21"/>
        </w:rPr>
      </w:pPr>
      <w:r w:rsidRPr="006D2720">
        <w:rPr>
          <w:rFonts w:ascii="Times New Roman" w:hAnsi="Times New Roman" w:cs="Times New Roman"/>
          <w:b/>
          <w:bCs/>
          <w:i/>
          <w:iCs/>
        </w:rPr>
        <w:t>Victoria</w:t>
      </w:r>
    </w:p>
    <w:p w14:paraId="05963284"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iCs/>
        </w:rPr>
        <w:t>Privacy and Data Protection Act 2014</w:t>
      </w:r>
      <w:r w:rsidRPr="006D2720">
        <w:rPr>
          <w:rFonts w:ascii="Times New Roman" w:hAnsi="Times New Roman" w:cs="Times New Roman"/>
        </w:rPr>
        <w:t xml:space="preserve"> (Vic) repeals the </w:t>
      </w:r>
      <w:r w:rsidRPr="006D2720">
        <w:rPr>
          <w:rFonts w:ascii="Times New Roman" w:hAnsi="Times New Roman" w:cs="Times New Roman"/>
          <w:i/>
        </w:rPr>
        <w:t xml:space="preserve">Information Privacy Act 2000 </w:t>
      </w:r>
      <w:r w:rsidRPr="006D2720">
        <w:rPr>
          <w:rFonts w:ascii="Times New Roman" w:hAnsi="Times New Roman" w:cs="Times New Roman"/>
          <w:iCs/>
        </w:rPr>
        <w:t>(Vic)</w:t>
      </w:r>
      <w:r w:rsidRPr="006D2720">
        <w:rPr>
          <w:rFonts w:ascii="Times New Roman" w:hAnsi="Times New Roman" w:cs="Times New Roman"/>
        </w:rPr>
        <w:t xml:space="preserve">, establishing the Office of the Victorian Information Commissioner (in place of the Victorian Privacy Commissioner) and containing Information Privacy Principles applicable to Victorian public sector bodies and certain other organisations. The principles are similar to the APPs in the Privacy Act. </w:t>
      </w:r>
    </w:p>
    <w:p w14:paraId="6E1CA43B"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Health information handled by both public and private sector bodies is regulated under the </w:t>
      </w:r>
      <w:r w:rsidRPr="006D2720">
        <w:rPr>
          <w:rFonts w:ascii="Times New Roman" w:hAnsi="Times New Roman" w:cs="Times New Roman"/>
          <w:i/>
        </w:rPr>
        <w:t>Health Records Act 2001</w:t>
      </w:r>
      <w:r w:rsidRPr="006D2720">
        <w:rPr>
          <w:rFonts w:ascii="Times New Roman" w:hAnsi="Times New Roman" w:cs="Times New Roman"/>
        </w:rPr>
        <w:t xml:space="preserve"> (Vic). Workplace surveillance is regulated by the </w:t>
      </w:r>
      <w:r w:rsidRPr="006D2720">
        <w:rPr>
          <w:rFonts w:ascii="Times New Roman" w:hAnsi="Times New Roman" w:cs="Times New Roman"/>
          <w:i/>
        </w:rPr>
        <w:t>Surveillance Devices Act 1999</w:t>
      </w:r>
      <w:r w:rsidRPr="006D2720">
        <w:rPr>
          <w:rFonts w:ascii="Times New Roman" w:hAnsi="Times New Roman" w:cs="Times New Roman"/>
          <w:iCs/>
        </w:rPr>
        <w:t xml:space="preserve"> (Vic), which includes amendments made by the Surveillance</w:t>
      </w:r>
      <w:r w:rsidRPr="006D2720">
        <w:rPr>
          <w:rFonts w:ascii="Times New Roman" w:hAnsi="Times New Roman" w:cs="Times New Roman"/>
          <w:i/>
        </w:rPr>
        <w:t xml:space="preserve"> Devices (Workplace Privacy) Act 2006</w:t>
      </w:r>
      <w:r w:rsidRPr="006D2720">
        <w:rPr>
          <w:rFonts w:ascii="Times New Roman" w:hAnsi="Times New Roman" w:cs="Times New Roman"/>
        </w:rPr>
        <w:t xml:space="preserve"> (Vic). </w:t>
      </w:r>
    </w:p>
    <w:p w14:paraId="5BD54F13"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Victoria is one of the jurisdictions with a human rights charter. The </w:t>
      </w:r>
      <w:r w:rsidRPr="006D2720">
        <w:rPr>
          <w:rFonts w:ascii="Times New Roman" w:hAnsi="Times New Roman" w:cs="Times New Roman"/>
          <w:i/>
        </w:rPr>
        <w:t>Charter of Human Rights and Responsibilities Act</w:t>
      </w:r>
      <w:r w:rsidRPr="006D2720">
        <w:rPr>
          <w:rFonts w:ascii="Times New Roman" w:hAnsi="Times New Roman" w:cs="Times New Roman"/>
        </w:rPr>
        <w:t xml:space="preserve"> </w:t>
      </w:r>
      <w:r w:rsidRPr="006D2720">
        <w:rPr>
          <w:rFonts w:ascii="Times New Roman" w:hAnsi="Times New Roman" w:cs="Times New Roman"/>
          <w:i/>
          <w:iCs/>
        </w:rPr>
        <w:t>2006</w:t>
      </w:r>
      <w:r w:rsidRPr="006D2720">
        <w:rPr>
          <w:rFonts w:ascii="Times New Roman" w:hAnsi="Times New Roman" w:cs="Times New Roman"/>
        </w:rPr>
        <w:t xml:space="preserve"> (Vic) includes protection of the right of a person not to have unlawful or arbitrary interference with his or her privacy, family, home, or correspondence. This protection is achieved by mandating that legislation be interpreted consistently with the protected rights (where such interpretation is possible on the text), and by requiring public authorities to act in a way that is compatible with those rights.</w:t>
      </w:r>
    </w:p>
    <w:p w14:paraId="2147654B"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Queensland</w:t>
      </w:r>
    </w:p>
    <w:p w14:paraId="4B05BC79"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 xml:space="preserve">Invasion of Privacy Act </w:t>
      </w:r>
      <w:r w:rsidRPr="006D2720">
        <w:rPr>
          <w:rFonts w:ascii="Times New Roman" w:hAnsi="Times New Roman" w:cs="Times New Roman"/>
          <w:i/>
          <w:iCs/>
        </w:rPr>
        <w:t>1971</w:t>
      </w:r>
      <w:r w:rsidRPr="006D2720">
        <w:rPr>
          <w:rFonts w:ascii="Times New Roman" w:hAnsi="Times New Roman" w:cs="Times New Roman"/>
        </w:rPr>
        <w:t xml:space="preserve"> (Qld) regulates credit reporting agents and the use of listening devices in private conversations. The </w:t>
      </w:r>
      <w:r w:rsidRPr="006D2720">
        <w:rPr>
          <w:rFonts w:ascii="Times New Roman" w:hAnsi="Times New Roman" w:cs="Times New Roman"/>
          <w:i/>
        </w:rPr>
        <w:t>Information Privacy Act 2009</w:t>
      </w:r>
      <w:r w:rsidRPr="006D2720">
        <w:rPr>
          <w:rFonts w:ascii="Times New Roman" w:hAnsi="Times New Roman" w:cs="Times New Roman"/>
        </w:rPr>
        <w:t xml:space="preserve"> (Qld) introduced privacy obligations applicable to Queensland government departments, agencies, and contractors, as well as a separate set of principles applicable to health services. Complaints under the Act are made to the Queensland Office of the Information Commissioner.</w:t>
      </w:r>
    </w:p>
    <w:p w14:paraId="361C39B6"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rPr>
        <w:t xml:space="preserve">Queensland also has a human rights charter. The </w:t>
      </w:r>
      <w:r w:rsidRPr="006D2720">
        <w:rPr>
          <w:rFonts w:ascii="Times New Roman" w:hAnsi="Times New Roman" w:cs="Times New Roman"/>
          <w:i/>
        </w:rPr>
        <w:t>Human Rights Act 2019</w:t>
      </w:r>
      <w:r w:rsidRPr="006D2720">
        <w:rPr>
          <w:rFonts w:ascii="Times New Roman" w:hAnsi="Times New Roman" w:cs="Times New Roman"/>
        </w:rPr>
        <w:t xml:space="preserve"> (Qld) includes protection of the right not to have the person’s privacy, family, home, or correspondence unlawfully or arbitrarily interfered with; and not to have the person’s reputation unlawfully attacked. As in Victoria, protection is achieved by setting how legislation is to be interpreted, by requiring public authorities to act in a way that is compatible with the listed rights.</w:t>
      </w:r>
    </w:p>
    <w:p w14:paraId="73DEC717"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Western Australia</w:t>
      </w:r>
    </w:p>
    <w:p w14:paraId="4488C49A"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Western Australia does not have overarching privacy legislation. The </w:t>
      </w:r>
      <w:r w:rsidRPr="006D2720">
        <w:rPr>
          <w:rFonts w:ascii="Times New Roman" w:hAnsi="Times New Roman" w:cs="Times New Roman"/>
          <w:i/>
        </w:rPr>
        <w:t>Health Services Act 2016</w:t>
      </w:r>
      <w:r w:rsidRPr="006D2720">
        <w:rPr>
          <w:rFonts w:ascii="Times New Roman" w:hAnsi="Times New Roman" w:cs="Times New Roman"/>
        </w:rPr>
        <w:t xml:space="preserve"> (WA) includes a privacy provision that prohibits a person from collecting, using, or disclosing any personal information obtained in the course of their employment. It provides exceptions in certain circumstances, such as where it is done in the performance of their duties or with consent. The </w:t>
      </w:r>
      <w:r w:rsidRPr="006D2720">
        <w:rPr>
          <w:rFonts w:ascii="Times New Roman" w:hAnsi="Times New Roman" w:cs="Times New Roman"/>
          <w:i/>
        </w:rPr>
        <w:t>Freedom of Information Act 1992</w:t>
      </w:r>
      <w:r w:rsidRPr="006D2720">
        <w:rPr>
          <w:rFonts w:ascii="Times New Roman" w:hAnsi="Times New Roman" w:cs="Times New Roman"/>
        </w:rPr>
        <w:t xml:space="preserve"> (WA) also includes some privacy principles related to the disclosure and amendment of personal information held by state and local government agencies. Separately, the </w:t>
      </w:r>
      <w:r w:rsidRPr="006D2720">
        <w:rPr>
          <w:rFonts w:ascii="Times New Roman" w:hAnsi="Times New Roman" w:cs="Times New Roman"/>
          <w:i/>
        </w:rPr>
        <w:t>Surveillance Devices Act 1998</w:t>
      </w:r>
      <w:r w:rsidRPr="006D2720">
        <w:rPr>
          <w:rFonts w:ascii="Times New Roman" w:hAnsi="Times New Roman" w:cs="Times New Roman"/>
        </w:rPr>
        <w:t xml:space="preserve"> (WA) regulates the use of surveillance devices.</w:t>
      </w:r>
    </w:p>
    <w:p w14:paraId="4DEB1C8A"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South Australia</w:t>
      </w:r>
    </w:p>
    <w:p w14:paraId="4FB2B6BE" w14:textId="74D3D556"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South Australia also does not have legislation providing for general information privacy protection. Instead, </w:t>
      </w:r>
      <w:r w:rsidR="00383EEF" w:rsidRPr="006D2720">
        <w:rPr>
          <w:rFonts w:ascii="Times New Roman" w:hAnsi="Times New Roman" w:cs="Times New Roman"/>
        </w:rPr>
        <w:t>it has</w:t>
      </w:r>
      <w:r w:rsidRPr="006D2720">
        <w:rPr>
          <w:rFonts w:ascii="Times New Roman" w:hAnsi="Times New Roman" w:cs="Times New Roman"/>
        </w:rPr>
        <w:t xml:space="preserve"> the Privacy Committee of South Australia, which is established under government proclamation,</w:t>
      </w:r>
      <w:r w:rsidRPr="006D2720">
        <w:rPr>
          <w:rStyle w:val="FootnoteReference"/>
          <w:rFonts w:ascii="Times New Roman" w:hAnsi="Times New Roman" w:cs="Times New Roman"/>
        </w:rPr>
        <w:footnoteReference w:id="423"/>
      </w:r>
      <w:r w:rsidRPr="006D2720">
        <w:rPr>
          <w:rFonts w:ascii="Times New Roman" w:hAnsi="Times New Roman" w:cs="Times New Roman"/>
        </w:rPr>
        <w:t xml:space="preserve"> as well as the Information Privacy Principles Instruction, which is issued by Premier and Cabinet.</w:t>
      </w:r>
      <w:r w:rsidRPr="006D2720">
        <w:rPr>
          <w:rStyle w:val="FootnoteReference"/>
          <w:rFonts w:ascii="Times New Roman" w:hAnsi="Times New Roman" w:cs="Times New Roman"/>
        </w:rPr>
        <w:footnoteReference w:id="424"/>
      </w:r>
      <w:r w:rsidRPr="006D2720">
        <w:rPr>
          <w:rFonts w:ascii="Times New Roman" w:hAnsi="Times New Roman" w:cs="Times New Roman"/>
        </w:rPr>
        <w:t xml:space="preserve"> The Committee oversees implementation of the principles by South Australian public sector agencies. </w:t>
      </w:r>
    </w:p>
    <w:p w14:paraId="16198459"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Health and Community Services Complaints Act 2004</w:t>
      </w:r>
      <w:r w:rsidRPr="006D2720">
        <w:rPr>
          <w:rFonts w:ascii="Times New Roman" w:hAnsi="Times New Roman" w:cs="Times New Roman"/>
        </w:rPr>
        <w:t xml:space="preserve"> (SA) establishes the South Australian Health and Community Services Complaints Commissioner. This office resolves complaints about health and community services in South Australia. Complaints are addressed by reference to the </w:t>
      </w:r>
      <w:r w:rsidRPr="006D2720">
        <w:rPr>
          <w:rFonts w:ascii="Times New Roman" w:hAnsi="Times New Roman" w:cs="Times New Roman"/>
          <w:i/>
          <w:iCs/>
        </w:rPr>
        <w:t>Charter of Health and Community Services Rights</w:t>
      </w:r>
      <w:r w:rsidRPr="006D2720">
        <w:rPr>
          <w:rFonts w:ascii="Times New Roman" w:hAnsi="Times New Roman" w:cs="Times New Roman"/>
        </w:rPr>
        <w:t>, which includes the right of an individual to have their privacy respected and their personal information kept confidential and secure.</w:t>
      </w:r>
      <w:r w:rsidRPr="006D2720">
        <w:rPr>
          <w:rStyle w:val="FootnoteReference"/>
          <w:rFonts w:ascii="Times New Roman" w:hAnsi="Times New Roman" w:cs="Times New Roman"/>
        </w:rPr>
        <w:footnoteReference w:id="425"/>
      </w:r>
      <w:r w:rsidRPr="006D2720">
        <w:rPr>
          <w:rFonts w:ascii="Times New Roman" w:hAnsi="Times New Roman" w:cs="Times New Roman"/>
        </w:rPr>
        <w:t xml:space="preserve"> </w:t>
      </w:r>
    </w:p>
    <w:p w14:paraId="6BF6FE54"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Separately, the </w:t>
      </w:r>
      <w:r w:rsidRPr="006D2720">
        <w:rPr>
          <w:rFonts w:ascii="Times New Roman" w:hAnsi="Times New Roman" w:cs="Times New Roman"/>
          <w:i/>
        </w:rPr>
        <w:t>Surveillance Devices Act 2016</w:t>
      </w:r>
      <w:r w:rsidRPr="006D2720">
        <w:rPr>
          <w:rFonts w:ascii="Times New Roman" w:hAnsi="Times New Roman" w:cs="Times New Roman"/>
        </w:rPr>
        <w:t xml:space="preserve"> (SA) regulates the use of surveillance devices.</w:t>
      </w:r>
    </w:p>
    <w:p w14:paraId="7D87DEF6"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Northern Territory</w:t>
      </w:r>
    </w:p>
    <w:p w14:paraId="60818CB6"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Information Act 2002</w:t>
      </w:r>
      <w:r w:rsidRPr="006D2720">
        <w:rPr>
          <w:rFonts w:ascii="Times New Roman" w:hAnsi="Times New Roman" w:cs="Times New Roman"/>
        </w:rPr>
        <w:t xml:space="preserve"> (NT) is overseen by the Office of the Information Commissioner. The Act includes Information Privacy Principles applicable to public sector agencies. Complaints relating to the privacy of health information can be made to the Health and Community Services Complaints Commission under the </w:t>
      </w:r>
      <w:r w:rsidRPr="006D2720">
        <w:rPr>
          <w:rFonts w:ascii="Times New Roman" w:hAnsi="Times New Roman" w:cs="Times New Roman"/>
          <w:i/>
        </w:rPr>
        <w:t>Health and Community Services Complaints Act 1998</w:t>
      </w:r>
      <w:r w:rsidRPr="006D2720">
        <w:rPr>
          <w:rFonts w:ascii="Times New Roman" w:hAnsi="Times New Roman" w:cs="Times New Roman"/>
        </w:rPr>
        <w:t xml:space="preserve"> (NT). Surveillance devices are regulated by the </w:t>
      </w:r>
      <w:r w:rsidRPr="006D2720">
        <w:rPr>
          <w:rFonts w:ascii="Times New Roman" w:hAnsi="Times New Roman" w:cs="Times New Roman"/>
          <w:i/>
        </w:rPr>
        <w:t>Surveillance Devices Act 2007</w:t>
      </w:r>
      <w:r w:rsidRPr="006D2720">
        <w:rPr>
          <w:rFonts w:ascii="Times New Roman" w:hAnsi="Times New Roman" w:cs="Times New Roman"/>
        </w:rPr>
        <w:t xml:space="preserve"> (NT).</w:t>
      </w:r>
    </w:p>
    <w:p w14:paraId="64FFFA02" w14:textId="77777777" w:rsidR="00EE0776" w:rsidRPr="006D2720" w:rsidRDefault="00EE0776" w:rsidP="00EE0776">
      <w:pPr>
        <w:rPr>
          <w:rFonts w:ascii="Times New Roman" w:hAnsi="Times New Roman" w:cs="Times New Roman"/>
          <w:b/>
          <w:bCs/>
          <w:i/>
          <w:iCs/>
        </w:rPr>
      </w:pPr>
      <w:r w:rsidRPr="006D2720">
        <w:rPr>
          <w:rFonts w:ascii="Times New Roman" w:hAnsi="Times New Roman" w:cs="Times New Roman"/>
          <w:b/>
          <w:bCs/>
          <w:i/>
          <w:iCs/>
        </w:rPr>
        <w:t>Australian Capital Territory (‘ACT’)</w:t>
      </w:r>
    </w:p>
    <w:p w14:paraId="4B26FB0A"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w:t>
      </w:r>
      <w:r w:rsidRPr="006D2720">
        <w:rPr>
          <w:rFonts w:ascii="Times New Roman" w:hAnsi="Times New Roman" w:cs="Times New Roman"/>
          <w:i/>
        </w:rPr>
        <w:t>Information Privacy Act 2014</w:t>
      </w:r>
      <w:r w:rsidRPr="006D2720">
        <w:rPr>
          <w:rFonts w:ascii="Times New Roman" w:hAnsi="Times New Roman" w:cs="Times New Roman"/>
        </w:rPr>
        <w:t xml:space="preserve"> (ACT) establishes a set of Territory Privacy Principles (‘TPPs’) that govern how ACT public sector agencies handle personal information. Complaints relating to information handling practices and data breach notifications are investigated by the Office of the Australian Information Commissioner (‘OAIC’) under an arrangement with the ACT government. </w:t>
      </w:r>
    </w:p>
    <w:p w14:paraId="31798015"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Health records held by ACT Government agencies (including public hospitals) are covered by the </w:t>
      </w:r>
      <w:r w:rsidRPr="006D2720">
        <w:rPr>
          <w:rFonts w:ascii="Times New Roman" w:hAnsi="Times New Roman" w:cs="Times New Roman"/>
          <w:i/>
        </w:rPr>
        <w:t>Health Records (Privacy and Access) Act 1997</w:t>
      </w:r>
      <w:r w:rsidRPr="006D2720">
        <w:rPr>
          <w:rFonts w:ascii="Times New Roman" w:hAnsi="Times New Roman" w:cs="Times New Roman"/>
        </w:rPr>
        <w:t xml:space="preserve"> (ACT). Health record privacy complaints are made to the ACT Human Rights Commission. </w:t>
      </w:r>
    </w:p>
    <w:p w14:paraId="1D336A1E"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The ACT is the other Australian jurisdiction with a human rights charter. The </w:t>
      </w:r>
      <w:r w:rsidRPr="006D2720">
        <w:rPr>
          <w:rFonts w:ascii="Times New Roman" w:hAnsi="Times New Roman" w:cs="Times New Roman"/>
          <w:i/>
          <w:iCs/>
        </w:rPr>
        <w:t>Human Rights Act 2004</w:t>
      </w:r>
      <w:r w:rsidRPr="006D2720">
        <w:rPr>
          <w:rFonts w:ascii="Times New Roman" w:hAnsi="Times New Roman" w:cs="Times New Roman"/>
        </w:rPr>
        <w:t xml:space="preserve"> (ACT) includes protection of the right not to have the person’s privacy, family, home, or correspondence unlawfully or arbitrarily interfered with; and not to have the person’s reputation unlawfully attacked. As with Victoria and Queensland, the charter achieves this protection through approaches to interpretation of legislation and by requiring public authorities to act in a way that is compatible with the rights. </w:t>
      </w:r>
    </w:p>
    <w:p w14:paraId="587AB51F" w14:textId="77777777" w:rsidR="00EE0776" w:rsidRPr="006D2720" w:rsidRDefault="00EE0776" w:rsidP="00EE0776">
      <w:pPr>
        <w:rPr>
          <w:rFonts w:ascii="Times New Roman" w:hAnsi="Times New Roman" w:cs="Times New Roman"/>
        </w:rPr>
      </w:pPr>
      <w:r w:rsidRPr="006D2720">
        <w:rPr>
          <w:rFonts w:ascii="Times New Roman" w:hAnsi="Times New Roman" w:cs="Times New Roman"/>
        </w:rPr>
        <w:t xml:space="preserve">Surveillance devices are regulated under the </w:t>
      </w:r>
      <w:r w:rsidRPr="006D2720">
        <w:rPr>
          <w:rFonts w:ascii="Times New Roman" w:hAnsi="Times New Roman" w:cs="Times New Roman"/>
          <w:i/>
        </w:rPr>
        <w:t>Listening Devices Act 1992</w:t>
      </w:r>
      <w:r w:rsidRPr="006D2720">
        <w:rPr>
          <w:rFonts w:ascii="Times New Roman" w:hAnsi="Times New Roman" w:cs="Times New Roman"/>
        </w:rPr>
        <w:t xml:space="preserve"> (ACT).</w:t>
      </w:r>
    </w:p>
    <w:p w14:paraId="4E581303" w14:textId="77777777" w:rsidR="0064050C" w:rsidRPr="006D2720" w:rsidRDefault="0064050C" w:rsidP="00D83805">
      <w:pPr>
        <w:rPr>
          <w:rFonts w:ascii="Times New Roman" w:hAnsi="Times New Roman" w:cs="Times New Roman"/>
          <w:bCs/>
          <w:szCs w:val="21"/>
        </w:rPr>
      </w:pPr>
    </w:p>
    <w:p w14:paraId="6FEBC131" w14:textId="77777777" w:rsidR="00AD1632" w:rsidRPr="006D2720" w:rsidRDefault="00AD1632">
      <w:pPr>
        <w:pStyle w:val="Heading1"/>
        <w:numPr>
          <w:ilvl w:val="0"/>
          <w:numId w:val="0"/>
        </w:numPr>
        <w:rPr>
          <w:rFonts w:ascii="Times New Roman" w:hAnsi="Times New Roman" w:cs="Times New Roman"/>
          <w:lang w:val="en-GB"/>
        </w:rPr>
        <w:sectPr w:rsidR="00AD1632" w:rsidRPr="006D2720" w:rsidSect="000A2BA3">
          <w:headerReference w:type="even" r:id="rId35"/>
          <w:headerReference w:type="default" r:id="rId36"/>
          <w:pgSz w:w="11906" w:h="16838"/>
          <w:pgMar w:top="1440" w:right="1440" w:bottom="1440" w:left="1440" w:header="708" w:footer="708" w:gutter="0"/>
          <w:cols w:space="708"/>
          <w:docGrid w:linePitch="360"/>
        </w:sectPr>
      </w:pPr>
      <w:bookmarkStart w:id="440" w:name="_Appendix_1"/>
      <w:bookmarkStart w:id="441" w:name="_Toc91832027"/>
      <w:bookmarkEnd w:id="440"/>
    </w:p>
    <w:p w14:paraId="4F615003" w14:textId="61D53E90" w:rsidR="0064050C" w:rsidRPr="006D2720" w:rsidRDefault="0064050C">
      <w:pPr>
        <w:pStyle w:val="Heading1"/>
        <w:numPr>
          <w:ilvl w:val="0"/>
          <w:numId w:val="0"/>
        </w:numPr>
        <w:rPr>
          <w:rFonts w:ascii="Times New Roman" w:hAnsi="Times New Roman" w:cs="Times New Roman"/>
          <w:lang w:val="en-GB"/>
        </w:rPr>
      </w:pPr>
      <w:bookmarkStart w:id="442" w:name="_Toc130540464"/>
      <w:r w:rsidRPr="006D2720">
        <w:rPr>
          <w:rFonts w:ascii="Times New Roman" w:hAnsi="Times New Roman" w:cs="Times New Roman"/>
          <w:lang w:val="en-GB"/>
        </w:rPr>
        <w:t xml:space="preserve">Appendix </w:t>
      </w:r>
      <w:bookmarkEnd w:id="441"/>
      <w:r w:rsidR="00AB2C15" w:rsidRPr="006D2720">
        <w:rPr>
          <w:rFonts w:ascii="Times New Roman" w:hAnsi="Times New Roman" w:cs="Times New Roman"/>
          <w:lang w:val="en-GB"/>
        </w:rPr>
        <w:t>2</w:t>
      </w:r>
      <w:bookmarkEnd w:id="442"/>
    </w:p>
    <w:p w14:paraId="6108E141" w14:textId="175CECE7" w:rsidR="00AE08CE" w:rsidRPr="006D2720" w:rsidRDefault="00AE08CE" w:rsidP="0066337D">
      <w:pPr>
        <w:pStyle w:val="Heading2"/>
        <w:numPr>
          <w:ilvl w:val="0"/>
          <w:numId w:val="0"/>
        </w:numPr>
        <w:ind w:left="578" w:hanging="578"/>
        <w:rPr>
          <w:rFonts w:ascii="Times New Roman" w:hAnsi="Times New Roman" w:cs="Times New Roman"/>
          <w:lang w:val="en-GB"/>
        </w:rPr>
      </w:pPr>
      <w:bookmarkStart w:id="443" w:name="_Toc91832028"/>
      <w:bookmarkStart w:id="444" w:name="_Toc130540465"/>
      <w:r w:rsidRPr="006D2720">
        <w:rPr>
          <w:rFonts w:ascii="Times New Roman" w:hAnsi="Times New Roman" w:cs="Times New Roman"/>
          <w:lang w:val="en-GB"/>
        </w:rPr>
        <w:t>Law reform projects</w:t>
      </w:r>
      <w:bookmarkEnd w:id="443"/>
      <w:bookmarkEnd w:id="444"/>
    </w:p>
    <w:p w14:paraId="58553C66" w14:textId="28F21298" w:rsidR="0064050C" w:rsidRPr="006D2720" w:rsidRDefault="0064050C" w:rsidP="00D83805">
      <w:pPr>
        <w:rPr>
          <w:rFonts w:ascii="Times New Roman" w:hAnsi="Times New Roman" w:cs="Times New Roman"/>
          <w:bCs/>
          <w:szCs w:val="21"/>
        </w:rPr>
      </w:pPr>
      <w:r w:rsidRPr="006D2720">
        <w:rPr>
          <w:rFonts w:ascii="Times New Roman" w:hAnsi="Times New Roman" w:cs="Times New Roman"/>
          <w:bCs/>
          <w:szCs w:val="21"/>
        </w:rPr>
        <w:t>The table below records the main law reform projects relating to privacy law in Australia.</w:t>
      </w:r>
      <w:r w:rsidRPr="006D2720">
        <w:rPr>
          <w:rStyle w:val="FootnoteReference"/>
          <w:rFonts w:ascii="Times New Roman" w:hAnsi="Times New Roman" w:cs="Times New Roman"/>
          <w:bCs/>
          <w:szCs w:val="21"/>
        </w:rPr>
        <w:footnoteReference w:id="426"/>
      </w:r>
    </w:p>
    <w:tbl>
      <w:tblPr>
        <w:tblStyle w:val="TableGrid"/>
        <w:tblW w:w="0" w:type="auto"/>
        <w:tblCellMar>
          <w:top w:w="108" w:type="dxa"/>
          <w:bottom w:w="108" w:type="dxa"/>
        </w:tblCellMar>
        <w:tblLook w:val="04A0" w:firstRow="1" w:lastRow="0" w:firstColumn="1" w:lastColumn="0" w:noHBand="0" w:noVBand="1"/>
      </w:tblPr>
      <w:tblGrid>
        <w:gridCol w:w="701"/>
        <w:gridCol w:w="1293"/>
        <w:gridCol w:w="2112"/>
        <w:gridCol w:w="4910"/>
      </w:tblGrid>
      <w:tr w:rsidR="0064050C" w:rsidRPr="006D2720" w14:paraId="4108A7C5" w14:textId="77777777" w:rsidTr="00F0538C">
        <w:trPr>
          <w:trHeight w:val="737"/>
          <w:tblHeader/>
        </w:trPr>
        <w:tc>
          <w:tcPr>
            <w:tcW w:w="701" w:type="dxa"/>
            <w:shd w:val="clear" w:color="auto" w:fill="BFBFBF" w:themeFill="background1" w:themeFillShade="BF"/>
          </w:tcPr>
          <w:p w14:paraId="58FAF6D6" w14:textId="77777777" w:rsidR="0064050C" w:rsidRPr="006D2720" w:rsidRDefault="0064050C" w:rsidP="007D6E0F">
            <w:pPr>
              <w:rPr>
                <w:rFonts w:ascii="Times New Roman" w:hAnsi="Times New Roman" w:cs="Times New Roman"/>
                <w:b/>
                <w:bCs/>
                <w:sz w:val="19"/>
                <w:szCs w:val="19"/>
              </w:rPr>
            </w:pPr>
            <w:r w:rsidRPr="006D2720">
              <w:rPr>
                <w:rFonts w:ascii="Times New Roman" w:hAnsi="Times New Roman" w:cs="Times New Roman"/>
                <w:b/>
                <w:bCs/>
                <w:sz w:val="19"/>
                <w:szCs w:val="19"/>
              </w:rPr>
              <w:t>Year</w:t>
            </w:r>
          </w:p>
        </w:tc>
        <w:tc>
          <w:tcPr>
            <w:tcW w:w="1293" w:type="dxa"/>
            <w:shd w:val="clear" w:color="auto" w:fill="BFBFBF" w:themeFill="background1" w:themeFillShade="BF"/>
          </w:tcPr>
          <w:p w14:paraId="2EDC4B28" w14:textId="77777777" w:rsidR="0064050C" w:rsidRPr="006D2720" w:rsidRDefault="0064050C" w:rsidP="007D6E0F">
            <w:pPr>
              <w:rPr>
                <w:rFonts w:ascii="Times New Roman" w:hAnsi="Times New Roman" w:cs="Times New Roman"/>
                <w:b/>
                <w:bCs/>
                <w:sz w:val="19"/>
                <w:szCs w:val="19"/>
              </w:rPr>
            </w:pPr>
            <w:r w:rsidRPr="006D2720">
              <w:rPr>
                <w:rFonts w:ascii="Times New Roman" w:hAnsi="Times New Roman" w:cs="Times New Roman"/>
                <w:b/>
                <w:bCs/>
                <w:sz w:val="19"/>
                <w:szCs w:val="19"/>
              </w:rPr>
              <w:t>Jurisdiction</w:t>
            </w:r>
          </w:p>
        </w:tc>
        <w:tc>
          <w:tcPr>
            <w:tcW w:w="2112" w:type="dxa"/>
            <w:shd w:val="clear" w:color="auto" w:fill="BFBFBF" w:themeFill="background1" w:themeFillShade="BF"/>
          </w:tcPr>
          <w:p w14:paraId="543C0816" w14:textId="77777777" w:rsidR="0064050C" w:rsidRPr="006D2720" w:rsidRDefault="0064050C" w:rsidP="007D6E0F">
            <w:pPr>
              <w:rPr>
                <w:rFonts w:ascii="Times New Roman" w:hAnsi="Times New Roman" w:cs="Times New Roman"/>
                <w:b/>
                <w:bCs/>
                <w:sz w:val="19"/>
                <w:szCs w:val="19"/>
              </w:rPr>
            </w:pPr>
            <w:r w:rsidRPr="006D2720">
              <w:rPr>
                <w:rFonts w:ascii="Times New Roman" w:hAnsi="Times New Roman" w:cs="Times New Roman"/>
                <w:b/>
                <w:bCs/>
                <w:sz w:val="19"/>
                <w:szCs w:val="19"/>
              </w:rPr>
              <w:t>Title</w:t>
            </w:r>
          </w:p>
        </w:tc>
        <w:tc>
          <w:tcPr>
            <w:tcW w:w="4910" w:type="dxa"/>
            <w:shd w:val="clear" w:color="auto" w:fill="BFBFBF" w:themeFill="background1" w:themeFillShade="BF"/>
          </w:tcPr>
          <w:p w14:paraId="1E0F0392" w14:textId="77777777" w:rsidR="0064050C" w:rsidRPr="006D2720" w:rsidRDefault="0064050C" w:rsidP="007D6E0F">
            <w:pPr>
              <w:rPr>
                <w:rFonts w:ascii="Times New Roman" w:hAnsi="Times New Roman" w:cs="Times New Roman"/>
                <w:b/>
                <w:bCs/>
                <w:sz w:val="19"/>
                <w:szCs w:val="19"/>
              </w:rPr>
            </w:pPr>
            <w:r w:rsidRPr="006D2720">
              <w:rPr>
                <w:rFonts w:ascii="Times New Roman" w:hAnsi="Times New Roman" w:cs="Times New Roman"/>
                <w:b/>
                <w:bCs/>
                <w:sz w:val="19"/>
                <w:szCs w:val="19"/>
              </w:rPr>
              <w:t>Summarised recommendation</w:t>
            </w:r>
          </w:p>
        </w:tc>
      </w:tr>
      <w:tr w:rsidR="0064050C" w:rsidRPr="006D2720" w14:paraId="64169CE2" w14:textId="77777777" w:rsidTr="0066337D">
        <w:trPr>
          <w:trHeight w:val="2233"/>
        </w:trPr>
        <w:tc>
          <w:tcPr>
            <w:tcW w:w="701" w:type="dxa"/>
          </w:tcPr>
          <w:p w14:paraId="0418FF18"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1979</w:t>
            </w:r>
          </w:p>
        </w:tc>
        <w:tc>
          <w:tcPr>
            <w:tcW w:w="1293" w:type="dxa"/>
          </w:tcPr>
          <w:p w14:paraId="4DFEFCFB"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Cth</w:t>
            </w:r>
          </w:p>
        </w:tc>
        <w:tc>
          <w:tcPr>
            <w:tcW w:w="2112" w:type="dxa"/>
          </w:tcPr>
          <w:p w14:paraId="4A3C0B0A" w14:textId="77777777" w:rsidR="0064050C" w:rsidRPr="006D2720" w:rsidRDefault="0064050C"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 xml:space="preserve">Australian Law Reform Commission, </w:t>
            </w:r>
            <w:r w:rsidRPr="006D2720">
              <w:rPr>
                <w:rFonts w:ascii="Times New Roman" w:eastAsia="Times New Roman" w:hAnsi="Times New Roman" w:cs="Times New Roman"/>
                <w:i/>
                <w:sz w:val="19"/>
                <w:szCs w:val="19"/>
              </w:rPr>
              <w:t>Unfair Publication: Defamation and Privacy</w:t>
            </w:r>
            <w:r w:rsidRPr="006D2720">
              <w:rPr>
                <w:rFonts w:ascii="Times New Roman" w:eastAsia="Times New Roman" w:hAnsi="Times New Roman" w:cs="Times New Roman"/>
                <w:sz w:val="19"/>
                <w:szCs w:val="19"/>
              </w:rPr>
              <w:t xml:space="preserve"> (Report No 11, June 1979)</w:t>
            </w:r>
          </w:p>
        </w:tc>
        <w:tc>
          <w:tcPr>
            <w:tcW w:w="4910" w:type="dxa"/>
          </w:tcPr>
          <w:p w14:paraId="7C806103" w14:textId="67F8A19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Focus</w:t>
            </w:r>
            <w:r w:rsidR="008808FB" w:rsidRPr="006D2720">
              <w:rPr>
                <w:rFonts w:ascii="Times New Roman" w:hAnsi="Times New Roman" w:cs="Times New Roman"/>
                <w:bCs/>
                <w:sz w:val="19"/>
                <w:szCs w:val="19"/>
              </w:rPr>
              <w:t xml:space="preserve">ed </w:t>
            </w:r>
            <w:r w:rsidRPr="006D2720">
              <w:rPr>
                <w:rFonts w:ascii="Times New Roman" w:hAnsi="Times New Roman" w:cs="Times New Roman"/>
                <w:bCs/>
                <w:sz w:val="19"/>
                <w:szCs w:val="19"/>
              </w:rPr>
              <w:t>on defamation law and the protection of reputation, honour, and dignity</w:t>
            </w:r>
            <w:r w:rsidR="004737D0" w:rsidRPr="006D2720">
              <w:rPr>
                <w:rFonts w:ascii="Times New Roman" w:hAnsi="Times New Roman" w:cs="Times New Roman"/>
                <w:bCs/>
                <w:sz w:val="19"/>
                <w:szCs w:val="19"/>
              </w:rPr>
              <w:t>. R</w:t>
            </w:r>
            <w:r w:rsidRPr="006D2720">
              <w:rPr>
                <w:rFonts w:ascii="Times New Roman" w:hAnsi="Times New Roman" w:cs="Times New Roman"/>
                <w:bCs/>
                <w:sz w:val="19"/>
                <w:szCs w:val="19"/>
              </w:rPr>
              <w:t xml:space="preserve">ecommendations focused on making substantial changes to defamation law with a view to improving reputational protection. However, tortious protection for information privacy was also explored, including appropriate remedies. The Commission recognised the normative importance of individual privacy. It found </w:t>
            </w:r>
            <w:r w:rsidR="004737D0" w:rsidRPr="006D2720">
              <w:rPr>
                <w:rFonts w:ascii="Times New Roman" w:hAnsi="Times New Roman" w:cs="Times New Roman"/>
                <w:bCs/>
                <w:sz w:val="19"/>
                <w:szCs w:val="19"/>
              </w:rPr>
              <w:t xml:space="preserve">that </w:t>
            </w:r>
            <w:r w:rsidRPr="006D2720">
              <w:rPr>
                <w:rFonts w:ascii="Times New Roman" w:hAnsi="Times New Roman" w:cs="Times New Roman"/>
                <w:bCs/>
                <w:sz w:val="19"/>
                <w:szCs w:val="19"/>
              </w:rPr>
              <w:t>the law imperfectly protects privacy. It recommended a comprehensive cause of action for misuse of private facts.</w:t>
            </w:r>
          </w:p>
        </w:tc>
      </w:tr>
      <w:tr w:rsidR="0064050C" w:rsidRPr="006D2720" w14:paraId="4E588DAB" w14:textId="77777777" w:rsidTr="0066337D">
        <w:trPr>
          <w:trHeight w:val="1630"/>
        </w:trPr>
        <w:tc>
          <w:tcPr>
            <w:tcW w:w="701" w:type="dxa"/>
          </w:tcPr>
          <w:p w14:paraId="528D806A"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1983</w:t>
            </w:r>
          </w:p>
        </w:tc>
        <w:tc>
          <w:tcPr>
            <w:tcW w:w="1293" w:type="dxa"/>
          </w:tcPr>
          <w:p w14:paraId="19843515"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Cth</w:t>
            </w:r>
          </w:p>
        </w:tc>
        <w:tc>
          <w:tcPr>
            <w:tcW w:w="2112" w:type="dxa"/>
          </w:tcPr>
          <w:p w14:paraId="7FF5208B" w14:textId="77777777" w:rsidR="0064050C" w:rsidRPr="006D2720" w:rsidRDefault="0064050C"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 xml:space="preserve">Australian Law Reform Commission, </w:t>
            </w:r>
            <w:r w:rsidRPr="006D2720">
              <w:rPr>
                <w:rFonts w:ascii="Times New Roman" w:eastAsia="Times New Roman" w:hAnsi="Times New Roman" w:cs="Times New Roman"/>
                <w:i/>
                <w:sz w:val="19"/>
                <w:szCs w:val="19"/>
              </w:rPr>
              <w:t>Privacy</w:t>
            </w:r>
            <w:r w:rsidRPr="006D2720">
              <w:rPr>
                <w:rFonts w:ascii="Times New Roman" w:eastAsia="Times New Roman" w:hAnsi="Times New Roman" w:cs="Times New Roman"/>
                <w:sz w:val="19"/>
                <w:szCs w:val="19"/>
              </w:rPr>
              <w:t xml:space="preserve"> (Report No 22, December 1983)</w:t>
            </w:r>
          </w:p>
        </w:tc>
        <w:tc>
          <w:tcPr>
            <w:tcW w:w="4910" w:type="dxa"/>
          </w:tcPr>
          <w:p w14:paraId="79EE845B" w14:textId="001080A4"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Privacy was in danger at </w:t>
            </w:r>
            <w:r w:rsidR="004737D0" w:rsidRPr="006D2720">
              <w:rPr>
                <w:rFonts w:ascii="Times New Roman" w:hAnsi="Times New Roman" w:cs="Times New Roman"/>
                <w:bCs/>
                <w:sz w:val="19"/>
                <w:szCs w:val="19"/>
              </w:rPr>
              <w:t xml:space="preserve">the time </w:t>
            </w:r>
            <w:r w:rsidRPr="006D2720">
              <w:rPr>
                <w:rFonts w:ascii="Times New Roman" w:hAnsi="Times New Roman" w:cs="Times New Roman"/>
                <w:bCs/>
                <w:sz w:val="19"/>
                <w:szCs w:val="19"/>
              </w:rPr>
              <w:t xml:space="preserve">and, even more so, prospectively, with the chief sources of danger </w:t>
            </w:r>
            <w:r w:rsidR="004737D0" w:rsidRPr="006D2720">
              <w:rPr>
                <w:rFonts w:ascii="Times New Roman" w:hAnsi="Times New Roman" w:cs="Times New Roman"/>
                <w:bCs/>
                <w:sz w:val="19"/>
                <w:szCs w:val="19"/>
              </w:rPr>
              <w:t>being</w:t>
            </w:r>
            <w:r w:rsidRPr="006D2720">
              <w:rPr>
                <w:rFonts w:ascii="Times New Roman" w:hAnsi="Times New Roman" w:cs="Times New Roman"/>
                <w:bCs/>
                <w:sz w:val="19"/>
                <w:szCs w:val="19"/>
              </w:rPr>
              <w:t xml:space="preserve"> growing official powers, new business practices, and new information technology. It recommended increased regulation to protect private information, providing a draft bill. The </w:t>
            </w:r>
            <w:r w:rsidRPr="006D2720">
              <w:rPr>
                <w:rFonts w:ascii="Times New Roman" w:hAnsi="Times New Roman" w:cs="Times New Roman"/>
                <w:bCs/>
                <w:i/>
                <w:sz w:val="19"/>
                <w:szCs w:val="19"/>
              </w:rPr>
              <w:t xml:space="preserve">Privacy Act 1988 (Cth) </w:t>
            </w:r>
            <w:r w:rsidRPr="006D2720">
              <w:rPr>
                <w:rFonts w:ascii="Times New Roman" w:hAnsi="Times New Roman" w:cs="Times New Roman"/>
                <w:bCs/>
                <w:sz w:val="19"/>
                <w:szCs w:val="19"/>
              </w:rPr>
              <w:t xml:space="preserve">was passed into law five years later. </w:t>
            </w:r>
          </w:p>
        </w:tc>
      </w:tr>
      <w:tr w:rsidR="0064050C" w:rsidRPr="006D2720" w14:paraId="1A7E9561" w14:textId="77777777" w:rsidTr="0066337D">
        <w:trPr>
          <w:trHeight w:val="1601"/>
        </w:trPr>
        <w:tc>
          <w:tcPr>
            <w:tcW w:w="701" w:type="dxa"/>
          </w:tcPr>
          <w:p w14:paraId="363FC7A4"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2003</w:t>
            </w:r>
          </w:p>
        </w:tc>
        <w:tc>
          <w:tcPr>
            <w:tcW w:w="1293" w:type="dxa"/>
          </w:tcPr>
          <w:p w14:paraId="47DAB558"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Cth </w:t>
            </w:r>
          </w:p>
        </w:tc>
        <w:tc>
          <w:tcPr>
            <w:tcW w:w="2112" w:type="dxa"/>
          </w:tcPr>
          <w:p w14:paraId="2C6BD7D9" w14:textId="77777777" w:rsidR="0064050C" w:rsidRPr="006D2720" w:rsidRDefault="0064050C"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 xml:space="preserve">Australian Law Reform Commission, </w:t>
            </w:r>
            <w:r w:rsidRPr="006D2720">
              <w:rPr>
                <w:rFonts w:ascii="Times New Roman" w:eastAsia="Times New Roman" w:hAnsi="Times New Roman" w:cs="Times New Roman"/>
                <w:i/>
                <w:sz w:val="19"/>
                <w:szCs w:val="19"/>
              </w:rPr>
              <w:t>Essentially Yours: The Protection of Human Genetic Information in Australia</w:t>
            </w:r>
            <w:r w:rsidRPr="006D2720">
              <w:rPr>
                <w:rFonts w:ascii="Times New Roman" w:eastAsia="Times New Roman" w:hAnsi="Times New Roman" w:cs="Times New Roman"/>
                <w:sz w:val="19"/>
                <w:szCs w:val="19"/>
              </w:rPr>
              <w:t xml:space="preserve"> (Report No 96, May 2003)</w:t>
            </w:r>
          </w:p>
        </w:tc>
        <w:tc>
          <w:tcPr>
            <w:tcW w:w="4910" w:type="dxa"/>
          </w:tcPr>
          <w:p w14:paraId="4044625E" w14:textId="4013A440"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Made 144 recommendations about how Australia should deal with the ethical, legal</w:t>
            </w:r>
            <w:r w:rsidR="004737D0" w:rsidRPr="006D2720">
              <w:rPr>
                <w:rFonts w:ascii="Times New Roman" w:hAnsi="Times New Roman" w:cs="Times New Roman"/>
                <w:bCs/>
                <w:sz w:val="19"/>
                <w:szCs w:val="19"/>
              </w:rPr>
              <w:t>,</w:t>
            </w:r>
            <w:r w:rsidRPr="006D2720">
              <w:rPr>
                <w:rFonts w:ascii="Times New Roman" w:hAnsi="Times New Roman" w:cs="Times New Roman"/>
                <w:bCs/>
                <w:sz w:val="19"/>
                <w:szCs w:val="19"/>
              </w:rPr>
              <w:t xml:space="preserve"> and social implications of new genetics, including how best to protect privacy in this context.</w:t>
            </w:r>
          </w:p>
        </w:tc>
      </w:tr>
      <w:tr w:rsidR="0064050C" w:rsidRPr="006D2720" w14:paraId="55853A01" w14:textId="77777777" w:rsidTr="0066337D">
        <w:trPr>
          <w:trHeight w:val="1587"/>
        </w:trPr>
        <w:tc>
          <w:tcPr>
            <w:tcW w:w="701" w:type="dxa"/>
          </w:tcPr>
          <w:p w14:paraId="05356CEE"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2005</w:t>
            </w:r>
          </w:p>
        </w:tc>
        <w:tc>
          <w:tcPr>
            <w:tcW w:w="1293" w:type="dxa"/>
          </w:tcPr>
          <w:p w14:paraId="6DA08CE6"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Vic</w:t>
            </w:r>
          </w:p>
        </w:tc>
        <w:tc>
          <w:tcPr>
            <w:tcW w:w="2112" w:type="dxa"/>
          </w:tcPr>
          <w:p w14:paraId="434A345D" w14:textId="1423B812"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Victorian Law Reform Commission</w:t>
            </w:r>
            <w:r w:rsidR="003F496E" w:rsidRPr="006D2720">
              <w:rPr>
                <w:rFonts w:ascii="Times New Roman" w:hAnsi="Times New Roman" w:cs="Times New Roman"/>
                <w:bCs/>
                <w:sz w:val="19"/>
                <w:szCs w:val="19"/>
              </w:rPr>
              <w:t>,</w:t>
            </w:r>
            <w:r w:rsidRPr="006D2720">
              <w:rPr>
                <w:rFonts w:ascii="Times New Roman" w:hAnsi="Times New Roman" w:cs="Times New Roman"/>
                <w:bCs/>
                <w:i/>
                <w:sz w:val="19"/>
                <w:szCs w:val="19"/>
              </w:rPr>
              <w:t xml:space="preserve"> Final Report: Workplace Privacy</w:t>
            </w:r>
            <w:r w:rsidRPr="006D2720">
              <w:rPr>
                <w:rFonts w:ascii="Times New Roman" w:hAnsi="Times New Roman" w:cs="Times New Roman"/>
                <w:bCs/>
                <w:sz w:val="19"/>
                <w:szCs w:val="19"/>
              </w:rPr>
              <w:t xml:space="preserve"> (</w:t>
            </w:r>
            <w:r w:rsidR="006917C0" w:rsidRPr="006D2720">
              <w:rPr>
                <w:rFonts w:ascii="Times New Roman" w:hAnsi="Times New Roman" w:cs="Times New Roman"/>
                <w:bCs/>
                <w:sz w:val="19"/>
                <w:szCs w:val="19"/>
              </w:rPr>
              <w:t xml:space="preserve">Report, </w:t>
            </w:r>
            <w:r w:rsidRPr="006D2720">
              <w:rPr>
                <w:rFonts w:ascii="Times New Roman" w:hAnsi="Times New Roman" w:cs="Times New Roman"/>
                <w:bCs/>
                <w:sz w:val="19"/>
                <w:szCs w:val="19"/>
              </w:rPr>
              <w:t>October 2005)</w:t>
            </w:r>
          </w:p>
        </w:tc>
        <w:tc>
          <w:tcPr>
            <w:tcW w:w="4910" w:type="dxa"/>
          </w:tcPr>
          <w:p w14:paraId="10C7A157" w14:textId="32508064"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Significant legislative gaps in the protection of privacy in workplaces required regulation at the State level. </w:t>
            </w:r>
            <w:r w:rsidR="004737D0" w:rsidRPr="006D2720">
              <w:rPr>
                <w:rFonts w:ascii="Times New Roman" w:hAnsi="Times New Roman" w:cs="Times New Roman"/>
                <w:bCs/>
                <w:sz w:val="19"/>
                <w:szCs w:val="19"/>
              </w:rPr>
              <w:t xml:space="preserve">Recommended enactment </w:t>
            </w:r>
            <w:r w:rsidRPr="006D2720">
              <w:rPr>
                <w:rFonts w:ascii="Times New Roman" w:hAnsi="Times New Roman" w:cs="Times New Roman"/>
                <w:bCs/>
                <w:sz w:val="19"/>
                <w:szCs w:val="19"/>
              </w:rPr>
              <w:t xml:space="preserve">of workplace privacy legislation and the establishment of a workplace privacy regulator. This was followed by targeted legislation: </w:t>
            </w:r>
            <w:r w:rsidRPr="006D2720">
              <w:rPr>
                <w:rFonts w:ascii="Times New Roman" w:hAnsi="Times New Roman" w:cs="Times New Roman"/>
                <w:bCs/>
                <w:i/>
                <w:sz w:val="19"/>
                <w:szCs w:val="19"/>
              </w:rPr>
              <w:t xml:space="preserve">Surveillance Devices (Workplace Privacy) Act 2006 </w:t>
            </w:r>
            <w:r w:rsidRPr="006D2720">
              <w:rPr>
                <w:rFonts w:ascii="Times New Roman" w:hAnsi="Times New Roman" w:cs="Times New Roman"/>
                <w:bCs/>
                <w:iCs/>
                <w:sz w:val="19"/>
                <w:szCs w:val="19"/>
              </w:rPr>
              <w:t>(Vic).</w:t>
            </w:r>
          </w:p>
        </w:tc>
      </w:tr>
      <w:tr w:rsidR="0064050C" w:rsidRPr="006D2720" w14:paraId="6739E3B0" w14:textId="77777777" w:rsidTr="0066337D">
        <w:trPr>
          <w:trHeight w:val="1584"/>
        </w:trPr>
        <w:tc>
          <w:tcPr>
            <w:tcW w:w="701" w:type="dxa"/>
          </w:tcPr>
          <w:p w14:paraId="730F296D"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2008</w:t>
            </w:r>
          </w:p>
        </w:tc>
        <w:tc>
          <w:tcPr>
            <w:tcW w:w="1293" w:type="dxa"/>
          </w:tcPr>
          <w:p w14:paraId="27B53E79"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Cth</w:t>
            </w:r>
          </w:p>
        </w:tc>
        <w:tc>
          <w:tcPr>
            <w:tcW w:w="2112" w:type="dxa"/>
          </w:tcPr>
          <w:p w14:paraId="6F2A75CE" w14:textId="77777777" w:rsidR="0064050C" w:rsidRPr="006D2720" w:rsidRDefault="0064050C" w:rsidP="007D6E0F">
            <w:pPr>
              <w:rPr>
                <w:rFonts w:ascii="Times New Roman" w:hAnsi="Times New Roman" w:cs="Times New Roman"/>
                <w:bCs/>
                <w:sz w:val="19"/>
                <w:szCs w:val="19"/>
                <w:highlight w:val="yellow"/>
              </w:rPr>
            </w:pPr>
            <w:r w:rsidRPr="006D2720">
              <w:rPr>
                <w:rFonts w:ascii="Times New Roman" w:eastAsia="Times New Roman" w:hAnsi="Times New Roman" w:cs="Times New Roman"/>
                <w:sz w:val="19"/>
                <w:szCs w:val="19"/>
              </w:rPr>
              <w:t xml:space="preserve">Australian Law Reform Commission, </w:t>
            </w:r>
            <w:r w:rsidRPr="006D2720">
              <w:rPr>
                <w:rFonts w:ascii="Times New Roman" w:eastAsia="Times New Roman" w:hAnsi="Times New Roman" w:cs="Times New Roman"/>
                <w:i/>
                <w:sz w:val="19"/>
                <w:szCs w:val="19"/>
              </w:rPr>
              <w:t>For Your Information: Australian Privacy Law and Practice</w:t>
            </w:r>
            <w:r w:rsidRPr="006D2720">
              <w:rPr>
                <w:rFonts w:ascii="Times New Roman" w:eastAsia="Times New Roman" w:hAnsi="Times New Roman" w:cs="Times New Roman"/>
                <w:sz w:val="19"/>
                <w:szCs w:val="19"/>
              </w:rPr>
              <w:t xml:space="preserve"> (Report No 108, August 2008)</w:t>
            </w:r>
          </w:p>
        </w:tc>
        <w:tc>
          <w:tcPr>
            <w:tcW w:w="4910" w:type="dxa"/>
          </w:tcPr>
          <w:p w14:paraId="4AF65579" w14:textId="555A46BB"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Privacy recognised as a human right which should be protected in spite of other factors such a cost or inconvenience, but should be balanced against important countervailing interests such as freedom of expression and national security. Recommended a federal statutory cause of action for a serious invasion of privacy (aside from the </w:t>
            </w:r>
            <w:r w:rsidRPr="006D2720">
              <w:rPr>
                <w:rFonts w:ascii="Times New Roman" w:hAnsi="Times New Roman" w:cs="Times New Roman"/>
                <w:bCs/>
                <w:i/>
                <w:sz w:val="19"/>
                <w:szCs w:val="19"/>
              </w:rPr>
              <w:t xml:space="preserve">Privacy Act 1988 </w:t>
            </w:r>
            <w:r w:rsidRPr="006D2720">
              <w:rPr>
                <w:rFonts w:ascii="Times New Roman" w:hAnsi="Times New Roman" w:cs="Times New Roman"/>
                <w:bCs/>
                <w:iCs/>
                <w:sz w:val="19"/>
                <w:szCs w:val="19"/>
              </w:rPr>
              <w:t>(Cth)</w:t>
            </w:r>
            <w:r w:rsidRPr="006D2720">
              <w:rPr>
                <w:rFonts w:ascii="Times New Roman" w:hAnsi="Times New Roman" w:cs="Times New Roman"/>
                <w:bCs/>
                <w:sz w:val="19"/>
                <w:szCs w:val="19"/>
              </w:rPr>
              <w:t>).</w:t>
            </w:r>
          </w:p>
        </w:tc>
      </w:tr>
      <w:tr w:rsidR="0064050C" w:rsidRPr="006D2720" w14:paraId="4F7B3942" w14:textId="77777777" w:rsidTr="0066337D">
        <w:trPr>
          <w:trHeight w:val="1701"/>
        </w:trPr>
        <w:tc>
          <w:tcPr>
            <w:tcW w:w="701" w:type="dxa"/>
          </w:tcPr>
          <w:p w14:paraId="32E0C3E2"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2008</w:t>
            </w:r>
          </w:p>
        </w:tc>
        <w:tc>
          <w:tcPr>
            <w:tcW w:w="1293" w:type="dxa"/>
          </w:tcPr>
          <w:p w14:paraId="73C792FC"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Qld</w:t>
            </w:r>
          </w:p>
        </w:tc>
        <w:tc>
          <w:tcPr>
            <w:tcW w:w="2112" w:type="dxa"/>
          </w:tcPr>
          <w:p w14:paraId="4A5EBE3D" w14:textId="733B37E6"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FOI Independent Review Panel</w:t>
            </w:r>
            <w:r w:rsidR="00B7545C" w:rsidRPr="006D2720">
              <w:rPr>
                <w:rFonts w:ascii="Times New Roman" w:hAnsi="Times New Roman" w:cs="Times New Roman"/>
                <w:bCs/>
                <w:sz w:val="19"/>
                <w:szCs w:val="19"/>
              </w:rPr>
              <w:t xml:space="preserve">, </w:t>
            </w:r>
            <w:r w:rsidRPr="006D2720">
              <w:rPr>
                <w:rFonts w:ascii="Times New Roman" w:hAnsi="Times New Roman" w:cs="Times New Roman"/>
                <w:bCs/>
                <w:i/>
                <w:sz w:val="19"/>
                <w:szCs w:val="19"/>
              </w:rPr>
              <w:t xml:space="preserve">Solomon Report: The </w:t>
            </w:r>
            <w:r w:rsidR="00B7545C" w:rsidRPr="006D2720">
              <w:rPr>
                <w:rFonts w:ascii="Times New Roman" w:hAnsi="Times New Roman" w:cs="Times New Roman"/>
                <w:bCs/>
                <w:i/>
                <w:sz w:val="19"/>
                <w:szCs w:val="19"/>
              </w:rPr>
              <w:t xml:space="preserve">Right </w:t>
            </w:r>
            <w:r w:rsidRPr="006D2720">
              <w:rPr>
                <w:rFonts w:ascii="Times New Roman" w:hAnsi="Times New Roman" w:cs="Times New Roman"/>
                <w:bCs/>
                <w:i/>
                <w:sz w:val="19"/>
                <w:szCs w:val="19"/>
              </w:rPr>
              <w:t xml:space="preserve">to </w:t>
            </w:r>
            <w:r w:rsidR="00B7545C" w:rsidRPr="006D2720">
              <w:rPr>
                <w:rFonts w:ascii="Times New Roman" w:hAnsi="Times New Roman" w:cs="Times New Roman"/>
                <w:bCs/>
                <w:i/>
                <w:sz w:val="19"/>
                <w:szCs w:val="19"/>
              </w:rPr>
              <w:t>Information</w:t>
            </w:r>
            <w:r w:rsidRPr="006D2720">
              <w:rPr>
                <w:rFonts w:ascii="Times New Roman" w:hAnsi="Times New Roman" w:cs="Times New Roman"/>
                <w:bCs/>
                <w:i/>
                <w:sz w:val="19"/>
                <w:szCs w:val="19"/>
              </w:rPr>
              <w:t xml:space="preserve">, </w:t>
            </w:r>
            <w:r w:rsidR="00B7545C" w:rsidRPr="006D2720">
              <w:rPr>
                <w:rFonts w:ascii="Times New Roman" w:hAnsi="Times New Roman" w:cs="Times New Roman"/>
                <w:bCs/>
                <w:i/>
                <w:sz w:val="19"/>
                <w:szCs w:val="19"/>
              </w:rPr>
              <w:t xml:space="preserve">Reviewing </w:t>
            </w:r>
            <w:r w:rsidRPr="006D2720">
              <w:rPr>
                <w:rFonts w:ascii="Times New Roman" w:hAnsi="Times New Roman" w:cs="Times New Roman"/>
                <w:bCs/>
                <w:i/>
                <w:sz w:val="19"/>
                <w:szCs w:val="19"/>
              </w:rPr>
              <w:t xml:space="preserve">Queensland’s Freedom of Information Act </w:t>
            </w:r>
            <w:r w:rsidRPr="006D2720">
              <w:rPr>
                <w:rFonts w:ascii="Times New Roman" w:hAnsi="Times New Roman" w:cs="Times New Roman"/>
                <w:bCs/>
                <w:sz w:val="19"/>
                <w:szCs w:val="19"/>
              </w:rPr>
              <w:t>(</w:t>
            </w:r>
            <w:r w:rsidR="00287C07" w:rsidRPr="006D2720">
              <w:rPr>
                <w:rFonts w:ascii="Times New Roman" w:hAnsi="Times New Roman" w:cs="Times New Roman"/>
                <w:bCs/>
                <w:sz w:val="19"/>
                <w:szCs w:val="19"/>
              </w:rPr>
              <w:t>Report</w:t>
            </w:r>
            <w:r w:rsidRPr="006D2720">
              <w:rPr>
                <w:rFonts w:ascii="Times New Roman" w:hAnsi="Times New Roman" w:cs="Times New Roman"/>
                <w:bCs/>
                <w:sz w:val="19"/>
                <w:szCs w:val="19"/>
              </w:rPr>
              <w:t>, June 2008)</w:t>
            </w:r>
          </w:p>
        </w:tc>
        <w:tc>
          <w:tcPr>
            <w:tcW w:w="4910" w:type="dxa"/>
          </w:tcPr>
          <w:p w14:paraId="2FB50B32" w14:textId="1AE268C7" w:rsidR="0064050C" w:rsidRPr="006D2720" w:rsidRDefault="00AE518D" w:rsidP="007D6E0F">
            <w:pPr>
              <w:rPr>
                <w:rFonts w:ascii="Times New Roman" w:hAnsi="Times New Roman" w:cs="Times New Roman"/>
                <w:bCs/>
                <w:sz w:val="19"/>
                <w:szCs w:val="19"/>
              </w:rPr>
            </w:pPr>
            <w:r w:rsidRPr="006D2720">
              <w:rPr>
                <w:rFonts w:ascii="Times New Roman" w:hAnsi="Times New Roman" w:cs="Times New Roman"/>
                <w:bCs/>
                <w:sz w:val="19"/>
                <w:szCs w:val="19"/>
              </w:rPr>
              <w:t>While this was a review of freedom of information laws (also known as right to information laws in Tasmania), s</w:t>
            </w:r>
            <w:r w:rsidR="0064050C" w:rsidRPr="006D2720">
              <w:rPr>
                <w:rFonts w:ascii="Times New Roman" w:hAnsi="Times New Roman" w:cs="Times New Roman"/>
                <w:bCs/>
                <w:sz w:val="19"/>
                <w:szCs w:val="19"/>
              </w:rPr>
              <w:t xml:space="preserve">ome recommendations </w:t>
            </w:r>
            <w:r w:rsidRPr="006D2720">
              <w:rPr>
                <w:rFonts w:ascii="Times New Roman" w:hAnsi="Times New Roman" w:cs="Times New Roman"/>
                <w:bCs/>
                <w:sz w:val="19"/>
                <w:szCs w:val="19"/>
              </w:rPr>
              <w:t xml:space="preserve">were </w:t>
            </w:r>
            <w:r w:rsidR="0064050C" w:rsidRPr="006D2720">
              <w:rPr>
                <w:rFonts w:ascii="Times New Roman" w:hAnsi="Times New Roman" w:cs="Times New Roman"/>
                <w:bCs/>
                <w:sz w:val="19"/>
                <w:szCs w:val="19"/>
              </w:rPr>
              <w:t>made to strengthen information privacy protections</w:t>
            </w:r>
            <w:r w:rsidRPr="006D2720">
              <w:rPr>
                <w:rFonts w:ascii="Times New Roman" w:hAnsi="Times New Roman" w:cs="Times New Roman"/>
                <w:bCs/>
                <w:sz w:val="19"/>
                <w:szCs w:val="19"/>
              </w:rPr>
              <w:t>.</w:t>
            </w:r>
            <w:r w:rsidR="0064050C" w:rsidRPr="006D2720">
              <w:rPr>
                <w:rFonts w:ascii="Times New Roman" w:hAnsi="Times New Roman" w:cs="Times New Roman"/>
                <w:bCs/>
                <w:sz w:val="19"/>
                <w:szCs w:val="19"/>
              </w:rPr>
              <w:t xml:space="preserve"> </w:t>
            </w:r>
          </w:p>
        </w:tc>
      </w:tr>
      <w:tr w:rsidR="0064050C" w:rsidRPr="006D2720" w14:paraId="23887B13" w14:textId="77777777" w:rsidTr="0066337D">
        <w:trPr>
          <w:trHeight w:val="1624"/>
        </w:trPr>
        <w:tc>
          <w:tcPr>
            <w:tcW w:w="701" w:type="dxa"/>
          </w:tcPr>
          <w:p w14:paraId="45506661"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2009</w:t>
            </w:r>
          </w:p>
        </w:tc>
        <w:tc>
          <w:tcPr>
            <w:tcW w:w="1293" w:type="dxa"/>
          </w:tcPr>
          <w:p w14:paraId="38746311"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NSW </w:t>
            </w:r>
          </w:p>
        </w:tc>
        <w:tc>
          <w:tcPr>
            <w:tcW w:w="2112" w:type="dxa"/>
          </w:tcPr>
          <w:p w14:paraId="6409561F" w14:textId="7068F669" w:rsidR="0064050C" w:rsidRPr="006D2720" w:rsidRDefault="00614884"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NSW</w:t>
            </w:r>
            <w:r w:rsidR="0064050C" w:rsidRPr="006D2720">
              <w:rPr>
                <w:rFonts w:ascii="Times New Roman" w:eastAsia="Times New Roman" w:hAnsi="Times New Roman" w:cs="Times New Roman"/>
                <w:sz w:val="19"/>
                <w:szCs w:val="19"/>
              </w:rPr>
              <w:t xml:space="preserve"> Law Reform Commission, </w:t>
            </w:r>
            <w:r w:rsidR="0064050C" w:rsidRPr="006D2720">
              <w:rPr>
                <w:rFonts w:ascii="Times New Roman" w:eastAsia="Times New Roman" w:hAnsi="Times New Roman" w:cs="Times New Roman"/>
                <w:i/>
                <w:sz w:val="19"/>
                <w:szCs w:val="19"/>
              </w:rPr>
              <w:t>Invasion of Privacy</w:t>
            </w:r>
            <w:r w:rsidR="0064050C" w:rsidRPr="006D2720">
              <w:rPr>
                <w:rFonts w:ascii="Times New Roman" w:eastAsia="Times New Roman" w:hAnsi="Times New Roman" w:cs="Times New Roman"/>
                <w:sz w:val="19"/>
                <w:szCs w:val="19"/>
              </w:rPr>
              <w:t xml:space="preserve"> (Report No 120, April 2009)</w:t>
            </w:r>
          </w:p>
        </w:tc>
        <w:tc>
          <w:tcPr>
            <w:tcW w:w="4910" w:type="dxa"/>
          </w:tcPr>
          <w:p w14:paraId="5539C006" w14:textId="05C209F1" w:rsidR="0064050C" w:rsidRPr="006D2720" w:rsidRDefault="0064050C" w:rsidP="007D6E0F">
            <w:pPr>
              <w:rPr>
                <w:rFonts w:ascii="Times New Roman" w:hAnsi="Times New Roman" w:cs="Times New Roman"/>
                <w:b/>
                <w:bCs/>
                <w:sz w:val="19"/>
                <w:szCs w:val="19"/>
              </w:rPr>
            </w:pPr>
            <w:r w:rsidRPr="006D2720">
              <w:rPr>
                <w:rFonts w:ascii="Times New Roman" w:hAnsi="Times New Roman" w:cs="Times New Roman"/>
                <w:bCs/>
                <w:sz w:val="19"/>
                <w:szCs w:val="19"/>
              </w:rPr>
              <w:t xml:space="preserve">As part of a uniform law initiative in Australia, </w:t>
            </w:r>
            <w:r w:rsidR="008808FB" w:rsidRPr="006D2720">
              <w:rPr>
                <w:rFonts w:ascii="Times New Roman" w:hAnsi="Times New Roman" w:cs="Times New Roman"/>
                <w:bCs/>
                <w:sz w:val="19"/>
                <w:szCs w:val="19"/>
              </w:rPr>
              <w:t xml:space="preserve">recommended that </w:t>
            </w:r>
            <w:r w:rsidR="00614884" w:rsidRPr="006D2720">
              <w:rPr>
                <w:rFonts w:ascii="Times New Roman" w:hAnsi="Times New Roman" w:cs="Times New Roman"/>
                <w:bCs/>
                <w:sz w:val="19"/>
                <w:szCs w:val="19"/>
              </w:rPr>
              <w:t>NSW</w:t>
            </w:r>
            <w:r w:rsidRPr="006D2720">
              <w:rPr>
                <w:rFonts w:ascii="Times New Roman" w:hAnsi="Times New Roman" w:cs="Times New Roman"/>
                <w:bCs/>
                <w:sz w:val="19"/>
                <w:szCs w:val="19"/>
              </w:rPr>
              <w:t xml:space="preserve"> should amend the </w:t>
            </w:r>
            <w:r w:rsidRPr="006D2720">
              <w:rPr>
                <w:rFonts w:ascii="Times New Roman" w:hAnsi="Times New Roman" w:cs="Times New Roman"/>
                <w:bCs/>
                <w:i/>
                <w:sz w:val="19"/>
                <w:szCs w:val="19"/>
              </w:rPr>
              <w:t xml:space="preserve">Civil Liability Act 2002 </w:t>
            </w:r>
            <w:r w:rsidRPr="006D2720">
              <w:rPr>
                <w:rFonts w:ascii="Times New Roman" w:hAnsi="Times New Roman" w:cs="Times New Roman"/>
                <w:bCs/>
                <w:iCs/>
                <w:sz w:val="19"/>
                <w:szCs w:val="19"/>
              </w:rPr>
              <w:t>(NSW)</w:t>
            </w:r>
            <w:r w:rsidRPr="006D2720">
              <w:rPr>
                <w:rFonts w:ascii="Times New Roman" w:hAnsi="Times New Roman" w:cs="Times New Roman"/>
                <w:bCs/>
                <w:sz w:val="19"/>
                <w:szCs w:val="19"/>
              </w:rPr>
              <w:t xml:space="preserve"> to provide a cause of action for invasion of privacy in the terms of the draft legislation appended by the Commission to this report. </w:t>
            </w:r>
            <w:r w:rsidR="00634BBA" w:rsidRPr="006D2720">
              <w:rPr>
                <w:rFonts w:ascii="Times New Roman" w:hAnsi="Times New Roman" w:cs="Times New Roman"/>
                <w:bCs/>
                <w:sz w:val="19"/>
                <w:szCs w:val="19"/>
              </w:rPr>
              <w:t xml:space="preserve">Ultimately, however, the </w:t>
            </w:r>
            <w:r w:rsidRPr="006D2720">
              <w:rPr>
                <w:rFonts w:ascii="Times New Roman" w:hAnsi="Times New Roman" w:cs="Times New Roman"/>
                <w:bCs/>
                <w:iCs/>
                <w:sz w:val="19"/>
                <w:szCs w:val="19"/>
              </w:rPr>
              <w:t xml:space="preserve">Civil Liability Amendment (Privacy) Bill 2009 (NSW) </w:t>
            </w:r>
            <w:r w:rsidRPr="006D2720">
              <w:rPr>
                <w:rFonts w:ascii="Times New Roman" w:hAnsi="Times New Roman" w:cs="Times New Roman"/>
                <w:bCs/>
                <w:sz w:val="19"/>
                <w:szCs w:val="19"/>
              </w:rPr>
              <w:t>was not passed into law.</w:t>
            </w:r>
          </w:p>
        </w:tc>
      </w:tr>
      <w:tr w:rsidR="0064050C" w:rsidRPr="006D2720" w14:paraId="1EC6E5D0" w14:textId="77777777" w:rsidTr="0066337D">
        <w:trPr>
          <w:trHeight w:val="1608"/>
        </w:trPr>
        <w:tc>
          <w:tcPr>
            <w:tcW w:w="701" w:type="dxa"/>
          </w:tcPr>
          <w:p w14:paraId="45E65A06"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2010</w:t>
            </w:r>
          </w:p>
        </w:tc>
        <w:tc>
          <w:tcPr>
            <w:tcW w:w="1293" w:type="dxa"/>
          </w:tcPr>
          <w:p w14:paraId="31187504"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NSW</w:t>
            </w:r>
          </w:p>
        </w:tc>
        <w:tc>
          <w:tcPr>
            <w:tcW w:w="2112" w:type="dxa"/>
          </w:tcPr>
          <w:p w14:paraId="124DF651" w14:textId="00041655" w:rsidR="0064050C" w:rsidRPr="006D2720" w:rsidRDefault="00614884"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NSW</w:t>
            </w:r>
            <w:r w:rsidR="0064050C" w:rsidRPr="006D2720">
              <w:rPr>
                <w:rFonts w:ascii="Times New Roman" w:eastAsia="Times New Roman" w:hAnsi="Times New Roman" w:cs="Times New Roman"/>
                <w:sz w:val="19"/>
                <w:szCs w:val="19"/>
              </w:rPr>
              <w:t xml:space="preserve"> Law Reform Commission, </w:t>
            </w:r>
            <w:r w:rsidR="0064050C" w:rsidRPr="006D2720">
              <w:rPr>
                <w:rFonts w:ascii="Times New Roman" w:eastAsia="Times New Roman" w:hAnsi="Times New Roman" w:cs="Times New Roman"/>
                <w:i/>
                <w:sz w:val="19"/>
                <w:szCs w:val="19"/>
              </w:rPr>
              <w:t>Protecting Privacy in New South Wales</w:t>
            </w:r>
            <w:r w:rsidR="0064050C" w:rsidRPr="006D2720">
              <w:rPr>
                <w:rFonts w:ascii="Times New Roman" w:eastAsia="Times New Roman" w:hAnsi="Times New Roman" w:cs="Times New Roman"/>
                <w:sz w:val="19"/>
                <w:szCs w:val="19"/>
              </w:rPr>
              <w:t xml:space="preserve"> (Report No 127, May 2010)</w:t>
            </w:r>
          </w:p>
        </w:tc>
        <w:tc>
          <w:tcPr>
            <w:tcW w:w="4910" w:type="dxa"/>
          </w:tcPr>
          <w:p w14:paraId="53EF4F6D"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Focused on privacy and personal information regulation, rather than a comprehensive civil remedy for interference with privacy.</w:t>
            </w:r>
          </w:p>
        </w:tc>
      </w:tr>
      <w:tr w:rsidR="0064050C" w:rsidRPr="006D2720" w14:paraId="7BDF997B" w14:textId="77777777" w:rsidTr="0066337D">
        <w:trPr>
          <w:trHeight w:val="1323"/>
        </w:trPr>
        <w:tc>
          <w:tcPr>
            <w:tcW w:w="701" w:type="dxa"/>
          </w:tcPr>
          <w:p w14:paraId="4F6B0E8A"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2010</w:t>
            </w:r>
          </w:p>
        </w:tc>
        <w:tc>
          <w:tcPr>
            <w:tcW w:w="1293" w:type="dxa"/>
          </w:tcPr>
          <w:p w14:paraId="5919A3E4"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Vic</w:t>
            </w:r>
          </w:p>
        </w:tc>
        <w:tc>
          <w:tcPr>
            <w:tcW w:w="2112" w:type="dxa"/>
          </w:tcPr>
          <w:p w14:paraId="47B140E9" w14:textId="77777777" w:rsidR="0064050C" w:rsidRPr="006D2720" w:rsidRDefault="0064050C"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 xml:space="preserve">Victorian Law Reform Commission, </w:t>
            </w:r>
            <w:r w:rsidRPr="006D2720">
              <w:rPr>
                <w:rFonts w:ascii="Times New Roman" w:eastAsia="Times New Roman" w:hAnsi="Times New Roman" w:cs="Times New Roman"/>
                <w:i/>
                <w:sz w:val="19"/>
                <w:szCs w:val="19"/>
              </w:rPr>
              <w:t>Surveillance in Public Places</w:t>
            </w:r>
            <w:r w:rsidRPr="006D2720">
              <w:rPr>
                <w:rFonts w:ascii="Times New Roman" w:eastAsia="Times New Roman" w:hAnsi="Times New Roman" w:cs="Times New Roman"/>
                <w:sz w:val="19"/>
                <w:szCs w:val="19"/>
              </w:rPr>
              <w:t xml:space="preserve"> (Report No 18, August 2010)</w:t>
            </w:r>
          </w:p>
        </w:tc>
        <w:tc>
          <w:tcPr>
            <w:tcW w:w="4910" w:type="dxa"/>
          </w:tcPr>
          <w:p w14:paraId="761417BD" w14:textId="0646F407" w:rsidR="0064050C" w:rsidRPr="006D2720" w:rsidRDefault="008808FB"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Recommended that the </w:t>
            </w:r>
            <w:r w:rsidR="0064050C" w:rsidRPr="006D2720">
              <w:rPr>
                <w:rFonts w:ascii="Times New Roman" w:hAnsi="Times New Roman" w:cs="Times New Roman"/>
                <w:bCs/>
                <w:sz w:val="19"/>
                <w:szCs w:val="19"/>
              </w:rPr>
              <w:t xml:space="preserve">Parliament should enact new laws that promote the responsible use of surveillance devices in public places, including creating statutory causes of action covering serious invasion of privacy by misuse of private information, and serious invasion of privacy by intrusion upon seclusion. </w:t>
            </w:r>
          </w:p>
        </w:tc>
      </w:tr>
      <w:tr w:rsidR="0064050C" w:rsidRPr="006D2720" w14:paraId="359A47A0" w14:textId="77777777" w:rsidTr="0066337D">
        <w:trPr>
          <w:trHeight w:val="1393"/>
        </w:trPr>
        <w:tc>
          <w:tcPr>
            <w:tcW w:w="701" w:type="dxa"/>
          </w:tcPr>
          <w:p w14:paraId="4C0FEC35"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2014</w:t>
            </w:r>
          </w:p>
        </w:tc>
        <w:tc>
          <w:tcPr>
            <w:tcW w:w="1293" w:type="dxa"/>
          </w:tcPr>
          <w:p w14:paraId="19E59615"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Cth </w:t>
            </w:r>
          </w:p>
        </w:tc>
        <w:tc>
          <w:tcPr>
            <w:tcW w:w="2112" w:type="dxa"/>
          </w:tcPr>
          <w:p w14:paraId="17BB5B87" w14:textId="77777777" w:rsidR="0064050C" w:rsidRPr="006D2720" w:rsidRDefault="0064050C"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 xml:space="preserve">Australian Law Reform Commission, </w:t>
            </w:r>
            <w:r w:rsidRPr="006D2720">
              <w:rPr>
                <w:rFonts w:ascii="Times New Roman" w:eastAsia="Times New Roman" w:hAnsi="Times New Roman" w:cs="Times New Roman"/>
                <w:i/>
                <w:sz w:val="19"/>
                <w:szCs w:val="19"/>
              </w:rPr>
              <w:t>Serious Invasions of Privacy in the Digital Era</w:t>
            </w:r>
            <w:r w:rsidRPr="006D2720">
              <w:rPr>
                <w:rFonts w:ascii="Times New Roman" w:eastAsia="Times New Roman" w:hAnsi="Times New Roman" w:cs="Times New Roman"/>
                <w:sz w:val="19"/>
                <w:szCs w:val="19"/>
              </w:rPr>
              <w:t xml:space="preserve"> (Report No 123, June 2014)</w:t>
            </w:r>
          </w:p>
        </w:tc>
        <w:tc>
          <w:tcPr>
            <w:tcW w:w="4910" w:type="dxa"/>
          </w:tcPr>
          <w:p w14:paraId="09B310DB" w14:textId="73F1C717" w:rsidR="0064050C" w:rsidRPr="006D2720" w:rsidRDefault="002E1D21" w:rsidP="007D6E0F">
            <w:pPr>
              <w:rPr>
                <w:rFonts w:ascii="Times New Roman" w:hAnsi="Times New Roman" w:cs="Times New Roman"/>
                <w:bCs/>
                <w:sz w:val="19"/>
                <w:szCs w:val="19"/>
              </w:rPr>
            </w:pPr>
            <w:r w:rsidRPr="006D2720">
              <w:rPr>
                <w:rFonts w:ascii="Times New Roman" w:hAnsi="Times New Roman" w:cs="Times New Roman"/>
                <w:bCs/>
                <w:sz w:val="19"/>
                <w:szCs w:val="19"/>
              </w:rPr>
              <w:t>Recommended the introduction of a</w:t>
            </w:r>
            <w:r w:rsidR="0064050C" w:rsidRPr="006D2720">
              <w:rPr>
                <w:rFonts w:ascii="Times New Roman" w:hAnsi="Times New Roman" w:cs="Times New Roman"/>
                <w:bCs/>
                <w:sz w:val="19"/>
                <w:szCs w:val="19"/>
              </w:rPr>
              <w:t xml:space="preserve"> single statutory tort of interference with privacy</w:t>
            </w:r>
            <w:r w:rsidR="0077389B" w:rsidRPr="006D2720">
              <w:rPr>
                <w:rFonts w:ascii="Times New Roman" w:hAnsi="Times New Roman" w:cs="Times New Roman"/>
                <w:bCs/>
                <w:sz w:val="19"/>
                <w:szCs w:val="19"/>
              </w:rPr>
              <w:t>, covering both information and physical privacy</w:t>
            </w:r>
            <w:r w:rsidR="0064050C" w:rsidRPr="006D2720">
              <w:rPr>
                <w:rFonts w:ascii="Times New Roman" w:hAnsi="Times New Roman" w:cs="Times New Roman"/>
                <w:bCs/>
                <w:sz w:val="19"/>
                <w:szCs w:val="19"/>
              </w:rPr>
              <w:t>.</w:t>
            </w:r>
          </w:p>
        </w:tc>
      </w:tr>
      <w:tr w:rsidR="0064050C" w:rsidRPr="006D2720" w14:paraId="25D955DE" w14:textId="77777777" w:rsidTr="0066337D">
        <w:trPr>
          <w:trHeight w:val="1583"/>
        </w:trPr>
        <w:tc>
          <w:tcPr>
            <w:tcW w:w="701" w:type="dxa"/>
          </w:tcPr>
          <w:p w14:paraId="7ABA8316"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2016 </w:t>
            </w:r>
          </w:p>
        </w:tc>
        <w:tc>
          <w:tcPr>
            <w:tcW w:w="1293" w:type="dxa"/>
          </w:tcPr>
          <w:p w14:paraId="6043EB83"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SA</w:t>
            </w:r>
          </w:p>
        </w:tc>
        <w:tc>
          <w:tcPr>
            <w:tcW w:w="2112" w:type="dxa"/>
          </w:tcPr>
          <w:p w14:paraId="28AED8A2" w14:textId="16596C35"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South Australian Law Reform Institute</w:t>
            </w:r>
            <w:r w:rsidR="00F64FD5" w:rsidRPr="006D2720">
              <w:rPr>
                <w:rFonts w:ascii="Times New Roman" w:hAnsi="Times New Roman" w:cs="Times New Roman"/>
                <w:bCs/>
                <w:sz w:val="19"/>
                <w:szCs w:val="19"/>
              </w:rPr>
              <w:t>,</w:t>
            </w:r>
            <w:r w:rsidRPr="006D2720">
              <w:rPr>
                <w:rFonts w:ascii="Times New Roman" w:hAnsi="Times New Roman" w:cs="Times New Roman"/>
                <w:bCs/>
                <w:sz w:val="19"/>
                <w:szCs w:val="19"/>
              </w:rPr>
              <w:t xml:space="preserve"> </w:t>
            </w:r>
            <w:r w:rsidRPr="006D2720">
              <w:rPr>
                <w:rFonts w:ascii="Times New Roman" w:hAnsi="Times New Roman" w:cs="Times New Roman"/>
                <w:bCs/>
                <w:i/>
                <w:sz w:val="19"/>
                <w:szCs w:val="19"/>
              </w:rPr>
              <w:t xml:space="preserve">Final Report: A </w:t>
            </w:r>
            <w:r w:rsidR="00DF392E" w:rsidRPr="006D2720">
              <w:rPr>
                <w:rFonts w:ascii="Times New Roman" w:hAnsi="Times New Roman" w:cs="Times New Roman"/>
                <w:bCs/>
                <w:i/>
                <w:sz w:val="19"/>
                <w:szCs w:val="19"/>
              </w:rPr>
              <w:t xml:space="preserve">Statutory Tort </w:t>
            </w:r>
            <w:r w:rsidRPr="006D2720">
              <w:rPr>
                <w:rFonts w:ascii="Times New Roman" w:hAnsi="Times New Roman" w:cs="Times New Roman"/>
                <w:bCs/>
                <w:i/>
                <w:sz w:val="19"/>
                <w:szCs w:val="19"/>
              </w:rPr>
              <w:t xml:space="preserve">for </w:t>
            </w:r>
            <w:r w:rsidR="00DF392E" w:rsidRPr="006D2720">
              <w:rPr>
                <w:rFonts w:ascii="Times New Roman" w:hAnsi="Times New Roman" w:cs="Times New Roman"/>
                <w:bCs/>
                <w:i/>
                <w:sz w:val="19"/>
                <w:szCs w:val="19"/>
              </w:rPr>
              <w:t xml:space="preserve">Invasion </w:t>
            </w:r>
            <w:r w:rsidRPr="006D2720">
              <w:rPr>
                <w:rFonts w:ascii="Times New Roman" w:hAnsi="Times New Roman" w:cs="Times New Roman"/>
                <w:bCs/>
                <w:i/>
                <w:sz w:val="19"/>
                <w:szCs w:val="19"/>
              </w:rPr>
              <w:t xml:space="preserve">of </w:t>
            </w:r>
            <w:r w:rsidR="00DF392E" w:rsidRPr="006D2720">
              <w:rPr>
                <w:rFonts w:ascii="Times New Roman" w:hAnsi="Times New Roman" w:cs="Times New Roman"/>
                <w:bCs/>
                <w:i/>
                <w:sz w:val="19"/>
                <w:szCs w:val="19"/>
              </w:rPr>
              <w:t>Privacy</w:t>
            </w:r>
            <w:r w:rsidR="00DF392E" w:rsidRPr="006D2720">
              <w:rPr>
                <w:rFonts w:ascii="Times New Roman" w:hAnsi="Times New Roman" w:cs="Times New Roman"/>
                <w:bCs/>
                <w:sz w:val="19"/>
                <w:szCs w:val="19"/>
              </w:rPr>
              <w:t xml:space="preserve"> </w:t>
            </w:r>
            <w:r w:rsidRPr="006D2720">
              <w:rPr>
                <w:rFonts w:ascii="Times New Roman" w:hAnsi="Times New Roman" w:cs="Times New Roman"/>
                <w:bCs/>
                <w:sz w:val="19"/>
                <w:szCs w:val="19"/>
              </w:rPr>
              <w:t>(</w:t>
            </w:r>
            <w:r w:rsidR="008E1647" w:rsidRPr="006D2720">
              <w:rPr>
                <w:rFonts w:ascii="Times New Roman" w:hAnsi="Times New Roman" w:cs="Times New Roman"/>
                <w:bCs/>
                <w:sz w:val="19"/>
                <w:szCs w:val="19"/>
              </w:rPr>
              <w:t xml:space="preserve">Final Report </w:t>
            </w:r>
            <w:r w:rsidRPr="006D2720">
              <w:rPr>
                <w:rFonts w:ascii="Times New Roman" w:hAnsi="Times New Roman" w:cs="Times New Roman"/>
                <w:bCs/>
                <w:sz w:val="19"/>
                <w:szCs w:val="19"/>
              </w:rPr>
              <w:t>4, March 2016)</w:t>
            </w:r>
          </w:p>
        </w:tc>
        <w:tc>
          <w:tcPr>
            <w:tcW w:w="4910" w:type="dxa"/>
          </w:tcPr>
          <w:p w14:paraId="56B982BC" w14:textId="08DA7A51" w:rsidR="0064050C" w:rsidRPr="006D2720" w:rsidRDefault="00CB2DD3"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Found that protections </w:t>
            </w:r>
            <w:r w:rsidR="0064050C" w:rsidRPr="006D2720">
              <w:rPr>
                <w:rFonts w:ascii="Times New Roman" w:hAnsi="Times New Roman" w:cs="Times New Roman"/>
                <w:bCs/>
                <w:sz w:val="19"/>
                <w:szCs w:val="19"/>
              </w:rPr>
              <w:t>available in South Australia for interferences with a person’s privacy</w:t>
            </w:r>
            <w:r w:rsidRPr="006D2720">
              <w:rPr>
                <w:rFonts w:ascii="Times New Roman" w:hAnsi="Times New Roman" w:cs="Times New Roman"/>
                <w:bCs/>
                <w:sz w:val="19"/>
                <w:szCs w:val="19"/>
              </w:rPr>
              <w:t xml:space="preserve"> were</w:t>
            </w:r>
            <w:r w:rsidR="0064050C" w:rsidRPr="006D2720">
              <w:rPr>
                <w:rFonts w:ascii="Times New Roman" w:hAnsi="Times New Roman" w:cs="Times New Roman"/>
                <w:bCs/>
                <w:sz w:val="19"/>
                <w:szCs w:val="19"/>
              </w:rPr>
              <w:t xml:space="preserve"> inadequate</w:t>
            </w:r>
            <w:r w:rsidR="0085494F" w:rsidRPr="006D2720">
              <w:rPr>
                <w:rFonts w:ascii="Times New Roman" w:hAnsi="Times New Roman" w:cs="Times New Roman"/>
                <w:bCs/>
                <w:sz w:val="19"/>
                <w:szCs w:val="19"/>
              </w:rPr>
              <w:t xml:space="preserve">. It found that, </w:t>
            </w:r>
            <w:r w:rsidR="0064050C" w:rsidRPr="006D2720">
              <w:rPr>
                <w:rFonts w:ascii="Times New Roman" w:hAnsi="Times New Roman" w:cs="Times New Roman"/>
                <w:bCs/>
                <w:sz w:val="19"/>
                <w:szCs w:val="19"/>
              </w:rPr>
              <w:t>although previous attempts at reform of this kind in South Australia were unsuccessful, the impetus for reform is now different as the people of South Australia are more vulnerable to invasions of privacy than ever before, particularly due to technological advances.</w:t>
            </w:r>
          </w:p>
        </w:tc>
      </w:tr>
      <w:tr w:rsidR="0064050C" w:rsidRPr="006D2720" w14:paraId="7137D446" w14:textId="77777777" w:rsidTr="0066337D">
        <w:trPr>
          <w:trHeight w:val="2210"/>
        </w:trPr>
        <w:tc>
          <w:tcPr>
            <w:tcW w:w="701" w:type="dxa"/>
          </w:tcPr>
          <w:p w14:paraId="1DBFEAE2"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2016</w:t>
            </w:r>
          </w:p>
        </w:tc>
        <w:tc>
          <w:tcPr>
            <w:tcW w:w="1293" w:type="dxa"/>
          </w:tcPr>
          <w:p w14:paraId="66A2B3A5"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NSW</w:t>
            </w:r>
          </w:p>
        </w:tc>
        <w:tc>
          <w:tcPr>
            <w:tcW w:w="2112" w:type="dxa"/>
          </w:tcPr>
          <w:p w14:paraId="0AD2AF17" w14:textId="37D95BB3" w:rsidR="0064050C" w:rsidRPr="006D2720" w:rsidRDefault="0064050C"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 xml:space="preserve">Legislative Council Standing Committee on Law and Justice, Parliament of </w:t>
            </w:r>
            <w:r w:rsidR="00614884" w:rsidRPr="006D2720">
              <w:rPr>
                <w:rFonts w:ascii="Times New Roman" w:eastAsia="Times New Roman" w:hAnsi="Times New Roman" w:cs="Times New Roman"/>
                <w:sz w:val="19"/>
                <w:szCs w:val="19"/>
              </w:rPr>
              <w:t>NSW</w:t>
            </w:r>
            <w:r w:rsidRPr="006D2720">
              <w:rPr>
                <w:rFonts w:ascii="Times New Roman" w:eastAsia="Times New Roman" w:hAnsi="Times New Roman" w:cs="Times New Roman"/>
                <w:sz w:val="19"/>
                <w:szCs w:val="19"/>
              </w:rPr>
              <w:t xml:space="preserve">, </w:t>
            </w:r>
            <w:r w:rsidRPr="006D2720">
              <w:rPr>
                <w:rFonts w:ascii="Times New Roman" w:eastAsia="Times New Roman" w:hAnsi="Times New Roman" w:cs="Times New Roman"/>
                <w:i/>
                <w:sz w:val="19"/>
                <w:szCs w:val="19"/>
              </w:rPr>
              <w:t>Remedies for the Serious Invasion of Privacy in New South Wales</w:t>
            </w:r>
            <w:r w:rsidRPr="006D2720">
              <w:rPr>
                <w:rFonts w:ascii="Times New Roman" w:eastAsia="Times New Roman" w:hAnsi="Times New Roman" w:cs="Times New Roman"/>
                <w:sz w:val="19"/>
                <w:szCs w:val="19"/>
              </w:rPr>
              <w:t xml:space="preserve"> (Report, March 2016)</w:t>
            </w:r>
          </w:p>
        </w:tc>
        <w:tc>
          <w:tcPr>
            <w:tcW w:w="4910" w:type="dxa"/>
          </w:tcPr>
          <w:p w14:paraId="4F93B948" w14:textId="636601A8" w:rsidR="0064050C" w:rsidRPr="006D2720" w:rsidRDefault="0085494F"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Found </w:t>
            </w:r>
            <w:r w:rsidR="002E1D21" w:rsidRPr="006D2720">
              <w:rPr>
                <w:rFonts w:ascii="Times New Roman" w:hAnsi="Times New Roman" w:cs="Times New Roman"/>
                <w:bCs/>
                <w:sz w:val="19"/>
                <w:szCs w:val="19"/>
              </w:rPr>
              <w:t xml:space="preserve">that </w:t>
            </w:r>
            <w:r w:rsidRPr="006D2720">
              <w:rPr>
                <w:rFonts w:ascii="Times New Roman" w:hAnsi="Times New Roman" w:cs="Times New Roman"/>
                <w:bCs/>
                <w:sz w:val="19"/>
                <w:szCs w:val="19"/>
              </w:rPr>
              <w:t xml:space="preserve">current </w:t>
            </w:r>
            <w:r w:rsidR="0064050C" w:rsidRPr="006D2720">
              <w:rPr>
                <w:rFonts w:ascii="Times New Roman" w:hAnsi="Times New Roman" w:cs="Times New Roman"/>
                <w:bCs/>
                <w:sz w:val="19"/>
                <w:szCs w:val="19"/>
              </w:rPr>
              <w:t xml:space="preserve">privacy provisions </w:t>
            </w:r>
            <w:r w:rsidR="002E1D21" w:rsidRPr="006D2720">
              <w:rPr>
                <w:rFonts w:ascii="Times New Roman" w:hAnsi="Times New Roman" w:cs="Times New Roman"/>
                <w:bCs/>
                <w:sz w:val="19"/>
                <w:szCs w:val="19"/>
              </w:rPr>
              <w:t xml:space="preserve">were </w:t>
            </w:r>
            <w:r w:rsidR="0064050C" w:rsidRPr="006D2720">
              <w:rPr>
                <w:rFonts w:ascii="Times New Roman" w:hAnsi="Times New Roman" w:cs="Times New Roman"/>
                <w:bCs/>
                <w:sz w:val="19"/>
                <w:szCs w:val="19"/>
              </w:rPr>
              <w:t>inadequate, and</w:t>
            </w:r>
            <w:r w:rsidRPr="006D2720">
              <w:rPr>
                <w:rFonts w:ascii="Times New Roman" w:hAnsi="Times New Roman" w:cs="Times New Roman"/>
                <w:bCs/>
                <w:sz w:val="19"/>
                <w:szCs w:val="19"/>
              </w:rPr>
              <w:t xml:space="preserve"> recommended th</w:t>
            </w:r>
            <w:r w:rsidR="002E1D21" w:rsidRPr="006D2720">
              <w:rPr>
                <w:rFonts w:ascii="Times New Roman" w:hAnsi="Times New Roman" w:cs="Times New Roman"/>
                <w:bCs/>
                <w:sz w:val="19"/>
                <w:szCs w:val="19"/>
              </w:rPr>
              <w:t>e introduction of</w:t>
            </w:r>
            <w:r w:rsidR="0064050C" w:rsidRPr="006D2720">
              <w:rPr>
                <w:rFonts w:ascii="Times New Roman" w:hAnsi="Times New Roman" w:cs="Times New Roman"/>
                <w:bCs/>
                <w:sz w:val="19"/>
                <w:szCs w:val="19"/>
              </w:rPr>
              <w:t xml:space="preserve"> statutory causes of action for serious invasions of privacy.</w:t>
            </w:r>
          </w:p>
        </w:tc>
      </w:tr>
      <w:tr w:rsidR="00B76B1F" w:rsidRPr="006D2720" w14:paraId="2D49B53B" w14:textId="77777777" w:rsidTr="00CA1A69">
        <w:trPr>
          <w:trHeight w:val="2008"/>
        </w:trPr>
        <w:tc>
          <w:tcPr>
            <w:tcW w:w="701" w:type="dxa"/>
          </w:tcPr>
          <w:p w14:paraId="488229B0" w14:textId="672A3371" w:rsidR="00B76B1F" w:rsidRPr="006D2720" w:rsidRDefault="00B76B1F" w:rsidP="007D6E0F">
            <w:pPr>
              <w:rPr>
                <w:rFonts w:ascii="Times New Roman" w:hAnsi="Times New Roman" w:cs="Times New Roman"/>
                <w:bCs/>
                <w:sz w:val="19"/>
                <w:szCs w:val="19"/>
              </w:rPr>
            </w:pPr>
            <w:r w:rsidRPr="006D2720">
              <w:rPr>
                <w:rFonts w:ascii="Times New Roman" w:hAnsi="Times New Roman" w:cs="Times New Roman"/>
                <w:bCs/>
                <w:sz w:val="19"/>
                <w:szCs w:val="19"/>
              </w:rPr>
              <w:t>2017</w:t>
            </w:r>
          </w:p>
        </w:tc>
        <w:tc>
          <w:tcPr>
            <w:tcW w:w="1293" w:type="dxa"/>
          </w:tcPr>
          <w:p w14:paraId="44862D76" w14:textId="0CFD8524" w:rsidR="00B76B1F" w:rsidRPr="006D2720" w:rsidRDefault="00B76B1F" w:rsidP="007D6E0F">
            <w:pPr>
              <w:rPr>
                <w:rFonts w:ascii="Times New Roman" w:hAnsi="Times New Roman" w:cs="Times New Roman"/>
                <w:bCs/>
                <w:sz w:val="19"/>
                <w:szCs w:val="19"/>
              </w:rPr>
            </w:pPr>
            <w:r w:rsidRPr="006D2720">
              <w:rPr>
                <w:rFonts w:ascii="Times New Roman" w:hAnsi="Times New Roman" w:cs="Times New Roman"/>
                <w:bCs/>
                <w:sz w:val="19"/>
                <w:szCs w:val="19"/>
              </w:rPr>
              <w:t>Qld</w:t>
            </w:r>
          </w:p>
        </w:tc>
        <w:tc>
          <w:tcPr>
            <w:tcW w:w="2112" w:type="dxa"/>
          </w:tcPr>
          <w:p w14:paraId="6A8AF09D" w14:textId="49AACC86" w:rsidR="00B76B1F" w:rsidRPr="006D2720" w:rsidRDefault="00B76B1F"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 xml:space="preserve">Department of Justice and Attorney-General, </w:t>
            </w:r>
            <w:r w:rsidRPr="006D2720">
              <w:rPr>
                <w:rFonts w:ascii="Times New Roman" w:eastAsia="Times New Roman" w:hAnsi="Times New Roman" w:cs="Times New Roman"/>
                <w:i/>
                <w:sz w:val="19"/>
                <w:szCs w:val="19"/>
              </w:rPr>
              <w:t xml:space="preserve">Report on the </w:t>
            </w:r>
            <w:r w:rsidR="00FF536F" w:rsidRPr="006D2720">
              <w:rPr>
                <w:rFonts w:ascii="Times New Roman" w:eastAsia="Times New Roman" w:hAnsi="Times New Roman" w:cs="Times New Roman"/>
                <w:i/>
                <w:sz w:val="19"/>
                <w:szCs w:val="19"/>
              </w:rPr>
              <w:t>R</w:t>
            </w:r>
            <w:r w:rsidRPr="006D2720">
              <w:rPr>
                <w:rFonts w:ascii="Times New Roman" w:eastAsia="Times New Roman" w:hAnsi="Times New Roman" w:cs="Times New Roman"/>
                <w:i/>
                <w:sz w:val="19"/>
                <w:szCs w:val="19"/>
              </w:rPr>
              <w:t>eview of the Right to Information Act 2009 and Information Privacy Act 2009</w:t>
            </w:r>
            <w:r w:rsidRPr="006D2720">
              <w:rPr>
                <w:rFonts w:ascii="Times New Roman" w:eastAsia="Times New Roman" w:hAnsi="Times New Roman" w:cs="Times New Roman"/>
                <w:sz w:val="19"/>
                <w:szCs w:val="19"/>
              </w:rPr>
              <w:t xml:space="preserve"> (Report, October 2017)</w:t>
            </w:r>
          </w:p>
        </w:tc>
        <w:tc>
          <w:tcPr>
            <w:tcW w:w="4910" w:type="dxa"/>
          </w:tcPr>
          <w:p w14:paraId="6F3DB4B0" w14:textId="7F746737" w:rsidR="00B76B1F" w:rsidRPr="006D2720" w:rsidRDefault="0085494F" w:rsidP="007D6E0F">
            <w:pPr>
              <w:rPr>
                <w:rFonts w:ascii="Times New Roman" w:hAnsi="Times New Roman" w:cs="Times New Roman"/>
                <w:bCs/>
                <w:sz w:val="19"/>
                <w:szCs w:val="19"/>
              </w:rPr>
            </w:pPr>
            <w:r w:rsidRPr="006D2720">
              <w:rPr>
                <w:rFonts w:ascii="Times New Roman" w:hAnsi="Times New Roman" w:cs="Times New Roman"/>
                <w:bCs/>
                <w:sz w:val="19"/>
                <w:szCs w:val="19"/>
              </w:rPr>
              <w:t>Made a</w:t>
            </w:r>
            <w:r w:rsidR="00620CCF" w:rsidRPr="006D2720">
              <w:rPr>
                <w:rFonts w:ascii="Times New Roman" w:hAnsi="Times New Roman" w:cs="Times New Roman"/>
                <w:bCs/>
                <w:sz w:val="19"/>
                <w:szCs w:val="19"/>
              </w:rPr>
              <w:t xml:space="preserve"> r</w:t>
            </w:r>
            <w:r w:rsidR="00B76B1F" w:rsidRPr="006D2720">
              <w:rPr>
                <w:rFonts w:ascii="Times New Roman" w:hAnsi="Times New Roman" w:cs="Times New Roman"/>
                <w:bCs/>
                <w:sz w:val="19"/>
                <w:szCs w:val="19"/>
              </w:rPr>
              <w:t xml:space="preserve">ange of recommendations for amendment of </w:t>
            </w:r>
            <w:r w:rsidR="00B76B1F" w:rsidRPr="006D2720">
              <w:rPr>
                <w:rFonts w:ascii="Times New Roman" w:hAnsi="Times New Roman" w:cs="Times New Roman"/>
                <w:bCs/>
                <w:i/>
                <w:iCs/>
                <w:sz w:val="19"/>
                <w:szCs w:val="19"/>
              </w:rPr>
              <w:t>Information Privacy Act 2009</w:t>
            </w:r>
            <w:r w:rsidR="00B76B1F" w:rsidRPr="006D2720">
              <w:rPr>
                <w:rFonts w:ascii="Times New Roman" w:hAnsi="Times New Roman" w:cs="Times New Roman"/>
                <w:bCs/>
                <w:sz w:val="19"/>
                <w:szCs w:val="19"/>
              </w:rPr>
              <w:t xml:space="preserve"> </w:t>
            </w:r>
            <w:r w:rsidR="00620CCF" w:rsidRPr="006D2720">
              <w:rPr>
                <w:rFonts w:ascii="Times New Roman" w:hAnsi="Times New Roman" w:cs="Times New Roman"/>
                <w:bCs/>
                <w:sz w:val="19"/>
                <w:szCs w:val="19"/>
              </w:rPr>
              <w:t xml:space="preserve">(Qld), </w:t>
            </w:r>
            <w:r w:rsidR="00B76B1F" w:rsidRPr="006D2720">
              <w:rPr>
                <w:rFonts w:ascii="Times New Roman" w:hAnsi="Times New Roman" w:cs="Times New Roman"/>
                <w:bCs/>
                <w:sz w:val="19"/>
                <w:szCs w:val="19"/>
              </w:rPr>
              <w:t xml:space="preserve">including extending the Act to include </w:t>
            </w:r>
            <w:r w:rsidR="001833CC" w:rsidRPr="006D2720">
              <w:rPr>
                <w:rFonts w:ascii="Times New Roman" w:hAnsi="Times New Roman" w:cs="Times New Roman"/>
                <w:bCs/>
                <w:sz w:val="19"/>
                <w:szCs w:val="19"/>
              </w:rPr>
              <w:t>sub</w:t>
            </w:r>
            <w:r w:rsidR="00B76B1F" w:rsidRPr="006D2720">
              <w:rPr>
                <w:rFonts w:ascii="Times New Roman" w:hAnsi="Times New Roman" w:cs="Times New Roman"/>
                <w:bCs/>
                <w:sz w:val="19"/>
                <w:szCs w:val="19"/>
              </w:rPr>
              <w:t xml:space="preserve">contractors and </w:t>
            </w:r>
            <w:r w:rsidR="00620CCF" w:rsidRPr="006D2720">
              <w:rPr>
                <w:rFonts w:ascii="Times New Roman" w:hAnsi="Times New Roman" w:cs="Times New Roman"/>
                <w:bCs/>
                <w:sz w:val="19"/>
                <w:szCs w:val="19"/>
              </w:rPr>
              <w:t xml:space="preserve">to </w:t>
            </w:r>
            <w:r w:rsidR="00B76B1F" w:rsidRPr="006D2720">
              <w:rPr>
                <w:rFonts w:ascii="Times New Roman" w:hAnsi="Times New Roman" w:cs="Times New Roman"/>
                <w:bCs/>
                <w:sz w:val="19"/>
                <w:szCs w:val="19"/>
              </w:rPr>
              <w:t>clarify privacy processes.</w:t>
            </w:r>
          </w:p>
        </w:tc>
      </w:tr>
      <w:tr w:rsidR="0064050C" w:rsidRPr="006D2720" w14:paraId="1FDEF62E" w14:textId="77777777" w:rsidTr="0066337D">
        <w:trPr>
          <w:trHeight w:val="1592"/>
        </w:trPr>
        <w:tc>
          <w:tcPr>
            <w:tcW w:w="701" w:type="dxa"/>
          </w:tcPr>
          <w:p w14:paraId="05D76876"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2019</w:t>
            </w:r>
          </w:p>
        </w:tc>
        <w:tc>
          <w:tcPr>
            <w:tcW w:w="1293" w:type="dxa"/>
          </w:tcPr>
          <w:p w14:paraId="33CF210E" w14:textId="77777777" w:rsidR="0064050C" w:rsidRPr="006D2720" w:rsidRDefault="0064050C"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Cth </w:t>
            </w:r>
          </w:p>
        </w:tc>
        <w:tc>
          <w:tcPr>
            <w:tcW w:w="2112" w:type="dxa"/>
          </w:tcPr>
          <w:p w14:paraId="2C33D3AE" w14:textId="2FA89FAB" w:rsidR="0064050C" w:rsidRPr="006D2720" w:rsidRDefault="0064050C" w:rsidP="007D6E0F">
            <w:pPr>
              <w:rPr>
                <w:rFonts w:ascii="Times New Roman" w:hAnsi="Times New Roman" w:cs="Times New Roman"/>
                <w:bCs/>
                <w:sz w:val="19"/>
                <w:szCs w:val="19"/>
              </w:rPr>
            </w:pPr>
            <w:r w:rsidRPr="006D2720">
              <w:rPr>
                <w:rFonts w:ascii="Times New Roman" w:eastAsia="Times New Roman" w:hAnsi="Times New Roman" w:cs="Times New Roman"/>
                <w:sz w:val="19"/>
                <w:szCs w:val="19"/>
              </w:rPr>
              <w:t xml:space="preserve">Australian Competition and Consumer Commission, </w:t>
            </w:r>
            <w:r w:rsidRPr="006D2720">
              <w:rPr>
                <w:rFonts w:ascii="Times New Roman" w:eastAsia="Times New Roman" w:hAnsi="Times New Roman" w:cs="Times New Roman"/>
                <w:i/>
                <w:sz w:val="19"/>
                <w:szCs w:val="19"/>
              </w:rPr>
              <w:t xml:space="preserve">Digital Platforms Inquiry </w:t>
            </w:r>
            <w:r w:rsidRPr="006D2720">
              <w:rPr>
                <w:rFonts w:ascii="Times New Roman" w:eastAsia="Times New Roman" w:hAnsi="Times New Roman" w:cs="Times New Roman"/>
                <w:sz w:val="19"/>
                <w:szCs w:val="19"/>
              </w:rPr>
              <w:t xml:space="preserve">(Final Report, </w:t>
            </w:r>
            <w:r w:rsidR="00815882" w:rsidRPr="006D2720">
              <w:rPr>
                <w:rFonts w:ascii="Times New Roman" w:eastAsia="Times New Roman" w:hAnsi="Times New Roman" w:cs="Times New Roman"/>
                <w:sz w:val="19"/>
                <w:szCs w:val="19"/>
              </w:rPr>
              <w:t>June</w:t>
            </w:r>
            <w:r w:rsidRPr="006D2720">
              <w:rPr>
                <w:rFonts w:ascii="Times New Roman" w:eastAsia="Times New Roman" w:hAnsi="Times New Roman" w:cs="Times New Roman"/>
                <w:sz w:val="19"/>
                <w:szCs w:val="19"/>
              </w:rPr>
              <w:t xml:space="preserve"> 2019)</w:t>
            </w:r>
          </w:p>
        </w:tc>
        <w:tc>
          <w:tcPr>
            <w:tcW w:w="4910" w:type="dxa"/>
          </w:tcPr>
          <w:p w14:paraId="5B4C7986" w14:textId="364B8DAA" w:rsidR="0064050C" w:rsidRPr="006D2720" w:rsidRDefault="0085494F" w:rsidP="007D6E0F">
            <w:pPr>
              <w:rPr>
                <w:rFonts w:ascii="Times New Roman" w:hAnsi="Times New Roman" w:cs="Times New Roman"/>
                <w:bCs/>
                <w:sz w:val="19"/>
                <w:szCs w:val="19"/>
              </w:rPr>
            </w:pPr>
            <w:r w:rsidRPr="006D2720">
              <w:rPr>
                <w:rFonts w:ascii="Times New Roman" w:hAnsi="Times New Roman" w:cs="Times New Roman"/>
                <w:bCs/>
                <w:sz w:val="19"/>
                <w:szCs w:val="19"/>
              </w:rPr>
              <w:t xml:space="preserve">Found that data </w:t>
            </w:r>
            <w:r w:rsidR="0064050C" w:rsidRPr="006D2720">
              <w:rPr>
                <w:rFonts w:ascii="Times New Roman" w:hAnsi="Times New Roman" w:cs="Times New Roman"/>
                <w:bCs/>
                <w:sz w:val="19"/>
                <w:szCs w:val="19"/>
              </w:rPr>
              <w:t>protection and related privacy interests require stronger legal protection to address growing incursions through the use of digital platforms, particularly through the commodification of personal data.</w:t>
            </w:r>
          </w:p>
        </w:tc>
      </w:tr>
      <w:tr w:rsidR="00116766" w:rsidRPr="006D2720" w14:paraId="79E776E6" w14:textId="77777777" w:rsidTr="00CA1A69">
        <w:trPr>
          <w:trHeight w:val="1701"/>
        </w:trPr>
        <w:tc>
          <w:tcPr>
            <w:tcW w:w="701" w:type="dxa"/>
          </w:tcPr>
          <w:p w14:paraId="0CD61F9C" w14:textId="2103504C"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2019</w:t>
            </w:r>
          </w:p>
        </w:tc>
        <w:tc>
          <w:tcPr>
            <w:tcW w:w="1293" w:type="dxa"/>
          </w:tcPr>
          <w:p w14:paraId="0D876BAE" w14:textId="5486E64C"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NSW</w:t>
            </w:r>
          </w:p>
        </w:tc>
        <w:tc>
          <w:tcPr>
            <w:tcW w:w="2112" w:type="dxa"/>
          </w:tcPr>
          <w:p w14:paraId="1F3ABB0B" w14:textId="289FAAF0" w:rsidR="00116766" w:rsidRPr="006D2720" w:rsidRDefault="00614884"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NSW</w:t>
            </w:r>
            <w:r w:rsidR="00116766" w:rsidRPr="006D2720">
              <w:rPr>
                <w:rFonts w:ascii="Times New Roman" w:eastAsia="Times New Roman" w:hAnsi="Times New Roman" w:cs="Times New Roman"/>
                <w:sz w:val="19"/>
                <w:szCs w:val="19"/>
              </w:rPr>
              <w:t xml:space="preserve"> Department of Communities and Justice, </w:t>
            </w:r>
            <w:r w:rsidR="00116766" w:rsidRPr="006D2720">
              <w:rPr>
                <w:rFonts w:ascii="Times New Roman" w:eastAsia="Times New Roman" w:hAnsi="Times New Roman" w:cs="Times New Roman"/>
                <w:i/>
                <w:sz w:val="19"/>
                <w:szCs w:val="19"/>
              </w:rPr>
              <w:t xml:space="preserve">Mandatory </w:t>
            </w:r>
            <w:r w:rsidR="00AB0D7A" w:rsidRPr="006D2720">
              <w:rPr>
                <w:rFonts w:ascii="Times New Roman" w:eastAsia="Times New Roman" w:hAnsi="Times New Roman" w:cs="Times New Roman"/>
                <w:i/>
                <w:sz w:val="19"/>
                <w:szCs w:val="19"/>
              </w:rPr>
              <w:t>N</w:t>
            </w:r>
            <w:r w:rsidR="00116766" w:rsidRPr="006D2720">
              <w:rPr>
                <w:rFonts w:ascii="Times New Roman" w:eastAsia="Times New Roman" w:hAnsi="Times New Roman" w:cs="Times New Roman"/>
                <w:i/>
                <w:sz w:val="19"/>
                <w:szCs w:val="19"/>
              </w:rPr>
              <w:t xml:space="preserve">otification of </w:t>
            </w:r>
            <w:r w:rsidR="00AB0D7A" w:rsidRPr="006D2720">
              <w:rPr>
                <w:rFonts w:ascii="Times New Roman" w:eastAsia="Times New Roman" w:hAnsi="Times New Roman" w:cs="Times New Roman"/>
                <w:i/>
                <w:sz w:val="19"/>
                <w:szCs w:val="19"/>
              </w:rPr>
              <w:t>D</w:t>
            </w:r>
            <w:r w:rsidR="00116766" w:rsidRPr="006D2720">
              <w:rPr>
                <w:rFonts w:ascii="Times New Roman" w:eastAsia="Times New Roman" w:hAnsi="Times New Roman" w:cs="Times New Roman"/>
                <w:i/>
                <w:sz w:val="19"/>
                <w:szCs w:val="19"/>
              </w:rPr>
              <w:t xml:space="preserve">ata </w:t>
            </w:r>
            <w:r w:rsidR="00AB0D7A" w:rsidRPr="006D2720">
              <w:rPr>
                <w:rFonts w:ascii="Times New Roman" w:eastAsia="Times New Roman" w:hAnsi="Times New Roman" w:cs="Times New Roman"/>
                <w:i/>
                <w:sz w:val="19"/>
                <w:szCs w:val="19"/>
              </w:rPr>
              <w:t>B</w:t>
            </w:r>
            <w:r w:rsidR="00116766" w:rsidRPr="006D2720">
              <w:rPr>
                <w:rFonts w:ascii="Times New Roman" w:eastAsia="Times New Roman" w:hAnsi="Times New Roman" w:cs="Times New Roman"/>
                <w:i/>
                <w:sz w:val="19"/>
                <w:szCs w:val="19"/>
              </w:rPr>
              <w:t xml:space="preserve">reaches by NSW </w:t>
            </w:r>
            <w:r w:rsidR="00AB0D7A" w:rsidRPr="006D2720">
              <w:rPr>
                <w:rFonts w:ascii="Times New Roman" w:eastAsia="Times New Roman" w:hAnsi="Times New Roman" w:cs="Times New Roman"/>
                <w:i/>
                <w:sz w:val="19"/>
                <w:szCs w:val="19"/>
              </w:rPr>
              <w:t>P</w:t>
            </w:r>
            <w:r w:rsidR="00116766" w:rsidRPr="006D2720">
              <w:rPr>
                <w:rFonts w:ascii="Times New Roman" w:eastAsia="Times New Roman" w:hAnsi="Times New Roman" w:cs="Times New Roman"/>
                <w:i/>
                <w:sz w:val="19"/>
                <w:szCs w:val="19"/>
              </w:rPr>
              <w:t xml:space="preserve">ublic </w:t>
            </w:r>
            <w:r w:rsidR="00AB0D7A" w:rsidRPr="006D2720">
              <w:rPr>
                <w:rFonts w:ascii="Times New Roman" w:eastAsia="Times New Roman" w:hAnsi="Times New Roman" w:cs="Times New Roman"/>
                <w:i/>
                <w:sz w:val="19"/>
                <w:szCs w:val="19"/>
              </w:rPr>
              <w:t>S</w:t>
            </w:r>
            <w:r w:rsidR="00116766" w:rsidRPr="006D2720">
              <w:rPr>
                <w:rFonts w:ascii="Times New Roman" w:eastAsia="Times New Roman" w:hAnsi="Times New Roman" w:cs="Times New Roman"/>
                <w:i/>
                <w:sz w:val="19"/>
                <w:szCs w:val="19"/>
              </w:rPr>
              <w:t xml:space="preserve">ector </w:t>
            </w:r>
            <w:r w:rsidR="00AB0D7A" w:rsidRPr="006D2720">
              <w:rPr>
                <w:rFonts w:ascii="Times New Roman" w:eastAsia="Times New Roman" w:hAnsi="Times New Roman" w:cs="Times New Roman"/>
                <w:i/>
                <w:sz w:val="19"/>
                <w:szCs w:val="19"/>
              </w:rPr>
              <w:t>A</w:t>
            </w:r>
            <w:r w:rsidR="00116766" w:rsidRPr="006D2720">
              <w:rPr>
                <w:rFonts w:ascii="Times New Roman" w:eastAsia="Times New Roman" w:hAnsi="Times New Roman" w:cs="Times New Roman"/>
                <w:i/>
                <w:sz w:val="19"/>
                <w:szCs w:val="19"/>
              </w:rPr>
              <w:t>gencies</w:t>
            </w:r>
            <w:r w:rsidR="00116766" w:rsidRPr="006D2720">
              <w:rPr>
                <w:rFonts w:ascii="Times New Roman" w:eastAsia="Times New Roman" w:hAnsi="Times New Roman" w:cs="Times New Roman"/>
                <w:sz w:val="19"/>
                <w:szCs w:val="19"/>
              </w:rPr>
              <w:t xml:space="preserve"> (Discussion Paper, July 2019)</w:t>
            </w:r>
          </w:p>
        </w:tc>
        <w:tc>
          <w:tcPr>
            <w:tcW w:w="4910" w:type="dxa"/>
          </w:tcPr>
          <w:p w14:paraId="2B265DC1" w14:textId="31F67E2E"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Discusse</w:t>
            </w:r>
            <w:r w:rsidR="0085494F" w:rsidRPr="006D2720">
              <w:rPr>
                <w:rFonts w:ascii="Times New Roman" w:hAnsi="Times New Roman" w:cs="Times New Roman"/>
                <w:bCs/>
                <w:sz w:val="19"/>
                <w:szCs w:val="19"/>
              </w:rPr>
              <w:t>d the</w:t>
            </w:r>
            <w:r w:rsidRPr="006D2720">
              <w:rPr>
                <w:rFonts w:ascii="Times New Roman" w:hAnsi="Times New Roman" w:cs="Times New Roman"/>
                <w:bCs/>
                <w:sz w:val="19"/>
                <w:szCs w:val="19"/>
              </w:rPr>
              <w:t xml:space="preserve"> introduction of a mandatory reporting scheme for data breaches by NSW public sector bodies.</w:t>
            </w:r>
          </w:p>
        </w:tc>
      </w:tr>
      <w:tr w:rsidR="00116766" w:rsidRPr="006D2720" w14:paraId="1715E6BB" w14:textId="77777777" w:rsidTr="00CA1A69">
        <w:trPr>
          <w:trHeight w:val="3192"/>
        </w:trPr>
        <w:tc>
          <w:tcPr>
            <w:tcW w:w="701" w:type="dxa"/>
          </w:tcPr>
          <w:p w14:paraId="64181CD8" w14:textId="00BB58BE"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2020</w:t>
            </w:r>
          </w:p>
        </w:tc>
        <w:tc>
          <w:tcPr>
            <w:tcW w:w="1293" w:type="dxa"/>
          </w:tcPr>
          <w:p w14:paraId="0C176955" w14:textId="5F35312A"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Qld</w:t>
            </w:r>
          </w:p>
        </w:tc>
        <w:tc>
          <w:tcPr>
            <w:tcW w:w="2112" w:type="dxa"/>
          </w:tcPr>
          <w:p w14:paraId="16ABF027" w14:textId="77777777" w:rsidR="00116766" w:rsidRPr="006D2720" w:rsidRDefault="00116766"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Queensland</w:t>
            </w:r>
          </w:p>
          <w:p w14:paraId="5D28BE1D" w14:textId="77777777" w:rsidR="00116766" w:rsidRPr="006D2720" w:rsidRDefault="00116766"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Law Reform Commission,</w:t>
            </w:r>
          </w:p>
          <w:p w14:paraId="7F125658" w14:textId="58538872" w:rsidR="00116766" w:rsidRPr="006D2720" w:rsidRDefault="00116766" w:rsidP="007D6E0F">
            <w:pPr>
              <w:rPr>
                <w:rFonts w:ascii="Times New Roman" w:eastAsia="Times New Roman" w:hAnsi="Times New Roman" w:cs="Times New Roman"/>
                <w:i/>
                <w:sz w:val="19"/>
                <w:szCs w:val="19"/>
              </w:rPr>
            </w:pPr>
            <w:r w:rsidRPr="006D2720">
              <w:rPr>
                <w:rFonts w:ascii="Times New Roman" w:eastAsia="Times New Roman" w:hAnsi="Times New Roman" w:cs="Times New Roman"/>
                <w:i/>
                <w:sz w:val="19"/>
                <w:szCs w:val="19"/>
              </w:rPr>
              <w:t xml:space="preserve">Review of Queensland’s </w:t>
            </w:r>
            <w:r w:rsidR="00CB7689" w:rsidRPr="006D2720">
              <w:rPr>
                <w:rFonts w:ascii="Times New Roman" w:eastAsia="Times New Roman" w:hAnsi="Times New Roman" w:cs="Times New Roman"/>
                <w:i/>
                <w:sz w:val="19"/>
                <w:szCs w:val="19"/>
              </w:rPr>
              <w:t>L</w:t>
            </w:r>
            <w:r w:rsidRPr="006D2720">
              <w:rPr>
                <w:rFonts w:ascii="Times New Roman" w:eastAsia="Times New Roman" w:hAnsi="Times New Roman" w:cs="Times New Roman"/>
                <w:i/>
                <w:sz w:val="19"/>
                <w:szCs w:val="19"/>
              </w:rPr>
              <w:t>aws</w:t>
            </w:r>
          </w:p>
          <w:p w14:paraId="7D8758D0" w14:textId="571444E6" w:rsidR="00116766" w:rsidRPr="006D2720" w:rsidRDefault="00CB7689" w:rsidP="007D6E0F">
            <w:pPr>
              <w:rPr>
                <w:rFonts w:ascii="Times New Roman" w:eastAsia="Times New Roman" w:hAnsi="Times New Roman" w:cs="Times New Roman"/>
                <w:i/>
                <w:sz w:val="19"/>
                <w:szCs w:val="19"/>
              </w:rPr>
            </w:pPr>
            <w:r w:rsidRPr="006D2720">
              <w:rPr>
                <w:rFonts w:ascii="Times New Roman" w:eastAsia="Times New Roman" w:hAnsi="Times New Roman" w:cs="Times New Roman"/>
                <w:i/>
                <w:sz w:val="19"/>
                <w:szCs w:val="19"/>
              </w:rPr>
              <w:t>R</w:t>
            </w:r>
            <w:r w:rsidR="00116766" w:rsidRPr="006D2720">
              <w:rPr>
                <w:rFonts w:ascii="Times New Roman" w:eastAsia="Times New Roman" w:hAnsi="Times New Roman" w:cs="Times New Roman"/>
                <w:i/>
                <w:sz w:val="19"/>
                <w:szCs w:val="19"/>
              </w:rPr>
              <w:t xml:space="preserve">elating to </w:t>
            </w:r>
            <w:r w:rsidRPr="006D2720">
              <w:rPr>
                <w:rFonts w:ascii="Times New Roman" w:eastAsia="Times New Roman" w:hAnsi="Times New Roman" w:cs="Times New Roman"/>
                <w:i/>
                <w:sz w:val="19"/>
                <w:szCs w:val="19"/>
              </w:rPr>
              <w:t>C</w:t>
            </w:r>
            <w:r w:rsidR="00116766" w:rsidRPr="006D2720">
              <w:rPr>
                <w:rFonts w:ascii="Times New Roman" w:eastAsia="Times New Roman" w:hAnsi="Times New Roman" w:cs="Times New Roman"/>
                <w:i/>
                <w:sz w:val="19"/>
                <w:szCs w:val="19"/>
              </w:rPr>
              <w:t xml:space="preserve">ivil </w:t>
            </w:r>
            <w:r w:rsidRPr="006D2720">
              <w:rPr>
                <w:rFonts w:ascii="Times New Roman" w:eastAsia="Times New Roman" w:hAnsi="Times New Roman" w:cs="Times New Roman"/>
                <w:i/>
                <w:sz w:val="19"/>
                <w:szCs w:val="19"/>
              </w:rPr>
              <w:t>S</w:t>
            </w:r>
            <w:r w:rsidR="00116766" w:rsidRPr="006D2720">
              <w:rPr>
                <w:rFonts w:ascii="Times New Roman" w:eastAsia="Times New Roman" w:hAnsi="Times New Roman" w:cs="Times New Roman"/>
                <w:i/>
                <w:sz w:val="19"/>
                <w:szCs w:val="19"/>
              </w:rPr>
              <w:t>urveillance and the</w:t>
            </w:r>
          </w:p>
          <w:p w14:paraId="4C6724AA" w14:textId="6125920C" w:rsidR="00116766" w:rsidRPr="006D2720" w:rsidRDefault="00CB7689" w:rsidP="007D6E0F">
            <w:pPr>
              <w:rPr>
                <w:rFonts w:ascii="Times New Roman" w:eastAsia="Times New Roman" w:hAnsi="Times New Roman" w:cs="Times New Roman"/>
                <w:i/>
                <w:sz w:val="19"/>
                <w:szCs w:val="19"/>
              </w:rPr>
            </w:pPr>
            <w:r w:rsidRPr="006D2720">
              <w:rPr>
                <w:rFonts w:ascii="Times New Roman" w:eastAsia="Times New Roman" w:hAnsi="Times New Roman" w:cs="Times New Roman"/>
                <w:i/>
                <w:sz w:val="19"/>
                <w:szCs w:val="19"/>
              </w:rPr>
              <w:t>P</w:t>
            </w:r>
            <w:r w:rsidR="00116766" w:rsidRPr="006D2720">
              <w:rPr>
                <w:rFonts w:ascii="Times New Roman" w:eastAsia="Times New Roman" w:hAnsi="Times New Roman" w:cs="Times New Roman"/>
                <w:i/>
                <w:sz w:val="19"/>
                <w:szCs w:val="19"/>
              </w:rPr>
              <w:t xml:space="preserve">rotection of </w:t>
            </w:r>
            <w:r w:rsidRPr="006D2720">
              <w:rPr>
                <w:rFonts w:ascii="Times New Roman" w:eastAsia="Times New Roman" w:hAnsi="Times New Roman" w:cs="Times New Roman"/>
                <w:i/>
                <w:sz w:val="19"/>
                <w:szCs w:val="19"/>
              </w:rPr>
              <w:t>P</w:t>
            </w:r>
            <w:r w:rsidR="00116766" w:rsidRPr="006D2720">
              <w:rPr>
                <w:rFonts w:ascii="Times New Roman" w:eastAsia="Times New Roman" w:hAnsi="Times New Roman" w:cs="Times New Roman"/>
                <w:i/>
                <w:sz w:val="19"/>
                <w:szCs w:val="19"/>
              </w:rPr>
              <w:t xml:space="preserve">rivacy in the </w:t>
            </w:r>
            <w:r w:rsidRPr="006D2720">
              <w:rPr>
                <w:rFonts w:ascii="Times New Roman" w:eastAsia="Times New Roman" w:hAnsi="Times New Roman" w:cs="Times New Roman"/>
                <w:i/>
                <w:sz w:val="19"/>
                <w:szCs w:val="19"/>
              </w:rPr>
              <w:t>C</w:t>
            </w:r>
            <w:r w:rsidR="00116766" w:rsidRPr="006D2720">
              <w:rPr>
                <w:rFonts w:ascii="Times New Roman" w:eastAsia="Times New Roman" w:hAnsi="Times New Roman" w:cs="Times New Roman"/>
                <w:i/>
                <w:sz w:val="19"/>
                <w:szCs w:val="19"/>
              </w:rPr>
              <w:t>ontext</w:t>
            </w:r>
          </w:p>
          <w:p w14:paraId="2BF66666" w14:textId="0D4BC697" w:rsidR="00116766" w:rsidRPr="006D2720" w:rsidRDefault="00116766" w:rsidP="007D6E0F">
            <w:pPr>
              <w:rPr>
                <w:rFonts w:ascii="Times New Roman" w:eastAsia="Times New Roman" w:hAnsi="Times New Roman" w:cs="Times New Roman"/>
                <w:i/>
                <w:sz w:val="19"/>
                <w:szCs w:val="19"/>
              </w:rPr>
            </w:pPr>
            <w:r w:rsidRPr="006D2720">
              <w:rPr>
                <w:rFonts w:ascii="Times New Roman" w:eastAsia="Times New Roman" w:hAnsi="Times New Roman" w:cs="Times New Roman"/>
                <w:i/>
                <w:sz w:val="19"/>
                <w:szCs w:val="19"/>
              </w:rPr>
              <w:t xml:space="preserve">of </w:t>
            </w:r>
            <w:r w:rsidR="0068545F" w:rsidRPr="006D2720">
              <w:rPr>
                <w:rFonts w:ascii="Times New Roman" w:eastAsia="Times New Roman" w:hAnsi="Times New Roman" w:cs="Times New Roman"/>
                <w:i/>
                <w:sz w:val="19"/>
                <w:szCs w:val="19"/>
              </w:rPr>
              <w:t>C</w:t>
            </w:r>
            <w:r w:rsidRPr="006D2720">
              <w:rPr>
                <w:rFonts w:ascii="Times New Roman" w:eastAsia="Times New Roman" w:hAnsi="Times New Roman" w:cs="Times New Roman"/>
                <w:i/>
                <w:sz w:val="19"/>
                <w:szCs w:val="19"/>
              </w:rPr>
              <w:t xml:space="preserve">urrent and </w:t>
            </w:r>
            <w:r w:rsidR="0068545F" w:rsidRPr="006D2720">
              <w:rPr>
                <w:rFonts w:ascii="Times New Roman" w:eastAsia="Times New Roman" w:hAnsi="Times New Roman" w:cs="Times New Roman"/>
                <w:i/>
                <w:sz w:val="19"/>
                <w:szCs w:val="19"/>
              </w:rPr>
              <w:t>E</w:t>
            </w:r>
            <w:r w:rsidRPr="006D2720">
              <w:rPr>
                <w:rFonts w:ascii="Times New Roman" w:eastAsia="Times New Roman" w:hAnsi="Times New Roman" w:cs="Times New Roman"/>
                <w:i/>
                <w:sz w:val="19"/>
                <w:szCs w:val="19"/>
              </w:rPr>
              <w:t>merging</w:t>
            </w:r>
          </w:p>
          <w:p w14:paraId="793093B4" w14:textId="2F0E4E52" w:rsidR="00116766" w:rsidRPr="006D2720" w:rsidRDefault="0068545F" w:rsidP="007D6E0F">
            <w:pPr>
              <w:rPr>
                <w:rFonts w:ascii="Times New Roman" w:eastAsia="Times New Roman" w:hAnsi="Times New Roman" w:cs="Times New Roman"/>
                <w:sz w:val="19"/>
                <w:szCs w:val="19"/>
              </w:rPr>
            </w:pPr>
            <w:r w:rsidRPr="006D2720">
              <w:rPr>
                <w:rFonts w:ascii="Times New Roman" w:eastAsia="Times New Roman" w:hAnsi="Times New Roman" w:cs="Times New Roman"/>
                <w:i/>
                <w:sz w:val="19"/>
                <w:szCs w:val="19"/>
              </w:rPr>
              <w:t>T</w:t>
            </w:r>
            <w:r w:rsidR="00116766" w:rsidRPr="006D2720">
              <w:rPr>
                <w:rFonts w:ascii="Times New Roman" w:eastAsia="Times New Roman" w:hAnsi="Times New Roman" w:cs="Times New Roman"/>
                <w:i/>
                <w:sz w:val="19"/>
                <w:szCs w:val="19"/>
              </w:rPr>
              <w:t>echnologies</w:t>
            </w:r>
            <w:r w:rsidR="00116766" w:rsidRPr="006D2720">
              <w:rPr>
                <w:rFonts w:ascii="Times New Roman" w:eastAsia="Times New Roman" w:hAnsi="Times New Roman" w:cs="Times New Roman"/>
                <w:sz w:val="19"/>
                <w:szCs w:val="19"/>
              </w:rPr>
              <w:t xml:space="preserve"> (Report No 77, February 2020)</w:t>
            </w:r>
          </w:p>
        </w:tc>
        <w:tc>
          <w:tcPr>
            <w:tcW w:w="4910" w:type="dxa"/>
          </w:tcPr>
          <w:p w14:paraId="579F5893" w14:textId="616C911E" w:rsidR="00116766" w:rsidRPr="006D2720" w:rsidRDefault="0085494F" w:rsidP="007D6E0F">
            <w:pPr>
              <w:rPr>
                <w:rFonts w:ascii="Times New Roman" w:hAnsi="Times New Roman" w:cs="Times New Roman"/>
                <w:bCs/>
                <w:sz w:val="19"/>
                <w:szCs w:val="19"/>
              </w:rPr>
            </w:pPr>
            <w:r w:rsidRPr="006D2720">
              <w:rPr>
                <w:rFonts w:ascii="Times New Roman" w:hAnsi="Times New Roman" w:cs="Times New Roman"/>
                <w:bCs/>
                <w:sz w:val="19"/>
                <w:szCs w:val="19"/>
              </w:rPr>
              <w:t>Recommended the r</w:t>
            </w:r>
            <w:r w:rsidR="00116766" w:rsidRPr="006D2720">
              <w:rPr>
                <w:rFonts w:ascii="Times New Roman" w:hAnsi="Times New Roman" w:cs="Times New Roman"/>
                <w:bCs/>
                <w:sz w:val="19"/>
                <w:szCs w:val="19"/>
              </w:rPr>
              <w:t>eplace</w:t>
            </w:r>
            <w:r w:rsidRPr="006D2720">
              <w:rPr>
                <w:rFonts w:ascii="Times New Roman" w:hAnsi="Times New Roman" w:cs="Times New Roman"/>
                <w:bCs/>
                <w:sz w:val="19"/>
                <w:szCs w:val="19"/>
              </w:rPr>
              <w:t>ment of</w:t>
            </w:r>
            <w:r w:rsidR="00116766" w:rsidRPr="006D2720">
              <w:rPr>
                <w:rFonts w:ascii="Times New Roman" w:hAnsi="Times New Roman" w:cs="Times New Roman"/>
                <w:bCs/>
                <w:sz w:val="19"/>
                <w:szCs w:val="19"/>
              </w:rPr>
              <w:t xml:space="preserve"> existing regulation </w:t>
            </w:r>
            <w:r w:rsidRPr="006D2720">
              <w:rPr>
                <w:rFonts w:ascii="Times New Roman" w:hAnsi="Times New Roman" w:cs="Times New Roman"/>
                <w:bCs/>
                <w:sz w:val="19"/>
                <w:szCs w:val="19"/>
              </w:rPr>
              <w:t>on the</w:t>
            </w:r>
            <w:r w:rsidR="00116766" w:rsidRPr="006D2720">
              <w:rPr>
                <w:rFonts w:ascii="Times New Roman" w:hAnsi="Times New Roman" w:cs="Times New Roman"/>
                <w:bCs/>
                <w:sz w:val="19"/>
                <w:szCs w:val="19"/>
              </w:rPr>
              <w:t xml:space="preserve"> use of surveillance devices by all persons.</w:t>
            </w:r>
          </w:p>
        </w:tc>
      </w:tr>
      <w:tr w:rsidR="00116766" w:rsidRPr="006D2720" w14:paraId="62A756D6" w14:textId="77777777" w:rsidTr="0066337D">
        <w:trPr>
          <w:trHeight w:val="1235"/>
        </w:trPr>
        <w:tc>
          <w:tcPr>
            <w:tcW w:w="701" w:type="dxa"/>
          </w:tcPr>
          <w:p w14:paraId="4796F6C9" w14:textId="77777777"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2021</w:t>
            </w:r>
          </w:p>
        </w:tc>
        <w:tc>
          <w:tcPr>
            <w:tcW w:w="1293" w:type="dxa"/>
          </w:tcPr>
          <w:p w14:paraId="05866014" w14:textId="77777777"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Cth</w:t>
            </w:r>
          </w:p>
        </w:tc>
        <w:tc>
          <w:tcPr>
            <w:tcW w:w="2112" w:type="dxa"/>
          </w:tcPr>
          <w:p w14:paraId="0F2097B1" w14:textId="77777777" w:rsidR="00116766" w:rsidRPr="006D2720" w:rsidRDefault="00116766"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 xml:space="preserve">Australian Human Rights Commission, </w:t>
            </w:r>
            <w:r w:rsidRPr="006D2720">
              <w:rPr>
                <w:rFonts w:ascii="Times New Roman" w:eastAsia="Times New Roman" w:hAnsi="Times New Roman" w:cs="Times New Roman"/>
                <w:i/>
                <w:sz w:val="19"/>
                <w:szCs w:val="19"/>
              </w:rPr>
              <w:t>Human Rights and Technology</w:t>
            </w:r>
            <w:r w:rsidRPr="006D2720">
              <w:rPr>
                <w:rFonts w:ascii="Times New Roman" w:eastAsia="Times New Roman" w:hAnsi="Times New Roman" w:cs="Times New Roman"/>
                <w:sz w:val="19"/>
                <w:szCs w:val="19"/>
              </w:rPr>
              <w:t xml:space="preserve"> (Final Report, June 2021)</w:t>
            </w:r>
          </w:p>
        </w:tc>
        <w:tc>
          <w:tcPr>
            <w:tcW w:w="4910" w:type="dxa"/>
          </w:tcPr>
          <w:p w14:paraId="70680C28" w14:textId="64A78E72"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Focus</w:t>
            </w:r>
            <w:r w:rsidR="0085494F" w:rsidRPr="006D2720">
              <w:rPr>
                <w:rFonts w:ascii="Times New Roman" w:hAnsi="Times New Roman" w:cs="Times New Roman"/>
                <w:bCs/>
                <w:sz w:val="19"/>
                <w:szCs w:val="19"/>
              </w:rPr>
              <w:t>ed</w:t>
            </w:r>
            <w:r w:rsidRPr="006D2720">
              <w:rPr>
                <w:rFonts w:ascii="Times New Roman" w:hAnsi="Times New Roman" w:cs="Times New Roman"/>
                <w:bCs/>
                <w:sz w:val="19"/>
                <w:szCs w:val="19"/>
              </w:rPr>
              <w:t xml:space="preserve"> on protection from the use of artificial intelligence and its implications, including the question of how best to protect privacy in view of these growing concerns.</w:t>
            </w:r>
          </w:p>
        </w:tc>
      </w:tr>
      <w:tr w:rsidR="00116766" w:rsidRPr="006D2720" w14:paraId="7A5BC2FC" w14:textId="77777777" w:rsidTr="0066337D">
        <w:trPr>
          <w:trHeight w:val="1431"/>
        </w:trPr>
        <w:tc>
          <w:tcPr>
            <w:tcW w:w="701" w:type="dxa"/>
          </w:tcPr>
          <w:p w14:paraId="51C9B00F" w14:textId="106D706A"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202</w:t>
            </w:r>
            <w:r w:rsidR="00CB6EF4" w:rsidRPr="006D2720">
              <w:rPr>
                <w:rFonts w:ascii="Times New Roman" w:hAnsi="Times New Roman" w:cs="Times New Roman"/>
                <w:bCs/>
                <w:sz w:val="19"/>
                <w:szCs w:val="19"/>
              </w:rPr>
              <w:t>2</w:t>
            </w:r>
          </w:p>
        </w:tc>
        <w:tc>
          <w:tcPr>
            <w:tcW w:w="1293" w:type="dxa"/>
          </w:tcPr>
          <w:p w14:paraId="41741281" w14:textId="3F907EB9"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Vic</w:t>
            </w:r>
          </w:p>
        </w:tc>
        <w:tc>
          <w:tcPr>
            <w:tcW w:w="2112" w:type="dxa"/>
          </w:tcPr>
          <w:p w14:paraId="1CF6BDA6" w14:textId="523AD50F" w:rsidR="00116766" w:rsidRPr="006D2720" w:rsidRDefault="00116766" w:rsidP="007D6E0F">
            <w:pPr>
              <w:rPr>
                <w:rFonts w:ascii="Times New Roman" w:eastAsia="Times New Roman" w:hAnsi="Times New Roman" w:cs="Times New Roman"/>
                <w:sz w:val="19"/>
                <w:szCs w:val="19"/>
              </w:rPr>
            </w:pPr>
            <w:r w:rsidRPr="006D2720">
              <w:rPr>
                <w:rFonts w:ascii="Times New Roman" w:eastAsia="Times New Roman" w:hAnsi="Times New Roman" w:cs="Times New Roman"/>
                <w:sz w:val="19"/>
                <w:szCs w:val="19"/>
              </w:rPr>
              <w:t>Victorian Law Reform Commission,</w:t>
            </w:r>
            <w:r w:rsidRPr="006D2720">
              <w:rPr>
                <w:rFonts w:ascii="Times New Roman" w:eastAsia="Times New Roman" w:hAnsi="Times New Roman" w:cs="Times New Roman"/>
                <w:i/>
                <w:sz w:val="19"/>
                <w:szCs w:val="19"/>
              </w:rPr>
              <w:t xml:space="preserve"> Stalking, Harassment and Similar Conduct</w:t>
            </w:r>
            <w:r w:rsidRPr="006D2720">
              <w:rPr>
                <w:rFonts w:ascii="Times New Roman" w:eastAsia="Times New Roman" w:hAnsi="Times New Roman" w:cs="Times New Roman"/>
                <w:sz w:val="19"/>
                <w:szCs w:val="19"/>
              </w:rPr>
              <w:t xml:space="preserve"> (</w:t>
            </w:r>
            <w:r w:rsidR="00CB6EF4" w:rsidRPr="006D2720">
              <w:rPr>
                <w:rFonts w:ascii="Times New Roman" w:eastAsia="Times New Roman" w:hAnsi="Times New Roman" w:cs="Times New Roman"/>
                <w:sz w:val="19"/>
                <w:szCs w:val="19"/>
              </w:rPr>
              <w:t>Final Report</w:t>
            </w:r>
            <w:r w:rsidRPr="006D2720">
              <w:rPr>
                <w:rFonts w:ascii="Times New Roman" w:eastAsia="Times New Roman" w:hAnsi="Times New Roman" w:cs="Times New Roman"/>
                <w:sz w:val="19"/>
                <w:szCs w:val="19"/>
              </w:rPr>
              <w:t xml:space="preserve">, </w:t>
            </w:r>
            <w:r w:rsidR="00CB6EF4" w:rsidRPr="006D2720">
              <w:rPr>
                <w:rFonts w:ascii="Times New Roman" w:eastAsia="Times New Roman" w:hAnsi="Times New Roman" w:cs="Times New Roman"/>
                <w:sz w:val="19"/>
                <w:szCs w:val="19"/>
              </w:rPr>
              <w:t xml:space="preserve">September </w:t>
            </w:r>
            <w:r w:rsidRPr="006D2720">
              <w:rPr>
                <w:rFonts w:ascii="Times New Roman" w:eastAsia="Times New Roman" w:hAnsi="Times New Roman" w:cs="Times New Roman"/>
                <w:sz w:val="19"/>
                <w:szCs w:val="19"/>
              </w:rPr>
              <w:t>202</w:t>
            </w:r>
            <w:r w:rsidR="00CB6EF4" w:rsidRPr="006D2720">
              <w:rPr>
                <w:rFonts w:ascii="Times New Roman" w:eastAsia="Times New Roman" w:hAnsi="Times New Roman" w:cs="Times New Roman"/>
                <w:sz w:val="19"/>
                <w:szCs w:val="19"/>
              </w:rPr>
              <w:t>2</w:t>
            </w:r>
            <w:r w:rsidRPr="006D2720">
              <w:rPr>
                <w:rFonts w:ascii="Times New Roman" w:eastAsia="Times New Roman" w:hAnsi="Times New Roman" w:cs="Times New Roman"/>
                <w:sz w:val="19"/>
                <w:szCs w:val="19"/>
              </w:rPr>
              <w:t>)</w:t>
            </w:r>
          </w:p>
        </w:tc>
        <w:tc>
          <w:tcPr>
            <w:tcW w:w="4910" w:type="dxa"/>
          </w:tcPr>
          <w:p w14:paraId="40D65A87" w14:textId="5B5A74E1" w:rsidR="00116766" w:rsidRPr="006D2720" w:rsidRDefault="00116766" w:rsidP="007D6E0F">
            <w:pPr>
              <w:rPr>
                <w:rFonts w:ascii="Times New Roman" w:hAnsi="Times New Roman" w:cs="Times New Roman"/>
                <w:bCs/>
                <w:sz w:val="19"/>
                <w:szCs w:val="19"/>
              </w:rPr>
            </w:pPr>
            <w:r w:rsidRPr="006D2720">
              <w:rPr>
                <w:rFonts w:ascii="Times New Roman" w:hAnsi="Times New Roman" w:cs="Times New Roman"/>
                <w:bCs/>
                <w:sz w:val="19"/>
                <w:szCs w:val="19"/>
              </w:rPr>
              <w:t>Focus</w:t>
            </w:r>
            <w:r w:rsidR="0085494F" w:rsidRPr="006D2720">
              <w:rPr>
                <w:rFonts w:ascii="Times New Roman" w:hAnsi="Times New Roman" w:cs="Times New Roman"/>
                <w:bCs/>
                <w:sz w:val="19"/>
                <w:szCs w:val="19"/>
              </w:rPr>
              <w:t>ed</w:t>
            </w:r>
            <w:r w:rsidRPr="006D2720">
              <w:rPr>
                <w:rFonts w:ascii="Times New Roman" w:hAnsi="Times New Roman" w:cs="Times New Roman"/>
                <w:bCs/>
                <w:sz w:val="19"/>
                <w:szCs w:val="19"/>
              </w:rPr>
              <w:t xml:space="preserve"> on behaviours that </w:t>
            </w:r>
            <w:r w:rsidR="00CA6688" w:rsidRPr="006D2720">
              <w:rPr>
                <w:rFonts w:ascii="Times New Roman" w:hAnsi="Times New Roman" w:cs="Times New Roman"/>
                <w:bCs/>
                <w:sz w:val="19"/>
                <w:szCs w:val="19"/>
              </w:rPr>
              <w:t>constitute</w:t>
            </w:r>
            <w:r w:rsidRPr="006D2720">
              <w:rPr>
                <w:rFonts w:ascii="Times New Roman" w:hAnsi="Times New Roman" w:cs="Times New Roman"/>
                <w:bCs/>
                <w:sz w:val="19"/>
                <w:szCs w:val="19"/>
              </w:rPr>
              <w:t xml:space="preserve">, or are similar to, stalking and harassment, and </w:t>
            </w:r>
            <w:r w:rsidR="00F82B32" w:rsidRPr="006D2720">
              <w:rPr>
                <w:rFonts w:ascii="Times New Roman" w:hAnsi="Times New Roman" w:cs="Times New Roman"/>
                <w:bCs/>
                <w:sz w:val="19"/>
                <w:szCs w:val="19"/>
              </w:rPr>
              <w:t xml:space="preserve">questioned </w:t>
            </w:r>
            <w:r w:rsidRPr="006D2720">
              <w:rPr>
                <w:rFonts w:ascii="Times New Roman" w:hAnsi="Times New Roman" w:cs="Times New Roman"/>
                <w:bCs/>
                <w:sz w:val="19"/>
                <w:szCs w:val="19"/>
              </w:rPr>
              <w:t>whether existing legal protections are adequate to address such conduct.</w:t>
            </w:r>
          </w:p>
        </w:tc>
      </w:tr>
    </w:tbl>
    <w:p w14:paraId="13579237" w14:textId="77777777" w:rsidR="00812CCE" w:rsidRPr="006D2720" w:rsidRDefault="00812CCE" w:rsidP="00812CCE">
      <w:pPr>
        <w:rPr>
          <w:rFonts w:ascii="Times New Roman" w:hAnsi="Times New Roman" w:cs="Times New Roman"/>
        </w:rPr>
      </w:pPr>
    </w:p>
    <w:sectPr w:rsidR="00812CCE" w:rsidRPr="006D2720" w:rsidSect="000A2BA3">
      <w:headerReference w:type="even" r:id="rId37"/>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CB58" w14:textId="77777777" w:rsidR="00F33B7F" w:rsidRDefault="00F33B7F" w:rsidP="005A7EEB">
      <w:pPr>
        <w:spacing w:after="0" w:line="240" w:lineRule="auto"/>
      </w:pPr>
      <w:r>
        <w:separator/>
      </w:r>
    </w:p>
  </w:endnote>
  <w:endnote w:type="continuationSeparator" w:id="0">
    <w:p w14:paraId="1D67D5E5" w14:textId="77777777" w:rsidR="00F33B7F" w:rsidRDefault="00F33B7F" w:rsidP="005A7EEB">
      <w:pPr>
        <w:spacing w:after="0" w:line="240" w:lineRule="auto"/>
      </w:pPr>
      <w:r>
        <w:continuationSeparator/>
      </w:r>
    </w:p>
  </w:endnote>
  <w:endnote w:type="continuationNotice" w:id="1">
    <w:p w14:paraId="203B1B8E" w14:textId="77777777" w:rsidR="00F33B7F" w:rsidRDefault="00F33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iti TC Light">
    <w:altName w:val="HEITI TC LIGHT"/>
    <w:charset w:val="80"/>
    <w:family w:val="auto"/>
    <w:pitch w:val="variable"/>
    <w:sig w:usb0="8000002F" w:usb1="0807004A" w:usb2="00000010" w:usb3="00000000" w:csb0="003E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0DD" w14:textId="43E25C4F" w:rsidR="00623C43" w:rsidRPr="00DB6B44" w:rsidRDefault="00623C43" w:rsidP="00346F93">
    <w:pPr>
      <w:pStyle w:val="Footer"/>
      <w:framePr w:wrap="none" w:vAnchor="text" w:hAnchor="margin" w:xAlign="right" w:y="1"/>
      <w:rPr>
        <w:rStyle w:val="PageNumber"/>
        <w:rFonts w:ascii="Times New Roman" w:hAnsi="Times New Roman" w:cs="Times New Roman"/>
      </w:rPr>
    </w:pPr>
    <w:r w:rsidRPr="00DB6B44">
      <w:rPr>
        <w:rStyle w:val="PageNumber"/>
        <w:rFonts w:ascii="Times New Roman" w:hAnsi="Times New Roman" w:cs="Times New Roman"/>
      </w:rPr>
      <w:fldChar w:fldCharType="begin"/>
    </w:r>
    <w:r w:rsidRPr="00DB6B44">
      <w:rPr>
        <w:rStyle w:val="PageNumber"/>
        <w:rFonts w:ascii="Times New Roman" w:hAnsi="Times New Roman" w:cs="Times New Roman"/>
      </w:rPr>
      <w:instrText xml:space="preserve"> PAGE </w:instrText>
    </w:r>
    <w:r w:rsidRPr="00DB6B44">
      <w:rPr>
        <w:rStyle w:val="PageNumber"/>
        <w:rFonts w:ascii="Times New Roman" w:hAnsi="Times New Roman" w:cs="Times New Roman"/>
      </w:rPr>
      <w:fldChar w:fldCharType="separate"/>
    </w:r>
    <w:r w:rsidRPr="00DB6B44">
      <w:rPr>
        <w:rStyle w:val="PageNumber"/>
        <w:rFonts w:ascii="Times New Roman" w:hAnsi="Times New Roman" w:cs="Times New Roman"/>
        <w:noProof/>
      </w:rPr>
      <w:t>32</w:t>
    </w:r>
    <w:r w:rsidRPr="00DB6B44">
      <w:rPr>
        <w:rStyle w:val="PageNumber"/>
        <w:rFonts w:ascii="Times New Roman" w:hAnsi="Times New Roman" w:cs="Times New Roman"/>
      </w:rPr>
      <w:fldChar w:fldCharType="end"/>
    </w:r>
  </w:p>
  <w:p w14:paraId="21E74278" w14:textId="77777777" w:rsidR="00623C43" w:rsidRPr="00DB6B44" w:rsidRDefault="00623C43" w:rsidP="00DB6B44">
    <w:pPr>
      <w:pStyle w:val="Footer"/>
      <w:ind w:right="360"/>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5629"/>
      <w:docPartObj>
        <w:docPartGallery w:val="Page Numbers (Bottom of Page)"/>
        <w:docPartUnique/>
      </w:docPartObj>
    </w:sdtPr>
    <w:sdtEndPr>
      <w:rPr>
        <w:rStyle w:val="PageNumber"/>
        <w:rFonts w:ascii="Times New Roman" w:hAnsi="Times New Roman" w:cs="Times New Roman"/>
      </w:rPr>
    </w:sdtEndPr>
    <w:sdtContent>
      <w:p w14:paraId="085F4641" w14:textId="34CA0AC8" w:rsidR="00346F93" w:rsidRPr="00DB6B44" w:rsidRDefault="00346F93" w:rsidP="00346F93">
        <w:pPr>
          <w:pStyle w:val="Footer"/>
          <w:framePr w:wrap="none" w:vAnchor="text" w:hAnchor="margin" w:xAlign="right" w:y="1"/>
          <w:rPr>
            <w:rStyle w:val="PageNumber"/>
            <w:rFonts w:ascii="Times New Roman" w:hAnsi="Times New Roman" w:cs="Times New Roman"/>
          </w:rPr>
        </w:pPr>
        <w:r w:rsidRPr="00DB6B44">
          <w:rPr>
            <w:rStyle w:val="PageNumber"/>
            <w:rFonts w:ascii="Times New Roman" w:hAnsi="Times New Roman" w:cs="Times New Roman"/>
          </w:rPr>
          <w:fldChar w:fldCharType="begin"/>
        </w:r>
        <w:r w:rsidRPr="00DB6B44">
          <w:rPr>
            <w:rStyle w:val="PageNumber"/>
            <w:rFonts w:ascii="Times New Roman" w:hAnsi="Times New Roman" w:cs="Times New Roman"/>
          </w:rPr>
          <w:instrText xml:space="preserve"> PAGE </w:instrText>
        </w:r>
        <w:r w:rsidRPr="00DB6B44">
          <w:rPr>
            <w:rStyle w:val="PageNumber"/>
            <w:rFonts w:ascii="Times New Roman" w:hAnsi="Times New Roman" w:cs="Times New Roman"/>
          </w:rPr>
          <w:fldChar w:fldCharType="separate"/>
        </w:r>
        <w:r w:rsidRPr="00DB6B44">
          <w:rPr>
            <w:rStyle w:val="PageNumber"/>
            <w:rFonts w:ascii="Times New Roman" w:hAnsi="Times New Roman" w:cs="Times New Roman"/>
            <w:noProof/>
          </w:rPr>
          <w:t>42</w:t>
        </w:r>
        <w:r w:rsidRPr="00DB6B44">
          <w:rPr>
            <w:rStyle w:val="PageNumber"/>
            <w:rFonts w:ascii="Times New Roman" w:hAnsi="Times New Roman" w:cs="Times New Roman"/>
          </w:rPr>
          <w:fldChar w:fldCharType="end"/>
        </w:r>
      </w:p>
    </w:sdtContent>
  </w:sdt>
  <w:p w14:paraId="3D3D3A8D" w14:textId="54CFE8EC" w:rsidR="00D761C6" w:rsidRPr="00DB6B44" w:rsidRDefault="00D761C6" w:rsidP="00DB6B44">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90ED" w14:textId="77777777" w:rsidR="00332582" w:rsidRDefault="00332582" w:rsidP="00332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67B6" w14:textId="77777777" w:rsidR="00F33B7F" w:rsidRDefault="00F33B7F" w:rsidP="005A7EEB">
      <w:pPr>
        <w:spacing w:after="0" w:line="240" w:lineRule="auto"/>
      </w:pPr>
      <w:r>
        <w:separator/>
      </w:r>
    </w:p>
  </w:footnote>
  <w:footnote w:type="continuationSeparator" w:id="0">
    <w:p w14:paraId="06A89C32" w14:textId="77777777" w:rsidR="00F33B7F" w:rsidRDefault="00F33B7F" w:rsidP="005A7EEB">
      <w:pPr>
        <w:spacing w:after="0" w:line="240" w:lineRule="auto"/>
      </w:pPr>
      <w:r>
        <w:continuationSeparator/>
      </w:r>
    </w:p>
  </w:footnote>
  <w:footnote w:type="continuationNotice" w:id="1">
    <w:p w14:paraId="0A107119" w14:textId="77777777" w:rsidR="00F33B7F" w:rsidRDefault="00F33B7F">
      <w:pPr>
        <w:spacing w:after="0" w:line="240" w:lineRule="auto"/>
      </w:pPr>
    </w:p>
  </w:footnote>
  <w:footnote w:id="2">
    <w:p w14:paraId="49B3C250" w14:textId="267C9126" w:rsidR="00EF00EE" w:rsidRPr="00DC7A14" w:rsidRDefault="00EF00EE" w:rsidP="00EF00E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Australian Law Reform Commission</w:t>
      </w:r>
      <w:r w:rsidR="00A961B7" w:rsidRPr="00DC7A14">
        <w:rPr>
          <w:rFonts w:ascii="Times New Roman" w:hAnsi="Times New Roman" w:cs="Times New Roman"/>
          <w:sz w:val="19"/>
          <w:szCs w:val="19"/>
        </w:rPr>
        <w:t xml:space="preserve"> (‘ALRC’)</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Privacy</w:t>
      </w:r>
      <w:r w:rsidRPr="00DC7A14">
        <w:rPr>
          <w:rFonts w:ascii="Times New Roman" w:hAnsi="Times New Roman" w:cs="Times New Roman"/>
          <w:sz w:val="19"/>
          <w:szCs w:val="19"/>
        </w:rPr>
        <w:t>, ALRC 22 (1983)</w:t>
      </w:r>
      <w:r w:rsidR="00797F7E">
        <w:rPr>
          <w:rFonts w:ascii="Times New Roman" w:hAnsi="Times New Roman" w:cs="Times New Roman"/>
          <w:sz w:val="19"/>
          <w:szCs w:val="19"/>
        </w:rPr>
        <w:t>.</w:t>
      </w:r>
    </w:p>
  </w:footnote>
  <w:footnote w:id="3">
    <w:p w14:paraId="10326283" w14:textId="158110DA" w:rsidR="00EF00EE" w:rsidRPr="00DC7A14" w:rsidRDefault="00EF00EE" w:rsidP="00CA1A69">
      <w:pPr>
        <w:spacing w:after="0"/>
        <w:rPr>
          <w:rStyle w:val="FootnoteReference"/>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961B7" w:rsidRPr="00DC7A14">
        <w:rPr>
          <w:rStyle w:val="FootnoteTextChar"/>
          <w:rFonts w:ascii="Times New Roman" w:hAnsi="Times New Roman" w:cs="Times New Roman"/>
          <w:sz w:val="19"/>
          <w:szCs w:val="19"/>
        </w:rPr>
        <w:t>ALRC</w:t>
      </w:r>
      <w:r w:rsidRPr="00DC7A14">
        <w:rPr>
          <w:rStyle w:val="FootnoteTextChar"/>
          <w:rFonts w:ascii="Times New Roman" w:hAnsi="Times New Roman" w:cs="Times New Roman"/>
          <w:sz w:val="19"/>
          <w:szCs w:val="19"/>
        </w:rPr>
        <w:t>, For Your Information: Australian Privacy Law and Practice (Report No 108, August 2008) [1.31]</w:t>
      </w:r>
      <w:r w:rsidR="00402854" w:rsidRPr="00DC7A14">
        <w:rPr>
          <w:rStyle w:val="FootnoteTextChar"/>
          <w:rFonts w:ascii="Times New Roman" w:hAnsi="Times New Roman" w:cs="Times New Roman"/>
          <w:sz w:val="19"/>
          <w:szCs w:val="19"/>
        </w:rPr>
        <w:t xml:space="preserve"> (‘</w:t>
      </w:r>
      <w:r w:rsidR="00402854" w:rsidRPr="00DC7A14">
        <w:rPr>
          <w:rStyle w:val="FootnoteTextChar"/>
          <w:rFonts w:ascii="Times New Roman" w:hAnsi="Times New Roman" w:cs="Times New Roman"/>
          <w:i/>
          <w:iCs/>
          <w:sz w:val="19"/>
          <w:szCs w:val="19"/>
        </w:rPr>
        <w:t>For Your Information</w:t>
      </w:r>
      <w:r w:rsidR="00402854" w:rsidRPr="00DC7A14">
        <w:rPr>
          <w:rStyle w:val="FootnoteTextChar"/>
          <w:rFonts w:ascii="Times New Roman" w:hAnsi="Times New Roman" w:cs="Times New Roman"/>
          <w:sz w:val="19"/>
          <w:szCs w:val="19"/>
        </w:rPr>
        <w:t>’)</w:t>
      </w:r>
      <w:r w:rsidRPr="00DC7A14">
        <w:rPr>
          <w:rStyle w:val="FootnoteTextChar"/>
          <w:rFonts w:ascii="Times New Roman" w:hAnsi="Times New Roman" w:cs="Times New Roman"/>
          <w:sz w:val="19"/>
          <w:szCs w:val="19"/>
        </w:rPr>
        <w:t>, citing D</w:t>
      </w:r>
      <w:r w:rsidR="005F42DD" w:rsidRPr="00DC7A14">
        <w:rPr>
          <w:rStyle w:val="FootnoteTextChar"/>
          <w:rFonts w:ascii="Times New Roman" w:hAnsi="Times New Roman" w:cs="Times New Roman"/>
          <w:sz w:val="19"/>
          <w:szCs w:val="19"/>
        </w:rPr>
        <w:t>avid</w:t>
      </w:r>
      <w:r w:rsidRPr="00DC7A14">
        <w:rPr>
          <w:rStyle w:val="FootnoteTextChar"/>
          <w:rFonts w:ascii="Times New Roman" w:hAnsi="Times New Roman" w:cs="Times New Roman"/>
          <w:sz w:val="19"/>
          <w:szCs w:val="19"/>
        </w:rPr>
        <w:t xml:space="preserve"> Banisar, ‘Privacy and Human Rights 2000: An International Survey of Privacy Law and Developments’</w:t>
      </w:r>
      <w:r w:rsidR="005F42DD" w:rsidRPr="00DC7A14">
        <w:rPr>
          <w:rStyle w:val="FootnoteTextChar"/>
          <w:rFonts w:ascii="Times New Roman" w:hAnsi="Times New Roman" w:cs="Times New Roman"/>
          <w:sz w:val="19"/>
          <w:szCs w:val="19"/>
        </w:rPr>
        <w:t xml:space="preserve">, </w:t>
      </w:r>
      <w:r w:rsidRPr="00DC7A14">
        <w:rPr>
          <w:rStyle w:val="FootnoteTextChar"/>
          <w:rFonts w:ascii="Times New Roman" w:hAnsi="Times New Roman" w:cs="Times New Roman"/>
          <w:sz w:val="19"/>
          <w:szCs w:val="19"/>
        </w:rPr>
        <w:t>Privacy International</w:t>
      </w:r>
      <w:r w:rsidR="005F42DD" w:rsidRPr="00DC7A14">
        <w:rPr>
          <w:rStyle w:val="FootnoteTextChar"/>
          <w:rFonts w:ascii="Times New Roman" w:hAnsi="Times New Roman" w:cs="Times New Roman"/>
          <w:sz w:val="19"/>
          <w:szCs w:val="19"/>
        </w:rPr>
        <w:t xml:space="preserve"> (</w:t>
      </w:r>
      <w:r w:rsidR="00CF0F59" w:rsidRPr="00DC7A14">
        <w:rPr>
          <w:rStyle w:val="FootnoteTextChar"/>
          <w:rFonts w:ascii="Times New Roman" w:hAnsi="Times New Roman" w:cs="Times New Roman"/>
          <w:sz w:val="19"/>
          <w:szCs w:val="19"/>
        </w:rPr>
        <w:t>Web Page</w:t>
      </w:r>
      <w:r w:rsidR="005F42DD" w:rsidRPr="00DC7A14">
        <w:rPr>
          <w:rStyle w:val="FootnoteTextChar"/>
          <w:rFonts w:ascii="Times New Roman" w:hAnsi="Times New Roman" w:cs="Times New Roman"/>
          <w:sz w:val="19"/>
          <w:szCs w:val="19"/>
        </w:rPr>
        <w:t xml:space="preserve">) &lt;https://www.privacyinternational.org/survey/phr2000/overview.html&gt;. </w:t>
      </w:r>
    </w:p>
  </w:footnote>
  <w:footnote w:id="4">
    <w:p w14:paraId="55C805A3" w14:textId="68F03865" w:rsidR="00A67531" w:rsidRPr="00DC7A14" w:rsidRDefault="00A6753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4285F" w:rsidRPr="00DC7A14">
        <w:rPr>
          <w:rFonts w:ascii="Times New Roman" w:hAnsi="Times New Roman" w:cs="Times New Roman"/>
          <w:sz w:val="19"/>
          <w:szCs w:val="19"/>
        </w:rPr>
        <w:t>ALRC</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Serious Invasions of Privacy in the Digital Era</w:t>
      </w:r>
      <w:r w:rsidRPr="00DC7A14">
        <w:rPr>
          <w:rFonts w:ascii="Times New Roman" w:hAnsi="Times New Roman" w:cs="Times New Roman"/>
          <w:sz w:val="19"/>
          <w:szCs w:val="19"/>
        </w:rPr>
        <w:t xml:space="preserve"> (Report No 123, June 2014) [5.18].</w:t>
      </w:r>
    </w:p>
  </w:footnote>
  <w:footnote w:id="5">
    <w:p w14:paraId="06A850B7" w14:textId="6D27E890" w:rsidR="004F63C0" w:rsidRPr="00DC7A14" w:rsidRDefault="004F63C0" w:rsidP="004F63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Charles Fried, ‘Privacy’ (1968) 77(3) </w:t>
      </w:r>
      <w:r w:rsidRPr="00DC7A14">
        <w:rPr>
          <w:rFonts w:ascii="Times New Roman" w:hAnsi="Times New Roman" w:cs="Times New Roman"/>
          <w:i/>
          <w:sz w:val="19"/>
          <w:szCs w:val="19"/>
        </w:rPr>
        <w:t>Yale Law Journal</w:t>
      </w:r>
      <w:r w:rsidRPr="00DC7A14">
        <w:rPr>
          <w:rFonts w:ascii="Times New Roman" w:hAnsi="Times New Roman" w:cs="Times New Roman"/>
          <w:sz w:val="19"/>
          <w:szCs w:val="19"/>
        </w:rPr>
        <w:t xml:space="preserve"> 475</w:t>
      </w:r>
      <w:r w:rsidR="00E41693" w:rsidRPr="00DC7A14">
        <w:rPr>
          <w:rFonts w:ascii="Times New Roman" w:hAnsi="Times New Roman" w:cs="Times New Roman"/>
          <w:sz w:val="19"/>
          <w:szCs w:val="19"/>
        </w:rPr>
        <w:t>.</w:t>
      </w:r>
    </w:p>
  </w:footnote>
  <w:footnote w:id="6">
    <w:p w14:paraId="022D344E" w14:textId="77777777" w:rsidR="004F63C0" w:rsidRPr="00DC7A14" w:rsidRDefault="004F63C0" w:rsidP="004F63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Kirsty Hughes, ‘A Behavioural Understanding of Privacy and Its Implications for Privacy Law’ (2012)</w:t>
      </w:r>
    </w:p>
    <w:p w14:paraId="1B3C542D" w14:textId="53CE45F1" w:rsidR="004F63C0" w:rsidRPr="00DC7A14" w:rsidRDefault="004F63C0" w:rsidP="004F63C0">
      <w:pPr>
        <w:pStyle w:val="FootnoteText"/>
        <w:rPr>
          <w:rFonts w:ascii="Times New Roman" w:hAnsi="Times New Roman" w:cs="Times New Roman"/>
          <w:sz w:val="19"/>
          <w:szCs w:val="19"/>
        </w:rPr>
      </w:pPr>
      <w:r w:rsidRPr="00DC7A14">
        <w:rPr>
          <w:rFonts w:ascii="Times New Roman" w:hAnsi="Times New Roman" w:cs="Times New Roman"/>
          <w:sz w:val="19"/>
          <w:szCs w:val="19"/>
        </w:rPr>
        <w:t xml:space="preserve">75(5) </w:t>
      </w:r>
      <w:r w:rsidRPr="00DC7A14">
        <w:rPr>
          <w:rFonts w:ascii="Times New Roman" w:hAnsi="Times New Roman" w:cs="Times New Roman"/>
          <w:i/>
          <w:sz w:val="19"/>
          <w:szCs w:val="19"/>
        </w:rPr>
        <w:t>Modern Law Review</w:t>
      </w:r>
      <w:r w:rsidRPr="00DC7A14">
        <w:rPr>
          <w:rFonts w:ascii="Times New Roman" w:hAnsi="Times New Roman" w:cs="Times New Roman"/>
          <w:sz w:val="19"/>
          <w:szCs w:val="19"/>
        </w:rPr>
        <w:t xml:space="preserve"> 806</w:t>
      </w:r>
      <w:r w:rsidR="00E41693" w:rsidRPr="00DC7A14">
        <w:rPr>
          <w:rFonts w:ascii="Times New Roman" w:hAnsi="Times New Roman" w:cs="Times New Roman"/>
          <w:sz w:val="19"/>
          <w:szCs w:val="19"/>
        </w:rPr>
        <w:t>.</w:t>
      </w:r>
    </w:p>
  </w:footnote>
  <w:footnote w:id="7">
    <w:p w14:paraId="747612E5" w14:textId="46BA2BAD" w:rsidR="004F63C0" w:rsidRPr="00DC7A14" w:rsidRDefault="004F63C0" w:rsidP="004F63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Alan F Westin, </w:t>
      </w:r>
      <w:r w:rsidRPr="00DC7A14">
        <w:rPr>
          <w:rFonts w:ascii="Times New Roman" w:hAnsi="Times New Roman" w:cs="Times New Roman"/>
          <w:i/>
          <w:sz w:val="19"/>
          <w:szCs w:val="19"/>
        </w:rPr>
        <w:t>Privacy and Freedom</w:t>
      </w:r>
      <w:r w:rsidRPr="00DC7A14">
        <w:rPr>
          <w:rFonts w:ascii="Times New Roman" w:hAnsi="Times New Roman" w:cs="Times New Roman"/>
          <w:sz w:val="19"/>
          <w:szCs w:val="19"/>
        </w:rPr>
        <w:t xml:space="preserve"> (Atheneum Press, 1967)</w:t>
      </w:r>
      <w:r w:rsidR="00077659" w:rsidRPr="00DC7A14">
        <w:rPr>
          <w:rFonts w:ascii="Times New Roman" w:hAnsi="Times New Roman" w:cs="Times New Roman"/>
          <w:sz w:val="19"/>
          <w:szCs w:val="19"/>
        </w:rPr>
        <w:t>.</w:t>
      </w:r>
    </w:p>
  </w:footnote>
  <w:footnote w:id="8">
    <w:p w14:paraId="70BFD625" w14:textId="13070D14" w:rsidR="004F63C0" w:rsidRPr="00DC7A14" w:rsidRDefault="004F63C0" w:rsidP="004F63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generally Jelena Gligorijevic, ‘A Common Law Tort of Interference with Privacy for Australia: Reaffirming </w:t>
      </w:r>
      <w:r w:rsidRPr="00DC7A14">
        <w:rPr>
          <w:rFonts w:ascii="Times New Roman" w:hAnsi="Times New Roman" w:cs="Times New Roman"/>
          <w:i/>
          <w:iCs/>
          <w:sz w:val="19"/>
          <w:szCs w:val="19"/>
        </w:rPr>
        <w:t>ABC v Lenah Game Meats</w:t>
      </w:r>
      <w:r w:rsidRPr="00DC7A14">
        <w:rPr>
          <w:rFonts w:ascii="Times New Roman" w:hAnsi="Times New Roman" w:cs="Times New Roman"/>
          <w:sz w:val="19"/>
          <w:szCs w:val="19"/>
        </w:rPr>
        <w:t xml:space="preserve">’ (2021) 44(2) </w:t>
      </w:r>
      <w:r w:rsidR="00675975" w:rsidRPr="00DC7A14">
        <w:rPr>
          <w:rFonts w:ascii="Times New Roman" w:hAnsi="Times New Roman" w:cs="Times New Roman"/>
          <w:i/>
          <w:sz w:val="19"/>
          <w:szCs w:val="19"/>
        </w:rPr>
        <w:t xml:space="preserve">University of New South Wales Law Journal </w:t>
      </w:r>
      <w:r w:rsidRPr="00DC7A14">
        <w:rPr>
          <w:rFonts w:ascii="Times New Roman" w:hAnsi="Times New Roman" w:cs="Times New Roman"/>
          <w:sz w:val="19"/>
          <w:szCs w:val="19"/>
        </w:rPr>
        <w:t>673, 686</w:t>
      </w:r>
      <w:r w:rsidR="00F3111D" w:rsidRPr="00DC7A14">
        <w:rPr>
          <w:rFonts w:ascii="Times New Roman" w:hAnsi="Times New Roman" w:cs="Times New Roman"/>
          <w:sz w:val="19"/>
          <w:szCs w:val="19"/>
        </w:rPr>
        <w:t>–</w:t>
      </w:r>
      <w:r w:rsidRPr="00DC7A14">
        <w:rPr>
          <w:rFonts w:ascii="Times New Roman" w:hAnsi="Times New Roman" w:cs="Times New Roman"/>
          <w:sz w:val="19"/>
          <w:szCs w:val="19"/>
        </w:rPr>
        <w:t>7</w:t>
      </w:r>
      <w:r w:rsidR="00031113" w:rsidRPr="00DC7A14">
        <w:rPr>
          <w:rFonts w:ascii="Times New Roman" w:hAnsi="Times New Roman" w:cs="Times New Roman"/>
          <w:sz w:val="19"/>
          <w:szCs w:val="19"/>
        </w:rPr>
        <w:t xml:space="preserve"> (‘Reaffirming </w:t>
      </w:r>
      <w:r w:rsidR="00031113" w:rsidRPr="00DC7A14">
        <w:rPr>
          <w:rFonts w:ascii="Times New Roman" w:hAnsi="Times New Roman" w:cs="Times New Roman"/>
          <w:i/>
          <w:iCs/>
          <w:sz w:val="19"/>
          <w:szCs w:val="19"/>
        </w:rPr>
        <w:t>ABC v Lenah Game Meats</w:t>
      </w:r>
      <w:r w:rsidR="00031113" w:rsidRPr="00DC7A14">
        <w:rPr>
          <w:rFonts w:ascii="Times New Roman" w:hAnsi="Times New Roman" w:cs="Times New Roman"/>
          <w:sz w:val="19"/>
          <w:szCs w:val="19"/>
        </w:rPr>
        <w:t>’).</w:t>
      </w:r>
    </w:p>
  </w:footnote>
  <w:footnote w:id="9">
    <w:p w14:paraId="0A874C7F" w14:textId="77777777" w:rsidR="004F63C0" w:rsidRPr="00DC7A14" w:rsidRDefault="004F63C0" w:rsidP="004F63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687.</w:t>
      </w:r>
    </w:p>
  </w:footnote>
  <w:footnote w:id="10">
    <w:p w14:paraId="2BFA6A25" w14:textId="77777777" w:rsidR="009D1519" w:rsidRPr="00DC7A14" w:rsidRDefault="009D1519" w:rsidP="009D151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i/>
          <w:sz w:val="19"/>
          <w:szCs w:val="19"/>
        </w:rPr>
        <w:t xml:space="preserve"> International Covenant on Civil and Political Rights</w:t>
      </w:r>
      <w:r w:rsidRPr="00DC7A14">
        <w:rPr>
          <w:rFonts w:ascii="Times New Roman" w:hAnsi="Times New Roman" w:cs="Times New Roman"/>
          <w:sz w:val="19"/>
          <w:szCs w:val="19"/>
        </w:rPr>
        <w:t>, opened for signature 16 December 1966, 999 UNTS</w:t>
      </w:r>
    </w:p>
    <w:p w14:paraId="40C6D9B8" w14:textId="5D75E43D" w:rsidR="009D1519" w:rsidRPr="00DC7A14" w:rsidRDefault="009D1519" w:rsidP="009D1519">
      <w:pPr>
        <w:pStyle w:val="FootnoteText"/>
        <w:rPr>
          <w:rFonts w:ascii="Times New Roman" w:hAnsi="Times New Roman" w:cs="Times New Roman"/>
          <w:sz w:val="19"/>
          <w:szCs w:val="19"/>
        </w:rPr>
      </w:pPr>
      <w:r w:rsidRPr="00DC7A14">
        <w:rPr>
          <w:rFonts w:ascii="Times New Roman" w:hAnsi="Times New Roman" w:cs="Times New Roman"/>
          <w:sz w:val="19"/>
          <w:szCs w:val="19"/>
        </w:rPr>
        <w:t>171 (entered into force 23 March 1976) art 17</w:t>
      </w:r>
      <w:r w:rsidR="007D1556" w:rsidRPr="00DC7A14">
        <w:rPr>
          <w:rFonts w:ascii="Times New Roman" w:hAnsi="Times New Roman" w:cs="Times New Roman"/>
          <w:sz w:val="19"/>
          <w:szCs w:val="19"/>
        </w:rPr>
        <w:t xml:space="preserve"> </w:t>
      </w:r>
      <w:r w:rsidR="007D1556" w:rsidRPr="00CF79A1">
        <w:rPr>
          <w:rFonts w:ascii="Times New Roman" w:hAnsi="Times New Roman" w:cs="Times New Roman"/>
          <w:sz w:val="19"/>
          <w:szCs w:val="19"/>
        </w:rPr>
        <w:t>(‘</w:t>
      </w:r>
      <w:r w:rsidR="007D1556" w:rsidRPr="00164EF9">
        <w:rPr>
          <w:rFonts w:ascii="Times New Roman" w:hAnsi="Times New Roman" w:cs="Times New Roman"/>
          <w:sz w:val="19"/>
          <w:szCs w:val="19"/>
        </w:rPr>
        <w:t>ICCPR</w:t>
      </w:r>
      <w:r w:rsidR="007D1556" w:rsidRPr="00CF79A1">
        <w:rPr>
          <w:rFonts w:ascii="Times New Roman" w:hAnsi="Times New Roman" w:cs="Times New Roman"/>
          <w:sz w:val="19"/>
          <w:szCs w:val="19"/>
        </w:rPr>
        <w:t>’)</w:t>
      </w:r>
      <w:r w:rsidRPr="00CF79A1">
        <w:rPr>
          <w:rFonts w:ascii="Times New Roman" w:hAnsi="Times New Roman" w:cs="Times New Roman"/>
          <w:sz w:val="19"/>
          <w:szCs w:val="19"/>
        </w:rPr>
        <w:t>.</w:t>
      </w:r>
      <w:r w:rsidRPr="00DC7A14">
        <w:rPr>
          <w:rFonts w:ascii="Times New Roman" w:hAnsi="Times New Roman" w:cs="Times New Roman"/>
          <w:sz w:val="19"/>
          <w:szCs w:val="19"/>
        </w:rPr>
        <w:t xml:space="preserve"> </w:t>
      </w:r>
    </w:p>
  </w:footnote>
  <w:footnote w:id="11">
    <w:p w14:paraId="5343B8C1" w14:textId="6E6A47EF" w:rsidR="005D7D9B" w:rsidRPr="00DC7A14" w:rsidRDefault="005D7D9B" w:rsidP="005D7D9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7654F6" w:rsidRPr="00DC7A14">
        <w:rPr>
          <w:rFonts w:ascii="Times New Roman" w:hAnsi="Times New Roman" w:cs="Times New Roman"/>
          <w:sz w:val="19"/>
          <w:szCs w:val="19"/>
        </w:rPr>
        <w:t>Human Rights Committee</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CCPR General Comment No 16: Article 17 (Right to Privacy) The Right to Respect of Privacy, Family, Home and </w:t>
      </w:r>
      <w:r w:rsidR="007D1556" w:rsidRPr="00DC7A14">
        <w:rPr>
          <w:rFonts w:ascii="Times New Roman" w:hAnsi="Times New Roman" w:cs="Times New Roman"/>
          <w:i/>
          <w:sz w:val="19"/>
          <w:szCs w:val="19"/>
        </w:rPr>
        <w:t>Correspondence</w:t>
      </w:r>
      <w:r w:rsidRPr="00DC7A14">
        <w:rPr>
          <w:rFonts w:ascii="Times New Roman" w:hAnsi="Times New Roman" w:cs="Times New Roman"/>
          <w:i/>
          <w:sz w:val="19"/>
          <w:szCs w:val="19"/>
        </w:rPr>
        <w:t xml:space="preserve">, and </w:t>
      </w:r>
      <w:r w:rsidR="007D1556" w:rsidRPr="00DC7A14">
        <w:rPr>
          <w:rFonts w:ascii="Times New Roman" w:hAnsi="Times New Roman" w:cs="Times New Roman"/>
          <w:i/>
          <w:sz w:val="19"/>
          <w:szCs w:val="19"/>
        </w:rPr>
        <w:t>P</w:t>
      </w:r>
      <w:r w:rsidRPr="00DC7A14">
        <w:rPr>
          <w:rFonts w:ascii="Times New Roman" w:hAnsi="Times New Roman" w:cs="Times New Roman"/>
          <w:i/>
          <w:sz w:val="19"/>
          <w:szCs w:val="19"/>
        </w:rPr>
        <w:t>rotection of Honour and Reputation</w:t>
      </w:r>
      <w:r w:rsidR="007654F6" w:rsidRPr="00DC7A14">
        <w:rPr>
          <w:rFonts w:ascii="Times New Roman" w:hAnsi="Times New Roman" w:cs="Times New Roman"/>
          <w:iCs/>
          <w:sz w:val="19"/>
          <w:szCs w:val="19"/>
        </w:rPr>
        <w:t>, 32</w:t>
      </w:r>
      <w:r w:rsidR="007654F6" w:rsidRPr="00DC7A14">
        <w:rPr>
          <w:rFonts w:ascii="Times New Roman" w:hAnsi="Times New Roman" w:cs="Times New Roman"/>
          <w:iCs/>
          <w:sz w:val="19"/>
          <w:szCs w:val="19"/>
          <w:vertAlign w:val="superscript"/>
        </w:rPr>
        <w:t>nd</w:t>
      </w:r>
      <w:r w:rsidR="007654F6" w:rsidRPr="00DC7A14">
        <w:rPr>
          <w:rFonts w:ascii="Times New Roman" w:hAnsi="Times New Roman" w:cs="Times New Roman"/>
          <w:iCs/>
          <w:sz w:val="19"/>
          <w:szCs w:val="19"/>
        </w:rPr>
        <w:t xml:space="preserve"> sess</w:t>
      </w:r>
      <w:r w:rsidR="007654F6" w:rsidRPr="00DC7A14">
        <w:rPr>
          <w:rFonts w:ascii="Times New Roman" w:hAnsi="Times New Roman" w:cs="Times New Roman"/>
          <w:i/>
          <w:sz w:val="19"/>
          <w:szCs w:val="19"/>
        </w:rPr>
        <w:t xml:space="preserve"> </w:t>
      </w:r>
      <w:r w:rsidR="007654F6" w:rsidRPr="00DC7A14">
        <w:rPr>
          <w:rFonts w:ascii="Times New Roman" w:hAnsi="Times New Roman" w:cs="Times New Roman"/>
          <w:iCs/>
          <w:sz w:val="19"/>
          <w:szCs w:val="19"/>
        </w:rPr>
        <w:t>(</w:t>
      </w:r>
      <w:r w:rsidR="007654F6" w:rsidRPr="00DC7A14">
        <w:rPr>
          <w:rFonts w:ascii="Times New Roman" w:hAnsi="Times New Roman" w:cs="Times New Roman"/>
          <w:sz w:val="19"/>
          <w:szCs w:val="19"/>
        </w:rPr>
        <w:t xml:space="preserve">8 April </w:t>
      </w:r>
      <w:r w:rsidRPr="00DC7A14">
        <w:rPr>
          <w:rFonts w:ascii="Times New Roman" w:hAnsi="Times New Roman" w:cs="Times New Roman"/>
          <w:sz w:val="19"/>
          <w:szCs w:val="19"/>
        </w:rPr>
        <w:t>1988</w:t>
      </w:r>
      <w:r w:rsidR="007654F6" w:rsidRPr="00DC7A14">
        <w:rPr>
          <w:rFonts w:ascii="Times New Roman" w:hAnsi="Times New Roman" w:cs="Times New Roman"/>
          <w:sz w:val="19"/>
          <w:szCs w:val="19"/>
        </w:rPr>
        <w:t>)</w:t>
      </w:r>
      <w:r w:rsidRPr="00DC7A14">
        <w:rPr>
          <w:rFonts w:ascii="Times New Roman" w:hAnsi="Times New Roman" w:cs="Times New Roman"/>
          <w:sz w:val="19"/>
          <w:szCs w:val="19"/>
        </w:rPr>
        <w:t xml:space="preserve"> [1] and [9]</w:t>
      </w:r>
      <w:r w:rsidR="00C97774" w:rsidRPr="00DC7A14">
        <w:rPr>
          <w:rFonts w:ascii="Times New Roman" w:hAnsi="Times New Roman" w:cs="Times New Roman"/>
          <w:sz w:val="19"/>
          <w:szCs w:val="19"/>
        </w:rPr>
        <w:t xml:space="preserve"> (‘</w:t>
      </w:r>
      <w:r w:rsidR="00C97774" w:rsidRPr="00DC7A14">
        <w:rPr>
          <w:rFonts w:ascii="Times New Roman" w:hAnsi="Times New Roman" w:cs="Times New Roman"/>
          <w:i/>
          <w:sz w:val="19"/>
          <w:szCs w:val="19"/>
        </w:rPr>
        <w:t>General Comment No 16</w:t>
      </w:r>
      <w:r w:rsidR="00C97774" w:rsidRPr="00DC7A14">
        <w:rPr>
          <w:rFonts w:ascii="Times New Roman" w:hAnsi="Times New Roman" w:cs="Times New Roman"/>
          <w:iCs/>
          <w:sz w:val="19"/>
          <w:szCs w:val="19"/>
        </w:rPr>
        <w:t>’</w:t>
      </w:r>
      <w:r w:rsidR="00C97774"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12">
    <w:p w14:paraId="564289E1" w14:textId="2C278970" w:rsidR="00D761C6" w:rsidRPr="00DC7A14" w:rsidRDefault="00D761C6" w:rsidP="00A453A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7C2869" w:rsidRPr="00164EF9">
        <w:rPr>
          <w:rFonts w:ascii="Times New Roman" w:hAnsi="Times New Roman" w:cs="Times New Roman"/>
          <w:sz w:val="19"/>
          <w:szCs w:val="19"/>
        </w:rPr>
        <w:t>ICCPR</w:t>
      </w:r>
      <w:r w:rsidR="007C2869" w:rsidRPr="00DC7A14">
        <w:rPr>
          <w:rFonts w:ascii="Times New Roman" w:hAnsi="Times New Roman" w:cs="Times New Roman"/>
          <w:i/>
          <w:iCs/>
          <w:sz w:val="19"/>
          <w:szCs w:val="19"/>
        </w:rPr>
        <w:t xml:space="preserve"> </w:t>
      </w:r>
      <w:r w:rsidR="007C2869" w:rsidRPr="00DC7A14">
        <w:rPr>
          <w:rFonts w:ascii="Times New Roman" w:hAnsi="Times New Roman" w:cs="Times New Roman"/>
          <w:sz w:val="19"/>
          <w:szCs w:val="19"/>
        </w:rPr>
        <w:t xml:space="preserve">(n </w:t>
      </w:r>
      <w:r w:rsidR="009676A6" w:rsidRPr="00DC7A14">
        <w:rPr>
          <w:rFonts w:ascii="Times New Roman" w:hAnsi="Times New Roman" w:cs="Times New Roman"/>
          <w:sz w:val="19"/>
          <w:szCs w:val="19"/>
        </w:rPr>
        <w:fldChar w:fldCharType="begin"/>
      </w:r>
      <w:r w:rsidR="009676A6" w:rsidRPr="00DC7A14">
        <w:rPr>
          <w:rFonts w:ascii="Times New Roman" w:hAnsi="Times New Roman" w:cs="Times New Roman"/>
          <w:sz w:val="19"/>
          <w:szCs w:val="19"/>
        </w:rPr>
        <w:instrText xml:space="preserve"> NOTEREF _Ref91831162 \h  \* MERGEFORMAT </w:instrText>
      </w:r>
      <w:r w:rsidR="009676A6" w:rsidRPr="00DC7A14">
        <w:rPr>
          <w:rFonts w:ascii="Times New Roman" w:hAnsi="Times New Roman" w:cs="Times New Roman"/>
          <w:sz w:val="19"/>
          <w:szCs w:val="19"/>
        </w:rPr>
      </w:r>
      <w:r w:rsidR="009676A6"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9</w:t>
      </w:r>
      <w:r w:rsidR="009676A6" w:rsidRPr="00DC7A14">
        <w:rPr>
          <w:rFonts w:ascii="Times New Roman" w:hAnsi="Times New Roman" w:cs="Times New Roman"/>
          <w:sz w:val="19"/>
          <w:szCs w:val="19"/>
        </w:rPr>
        <w:fldChar w:fldCharType="end"/>
      </w:r>
      <w:r w:rsidR="007C2869" w:rsidRPr="00DC7A14">
        <w:rPr>
          <w:rFonts w:ascii="Times New Roman" w:hAnsi="Times New Roman" w:cs="Times New Roman"/>
          <w:sz w:val="19"/>
          <w:szCs w:val="19"/>
        </w:rPr>
        <w:t xml:space="preserve">) </w:t>
      </w:r>
      <w:r w:rsidR="002D46BA" w:rsidRPr="00DC7A14">
        <w:rPr>
          <w:rFonts w:ascii="Times New Roman" w:hAnsi="Times New Roman" w:cs="Times New Roman"/>
          <w:sz w:val="19"/>
          <w:szCs w:val="19"/>
        </w:rPr>
        <w:t xml:space="preserve">art 17. </w:t>
      </w:r>
      <w:r w:rsidRPr="00DC7A14">
        <w:rPr>
          <w:rFonts w:ascii="Times New Roman" w:hAnsi="Times New Roman" w:cs="Times New Roman"/>
          <w:sz w:val="19"/>
          <w:szCs w:val="19"/>
        </w:rPr>
        <w:t xml:space="preserve">See also </w:t>
      </w:r>
      <w:r w:rsidRPr="00DC7A14">
        <w:rPr>
          <w:rFonts w:ascii="Times New Roman" w:hAnsi="Times New Roman" w:cs="Times New Roman"/>
          <w:i/>
          <w:iCs/>
          <w:sz w:val="19"/>
          <w:szCs w:val="19"/>
        </w:rPr>
        <w:t>Universal Declaration of Human Rights</w:t>
      </w:r>
      <w:r w:rsidR="00643805" w:rsidRPr="00DC7A14">
        <w:rPr>
          <w:rFonts w:ascii="Times New Roman" w:hAnsi="Times New Roman" w:cs="Times New Roman"/>
          <w:sz w:val="19"/>
          <w:szCs w:val="19"/>
        </w:rPr>
        <w:t>, GA Res 217A (III), UN GAOR, UN Doc A/810 (10 December 1948)</w:t>
      </w:r>
      <w:r w:rsidRPr="00DC7A14">
        <w:rPr>
          <w:rFonts w:ascii="Times New Roman" w:hAnsi="Times New Roman" w:cs="Times New Roman"/>
          <w:sz w:val="19"/>
          <w:szCs w:val="19"/>
        </w:rPr>
        <w:t>;</w:t>
      </w:r>
      <w:r w:rsidR="002D46BA"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Convention on the Rights of the Child</w:t>
      </w:r>
      <w:r w:rsidRPr="00DC7A14">
        <w:rPr>
          <w:rFonts w:ascii="Times New Roman" w:hAnsi="Times New Roman" w:cs="Times New Roman"/>
          <w:sz w:val="19"/>
          <w:szCs w:val="19"/>
        </w:rPr>
        <w:t xml:space="preserve">, opened for signature 20 December 1989, 1577 UNTS 3 (entered into force 2 September 1990) art 16; </w:t>
      </w:r>
      <w:r w:rsidRPr="00DC7A14">
        <w:rPr>
          <w:rFonts w:ascii="Times New Roman" w:hAnsi="Times New Roman" w:cs="Times New Roman"/>
          <w:i/>
          <w:iCs/>
          <w:sz w:val="19"/>
          <w:szCs w:val="19"/>
        </w:rPr>
        <w:t>Convention on the Protection of the Rights of All Migrant Workers and Members of Their Families</w:t>
      </w:r>
      <w:r w:rsidRPr="00DC7A14">
        <w:rPr>
          <w:rFonts w:ascii="Times New Roman" w:hAnsi="Times New Roman" w:cs="Times New Roman"/>
          <w:sz w:val="19"/>
          <w:szCs w:val="19"/>
        </w:rPr>
        <w:t>, opened for signature 18 December 1990, 2220 UNTS 3 (entered into force 1 July 2003) art 14.</w:t>
      </w:r>
    </w:p>
  </w:footnote>
  <w:footnote w:id="13">
    <w:p w14:paraId="58620F6E" w14:textId="6A4EF82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B1B92" w:rsidRPr="00DC7A14">
        <w:rPr>
          <w:rFonts w:ascii="Times New Roman" w:hAnsi="Times New Roman" w:cs="Times New Roman"/>
          <w:i/>
          <w:sz w:val="19"/>
          <w:szCs w:val="19"/>
        </w:rPr>
        <w:t xml:space="preserve">General Comment No 16 </w:t>
      </w:r>
      <w:r w:rsidR="00BB1B92" w:rsidRPr="00DC7A14">
        <w:rPr>
          <w:rFonts w:ascii="Times New Roman" w:hAnsi="Times New Roman" w:cs="Times New Roman"/>
          <w:iCs/>
          <w:sz w:val="19"/>
          <w:szCs w:val="19"/>
        </w:rPr>
        <w:t xml:space="preserve">(n </w:t>
      </w:r>
      <w:r w:rsidR="009676A6" w:rsidRPr="00DC7A14">
        <w:rPr>
          <w:rFonts w:ascii="Times New Roman" w:hAnsi="Times New Roman" w:cs="Times New Roman"/>
          <w:iCs/>
          <w:sz w:val="19"/>
          <w:szCs w:val="19"/>
        </w:rPr>
        <w:fldChar w:fldCharType="begin"/>
      </w:r>
      <w:r w:rsidR="009676A6" w:rsidRPr="00DC7A14">
        <w:rPr>
          <w:rFonts w:ascii="Times New Roman" w:hAnsi="Times New Roman" w:cs="Times New Roman"/>
          <w:iCs/>
          <w:sz w:val="19"/>
          <w:szCs w:val="19"/>
        </w:rPr>
        <w:instrText xml:space="preserve"> NOTEREF _Ref91831171 \h  \* MERGEFORMAT </w:instrText>
      </w:r>
      <w:r w:rsidR="009676A6" w:rsidRPr="00DC7A14">
        <w:rPr>
          <w:rFonts w:ascii="Times New Roman" w:hAnsi="Times New Roman" w:cs="Times New Roman"/>
          <w:iCs/>
          <w:sz w:val="19"/>
          <w:szCs w:val="19"/>
        </w:rPr>
      </w:r>
      <w:r w:rsidR="009676A6" w:rsidRPr="00DC7A14">
        <w:rPr>
          <w:rFonts w:ascii="Times New Roman" w:hAnsi="Times New Roman" w:cs="Times New Roman"/>
          <w:iCs/>
          <w:sz w:val="19"/>
          <w:szCs w:val="19"/>
        </w:rPr>
        <w:fldChar w:fldCharType="separate"/>
      </w:r>
      <w:r w:rsidR="00E66B60">
        <w:rPr>
          <w:rFonts w:ascii="Times New Roman" w:hAnsi="Times New Roman" w:cs="Times New Roman"/>
          <w:iCs/>
          <w:sz w:val="19"/>
          <w:szCs w:val="19"/>
        </w:rPr>
        <w:t>10</w:t>
      </w:r>
      <w:r w:rsidR="009676A6" w:rsidRPr="00DC7A14">
        <w:rPr>
          <w:rFonts w:ascii="Times New Roman" w:hAnsi="Times New Roman" w:cs="Times New Roman"/>
          <w:iCs/>
          <w:sz w:val="19"/>
          <w:szCs w:val="19"/>
        </w:rPr>
        <w:fldChar w:fldCharType="end"/>
      </w:r>
      <w:r w:rsidR="00BB1B92" w:rsidRPr="00DC7A14">
        <w:rPr>
          <w:rFonts w:ascii="Times New Roman" w:hAnsi="Times New Roman" w:cs="Times New Roman"/>
          <w:iCs/>
          <w:sz w:val="19"/>
          <w:szCs w:val="19"/>
        </w:rPr>
        <w:t xml:space="preserve">) </w:t>
      </w:r>
      <w:r w:rsidRPr="00DC7A14">
        <w:rPr>
          <w:rFonts w:ascii="Times New Roman" w:hAnsi="Times New Roman" w:cs="Times New Roman"/>
          <w:sz w:val="19"/>
          <w:szCs w:val="19"/>
        </w:rPr>
        <w:t>[8]</w:t>
      </w:r>
      <w:r w:rsidR="009B43F9" w:rsidRPr="00DC7A14">
        <w:rPr>
          <w:rFonts w:ascii="Times New Roman" w:hAnsi="Times New Roman" w:cs="Times New Roman"/>
          <w:sz w:val="19"/>
          <w:szCs w:val="19"/>
        </w:rPr>
        <w:t>.</w:t>
      </w:r>
    </w:p>
  </w:footnote>
  <w:footnote w:id="14">
    <w:p w14:paraId="2BEFDDC7" w14:textId="4645FF4F" w:rsidR="00D761C6" w:rsidRPr="00DC7A14" w:rsidRDefault="00D761C6" w:rsidP="00BE787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727BFC" w:rsidRPr="00DC7A14">
        <w:rPr>
          <w:rFonts w:ascii="Times New Roman" w:hAnsi="Times New Roman" w:cs="Times New Roman"/>
          <w:sz w:val="19"/>
          <w:szCs w:val="19"/>
        </w:rPr>
        <w:t xml:space="preserve">Human Rights Committee, </w:t>
      </w:r>
      <w:r w:rsidR="00727BFC" w:rsidRPr="00DC7A14">
        <w:rPr>
          <w:rFonts w:ascii="Times New Roman" w:hAnsi="Times New Roman" w:cs="Times New Roman"/>
          <w:i/>
          <w:iCs/>
          <w:sz w:val="19"/>
          <w:szCs w:val="19"/>
        </w:rPr>
        <w:t>Views: Communication No 488/1992</w:t>
      </w:r>
      <w:r w:rsidR="00727BFC" w:rsidRPr="00DC7A14">
        <w:rPr>
          <w:rFonts w:ascii="Times New Roman" w:hAnsi="Times New Roman" w:cs="Times New Roman"/>
          <w:sz w:val="19"/>
          <w:szCs w:val="19"/>
        </w:rPr>
        <w:t>, 50</w:t>
      </w:r>
      <w:r w:rsidR="00727BFC" w:rsidRPr="00DC7A14">
        <w:rPr>
          <w:rFonts w:ascii="Times New Roman" w:hAnsi="Times New Roman" w:cs="Times New Roman"/>
          <w:sz w:val="19"/>
          <w:szCs w:val="19"/>
          <w:vertAlign w:val="superscript"/>
        </w:rPr>
        <w:t>th</w:t>
      </w:r>
      <w:r w:rsidR="00727BFC" w:rsidRPr="00DC7A14">
        <w:rPr>
          <w:rFonts w:ascii="Times New Roman" w:hAnsi="Times New Roman" w:cs="Times New Roman"/>
          <w:sz w:val="19"/>
          <w:szCs w:val="19"/>
        </w:rPr>
        <w:t xml:space="preserve"> sess, UN Doc CCPR/C/50/D/488/1992 (31 March 1994) [8.3] (‘</w:t>
      </w:r>
      <w:r w:rsidR="00727BFC" w:rsidRPr="00DC7A14">
        <w:rPr>
          <w:rFonts w:ascii="Times New Roman" w:hAnsi="Times New Roman" w:cs="Times New Roman"/>
          <w:i/>
          <w:sz w:val="19"/>
          <w:szCs w:val="19"/>
        </w:rPr>
        <w:t>Toonen v Australia</w:t>
      </w:r>
      <w:r w:rsidR="00727BFC" w:rsidRPr="00DC7A14">
        <w:rPr>
          <w:rFonts w:ascii="Times New Roman" w:hAnsi="Times New Roman" w:cs="Times New Roman"/>
          <w:sz w:val="19"/>
          <w:szCs w:val="19"/>
        </w:rPr>
        <w:t>’).</w:t>
      </w:r>
      <w:r w:rsidRPr="00DC7A14">
        <w:rPr>
          <w:rFonts w:ascii="Times New Roman" w:hAnsi="Times New Roman" w:cs="Times New Roman"/>
          <w:sz w:val="19"/>
          <w:szCs w:val="19"/>
        </w:rPr>
        <w:t xml:space="preserve"> This was a complaint brought before the United Nations Human Rights Committee against certain sections of the </w:t>
      </w:r>
      <w:r w:rsidRPr="00DC7A14">
        <w:rPr>
          <w:rFonts w:ascii="Times New Roman" w:hAnsi="Times New Roman" w:cs="Times New Roman"/>
          <w:i/>
          <w:iCs/>
          <w:sz w:val="19"/>
          <w:szCs w:val="19"/>
        </w:rPr>
        <w:t>Criminal Code</w:t>
      </w:r>
      <w:r w:rsidR="00660662" w:rsidRPr="00DC7A14">
        <w:rPr>
          <w:rFonts w:ascii="Times New Roman" w:hAnsi="Times New Roman" w:cs="Times New Roman"/>
          <w:sz w:val="19"/>
          <w:szCs w:val="19"/>
        </w:rPr>
        <w:t xml:space="preserve"> (Tas)</w:t>
      </w:r>
      <w:r w:rsidRPr="00DC7A14">
        <w:rPr>
          <w:rFonts w:ascii="Times New Roman" w:hAnsi="Times New Roman" w:cs="Times New Roman"/>
          <w:sz w:val="19"/>
          <w:szCs w:val="19"/>
        </w:rPr>
        <w:t>.</w:t>
      </w:r>
    </w:p>
  </w:footnote>
  <w:footnote w:id="15">
    <w:p w14:paraId="6EFB88BA" w14:textId="1243F0BA" w:rsidR="00D761C6" w:rsidRPr="00DC7A14" w:rsidRDefault="00D761C6" w:rsidP="0006786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Privacy Act 1988 </w:t>
      </w:r>
      <w:r w:rsidRPr="00DC7A14">
        <w:rPr>
          <w:rFonts w:ascii="Times New Roman" w:hAnsi="Times New Roman" w:cs="Times New Roman"/>
          <w:sz w:val="19"/>
          <w:szCs w:val="19"/>
        </w:rPr>
        <w:t>(Cth)</w:t>
      </w:r>
      <w:r w:rsidR="000E58B3" w:rsidRPr="00DC7A14">
        <w:rPr>
          <w:rFonts w:ascii="Times New Roman" w:hAnsi="Times New Roman" w:cs="Times New Roman"/>
          <w:sz w:val="19"/>
          <w:szCs w:val="19"/>
        </w:rPr>
        <w:t xml:space="preserve">. In addition to partially implementing the </w:t>
      </w:r>
      <w:r w:rsidR="00CF79A1">
        <w:rPr>
          <w:rFonts w:ascii="Times New Roman" w:hAnsi="Times New Roman" w:cs="Times New Roman"/>
          <w:sz w:val="19"/>
          <w:szCs w:val="19"/>
        </w:rPr>
        <w:t>ICCPR</w:t>
      </w:r>
      <w:r w:rsidR="000E58B3" w:rsidRPr="00DC7A14">
        <w:rPr>
          <w:rFonts w:ascii="Times New Roman" w:hAnsi="Times New Roman" w:cs="Times New Roman"/>
          <w:sz w:val="19"/>
          <w:szCs w:val="19"/>
        </w:rPr>
        <w:t>, t</w:t>
      </w:r>
      <w:r w:rsidRPr="00DC7A14">
        <w:rPr>
          <w:rFonts w:ascii="Times New Roman" w:hAnsi="Times New Roman" w:cs="Times New Roman"/>
          <w:sz w:val="19"/>
          <w:szCs w:val="19"/>
        </w:rPr>
        <w:t xml:space="preserve">he </w:t>
      </w:r>
      <w:r w:rsidRPr="00DC7A14">
        <w:rPr>
          <w:rFonts w:ascii="Times New Roman" w:hAnsi="Times New Roman" w:cs="Times New Roman"/>
          <w:i/>
          <w:iCs/>
          <w:sz w:val="19"/>
          <w:szCs w:val="19"/>
        </w:rPr>
        <w:t>Privacy Act</w:t>
      </w:r>
      <w:r w:rsidRPr="00DC7A14">
        <w:rPr>
          <w:rFonts w:ascii="Times New Roman" w:hAnsi="Times New Roman" w:cs="Times New Roman"/>
          <w:sz w:val="19"/>
          <w:szCs w:val="19"/>
        </w:rPr>
        <w:t xml:space="preserve"> </w:t>
      </w:r>
      <w:r w:rsidR="000E58B3" w:rsidRPr="00DC7A14">
        <w:rPr>
          <w:rFonts w:ascii="Times New Roman" w:hAnsi="Times New Roman" w:cs="Times New Roman"/>
          <w:i/>
          <w:sz w:val="19"/>
          <w:szCs w:val="19"/>
        </w:rPr>
        <w:t xml:space="preserve">1988 </w:t>
      </w:r>
      <w:r w:rsidR="000E58B3" w:rsidRPr="00DC7A14">
        <w:rPr>
          <w:rFonts w:ascii="Times New Roman" w:hAnsi="Times New Roman" w:cs="Times New Roman"/>
          <w:sz w:val="19"/>
          <w:szCs w:val="19"/>
        </w:rPr>
        <w:t xml:space="preserve">(Cth) </w:t>
      </w:r>
      <w:r w:rsidRPr="00DC7A14">
        <w:rPr>
          <w:rFonts w:ascii="Times New Roman" w:hAnsi="Times New Roman" w:cs="Times New Roman"/>
          <w:sz w:val="19"/>
          <w:szCs w:val="19"/>
        </w:rPr>
        <w:t xml:space="preserve">also implemented obligations under the Organisation for Economic Co-operation and Development, </w:t>
      </w:r>
      <w:r w:rsidRPr="00DC7A14">
        <w:rPr>
          <w:rFonts w:ascii="Times New Roman" w:hAnsi="Times New Roman" w:cs="Times New Roman"/>
          <w:i/>
          <w:sz w:val="19"/>
          <w:szCs w:val="19"/>
        </w:rPr>
        <w:t>Guidelines on the Protection of Privacy and</w:t>
      </w:r>
      <w:r w:rsidR="00CF79A1">
        <w:rPr>
          <w:rFonts w:ascii="Times New Roman" w:hAnsi="Times New Roman" w:cs="Times New Roman"/>
          <w:i/>
          <w:sz w:val="19"/>
          <w:szCs w:val="19"/>
        </w:rPr>
        <w:t xml:space="preserve"> </w:t>
      </w:r>
      <w:r w:rsidRPr="00DC7A14">
        <w:rPr>
          <w:rFonts w:ascii="Times New Roman" w:hAnsi="Times New Roman" w:cs="Times New Roman"/>
          <w:i/>
          <w:sz w:val="19"/>
          <w:szCs w:val="19"/>
        </w:rPr>
        <w:t>Transborder Flows of Personal Data</w:t>
      </w:r>
      <w:r w:rsidRPr="00DC7A14">
        <w:rPr>
          <w:rFonts w:ascii="Times New Roman" w:hAnsi="Times New Roman" w:cs="Times New Roman"/>
          <w:sz w:val="19"/>
          <w:szCs w:val="19"/>
        </w:rPr>
        <w:t xml:space="preserve"> (1980)</w:t>
      </w:r>
      <w:r w:rsidR="000E58B3" w:rsidRPr="00DC7A14">
        <w:rPr>
          <w:rFonts w:ascii="Times New Roman" w:hAnsi="Times New Roman" w:cs="Times New Roman"/>
          <w:sz w:val="19"/>
          <w:szCs w:val="19"/>
        </w:rPr>
        <w:t xml:space="preserve">: </w:t>
      </w:r>
      <w:r w:rsidRPr="00DC7A14">
        <w:rPr>
          <w:rFonts w:ascii="Times New Roman" w:hAnsi="Times New Roman" w:cs="Times New Roman"/>
          <w:sz w:val="19"/>
          <w:szCs w:val="19"/>
        </w:rPr>
        <w:t>see M</w:t>
      </w:r>
      <w:r w:rsidR="004246D7" w:rsidRPr="00DC7A14">
        <w:rPr>
          <w:rFonts w:ascii="Times New Roman" w:hAnsi="Times New Roman" w:cs="Times New Roman"/>
          <w:sz w:val="19"/>
          <w:szCs w:val="19"/>
        </w:rPr>
        <w:t>oira</w:t>
      </w:r>
      <w:r w:rsidRPr="00DC7A14">
        <w:rPr>
          <w:rFonts w:ascii="Times New Roman" w:hAnsi="Times New Roman" w:cs="Times New Roman"/>
          <w:sz w:val="19"/>
          <w:szCs w:val="19"/>
        </w:rPr>
        <w:t xml:space="preserve"> Paterson, </w:t>
      </w:r>
      <w:r w:rsidRPr="00DC7A14">
        <w:rPr>
          <w:rFonts w:ascii="Times New Roman" w:hAnsi="Times New Roman" w:cs="Times New Roman"/>
          <w:i/>
          <w:sz w:val="19"/>
          <w:szCs w:val="19"/>
        </w:rPr>
        <w:t>Freedom of Information and Privacy in Australia: Government and Information Access in the Modern State</w:t>
      </w:r>
      <w:r w:rsidRPr="00DC7A14">
        <w:rPr>
          <w:rFonts w:ascii="Times New Roman" w:hAnsi="Times New Roman" w:cs="Times New Roman"/>
          <w:sz w:val="19"/>
          <w:szCs w:val="19"/>
        </w:rPr>
        <w:t xml:space="preserve"> (</w:t>
      </w:r>
      <w:r w:rsidR="004246D7" w:rsidRPr="00DC7A14">
        <w:rPr>
          <w:rFonts w:ascii="Times New Roman" w:hAnsi="Times New Roman" w:cs="Times New Roman"/>
          <w:sz w:val="19"/>
          <w:szCs w:val="19"/>
        </w:rPr>
        <w:t xml:space="preserve">Lexis Nexis, </w:t>
      </w:r>
      <w:r w:rsidRPr="00DC7A14">
        <w:rPr>
          <w:rFonts w:ascii="Times New Roman" w:hAnsi="Times New Roman" w:cs="Times New Roman"/>
          <w:sz w:val="19"/>
          <w:szCs w:val="19"/>
        </w:rPr>
        <w:t>2005) [2.54].</w:t>
      </w:r>
    </w:p>
  </w:footnote>
  <w:footnote w:id="16">
    <w:p w14:paraId="1C98267E" w14:textId="2693165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ALRC, </w:t>
      </w:r>
      <w:r w:rsidRPr="00DC7A14">
        <w:rPr>
          <w:rFonts w:ascii="Times New Roman" w:hAnsi="Times New Roman" w:cs="Times New Roman"/>
          <w:i/>
          <w:sz w:val="19"/>
          <w:szCs w:val="19"/>
        </w:rPr>
        <w:t>Privacy</w:t>
      </w:r>
      <w:r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_Ref91746375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1</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w:t>
      </w:r>
    </w:p>
  </w:footnote>
  <w:footnote w:id="17">
    <w:p w14:paraId="332F9F69" w14:textId="37D2065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Privacy Amendment (Private Sector) Act 2000</w:t>
      </w:r>
      <w:r w:rsidRPr="00DC7A14">
        <w:rPr>
          <w:rFonts w:ascii="Times New Roman" w:hAnsi="Times New Roman" w:cs="Times New Roman"/>
          <w:sz w:val="19"/>
          <w:szCs w:val="19"/>
        </w:rPr>
        <w:t xml:space="preserve"> (Cth), which commenced on 21 December 2001.</w:t>
      </w:r>
    </w:p>
  </w:footnote>
  <w:footnote w:id="18">
    <w:p w14:paraId="019D2905" w14:textId="19D4375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ALRC, </w:t>
      </w:r>
      <w:r w:rsidRPr="00DC7A14">
        <w:rPr>
          <w:rFonts w:ascii="Times New Roman" w:hAnsi="Times New Roman" w:cs="Times New Roman"/>
          <w:i/>
          <w:sz w:val="19"/>
          <w:szCs w:val="19"/>
        </w:rPr>
        <w:t>For Your Information</w:t>
      </w:r>
      <w:r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_Ref91746363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w:t>
      </w:r>
    </w:p>
  </w:footnote>
  <w:footnote w:id="19">
    <w:p w14:paraId="63285919" w14:textId="3D77F23F"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Privacy Amendment (Enhancing Privacy Protection) Act 2012</w:t>
      </w:r>
      <w:r w:rsidRPr="00DC7A14">
        <w:rPr>
          <w:rFonts w:ascii="Times New Roman" w:hAnsi="Times New Roman" w:cs="Times New Roman"/>
          <w:sz w:val="19"/>
          <w:szCs w:val="19"/>
        </w:rPr>
        <w:t xml:space="preserve"> (Cth), which commenced on 12 March 2014.</w:t>
      </w:r>
    </w:p>
  </w:footnote>
  <w:footnote w:id="20">
    <w:p w14:paraId="2408A443" w14:textId="476918FC" w:rsidR="001511D0" w:rsidRPr="00DC7A14" w:rsidRDefault="001511D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ALRC, </w:t>
      </w:r>
      <w:r w:rsidRPr="00DC7A14">
        <w:rPr>
          <w:rFonts w:ascii="Times New Roman" w:hAnsi="Times New Roman" w:cs="Times New Roman"/>
          <w:i/>
          <w:sz w:val="19"/>
          <w:szCs w:val="19"/>
        </w:rPr>
        <w:t>For Your Information</w:t>
      </w:r>
      <w:r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_Ref91746363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w:t>
      </w:r>
      <w:r w:rsidR="001053E4" w:rsidRPr="00DC7A14">
        <w:rPr>
          <w:rFonts w:ascii="Times New Roman" w:hAnsi="Times New Roman" w:cs="Times New Roman"/>
          <w:sz w:val="19"/>
          <w:szCs w:val="19"/>
        </w:rPr>
        <w:t xml:space="preserve"> </w:t>
      </w:r>
      <w:r w:rsidR="003A5090" w:rsidRPr="00DC7A14">
        <w:rPr>
          <w:rFonts w:ascii="Times New Roman" w:hAnsi="Times New Roman" w:cs="Times New Roman"/>
          <w:sz w:val="19"/>
          <w:szCs w:val="19"/>
        </w:rPr>
        <w:t>[3.13]</w:t>
      </w:r>
      <w:r w:rsidRPr="00DC7A14">
        <w:rPr>
          <w:rFonts w:ascii="Times New Roman" w:hAnsi="Times New Roman" w:cs="Times New Roman"/>
          <w:sz w:val="19"/>
          <w:szCs w:val="19"/>
        </w:rPr>
        <w:t>.</w:t>
      </w:r>
    </w:p>
  </w:footnote>
  <w:footnote w:id="21">
    <w:p w14:paraId="7A258A65" w14:textId="2236DA2A" w:rsidR="00D761C6" w:rsidRPr="00DC7A14" w:rsidRDefault="00D761C6" w:rsidP="002E51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9F3AEB" w:rsidRPr="00DC7A14">
        <w:rPr>
          <w:rFonts w:ascii="Times New Roman" w:hAnsi="Times New Roman" w:cs="Times New Roman"/>
          <w:sz w:val="19"/>
          <w:szCs w:val="19"/>
        </w:rPr>
        <w:t>Ibid</w:t>
      </w:r>
      <w:r w:rsidR="00C33EE0" w:rsidRPr="00DC7A14">
        <w:rPr>
          <w:rFonts w:ascii="Times New Roman" w:hAnsi="Times New Roman" w:cs="Times New Roman"/>
          <w:sz w:val="19"/>
          <w:szCs w:val="19"/>
        </w:rPr>
        <w:t xml:space="preserve"> 218–12,</w:t>
      </w:r>
      <w:r w:rsidRPr="00DC7A14">
        <w:rPr>
          <w:rFonts w:ascii="Times New Roman" w:hAnsi="Times New Roman" w:cs="Times New Roman"/>
          <w:sz w:val="19"/>
          <w:szCs w:val="19"/>
        </w:rPr>
        <w:t xml:space="preserve"> recommendations 3-1, 3-2</w:t>
      </w:r>
      <w:r w:rsidR="0039787E" w:rsidRPr="00DC7A14">
        <w:rPr>
          <w:rFonts w:ascii="Times New Roman" w:hAnsi="Times New Roman" w:cs="Times New Roman"/>
          <w:sz w:val="19"/>
          <w:szCs w:val="19"/>
        </w:rPr>
        <w:t xml:space="preserve">, </w:t>
      </w:r>
      <w:r w:rsidRPr="00DC7A14">
        <w:rPr>
          <w:rFonts w:ascii="Times New Roman" w:hAnsi="Times New Roman" w:cs="Times New Roman"/>
          <w:sz w:val="19"/>
          <w:szCs w:val="19"/>
        </w:rPr>
        <w:t>3-3.</w:t>
      </w:r>
    </w:p>
  </w:footnote>
  <w:footnote w:id="22">
    <w:p w14:paraId="0D3B4665" w14:textId="2D5C4D22" w:rsidR="00D761C6" w:rsidRPr="00DC7A14" w:rsidRDefault="00D761C6" w:rsidP="002E51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w:t>
      </w:r>
      <w:r w:rsidR="009F3AEB" w:rsidRPr="00DC7A14">
        <w:rPr>
          <w:rFonts w:ascii="Times New Roman" w:hAnsi="Times New Roman" w:cs="Times New Roman"/>
          <w:sz w:val="19"/>
          <w:szCs w:val="19"/>
        </w:rPr>
        <w:t xml:space="preserve"> 219–20, 224</w:t>
      </w:r>
      <w:r w:rsidRPr="00DC7A14">
        <w:rPr>
          <w:rFonts w:ascii="Times New Roman" w:hAnsi="Times New Roman" w:cs="Times New Roman"/>
          <w:sz w:val="19"/>
          <w:szCs w:val="19"/>
        </w:rPr>
        <w:t>, recommendations 3-4</w:t>
      </w:r>
      <w:r w:rsidR="0039787E" w:rsidRPr="00DC7A14">
        <w:rPr>
          <w:rFonts w:ascii="Times New Roman" w:hAnsi="Times New Roman" w:cs="Times New Roman"/>
          <w:sz w:val="19"/>
          <w:szCs w:val="19"/>
        </w:rPr>
        <w:t xml:space="preserve">, </w:t>
      </w:r>
      <w:r w:rsidRPr="00DC7A14">
        <w:rPr>
          <w:rFonts w:ascii="Times New Roman" w:hAnsi="Times New Roman" w:cs="Times New Roman"/>
          <w:sz w:val="19"/>
          <w:szCs w:val="19"/>
        </w:rPr>
        <w:t>3-5.</w:t>
      </w:r>
    </w:p>
  </w:footnote>
  <w:footnote w:id="23">
    <w:p w14:paraId="3608545A" w14:textId="7FB6B8BA" w:rsidR="00D761C6" w:rsidRPr="00DC7A14" w:rsidRDefault="00D761C6" w:rsidP="002E51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C32647" w:rsidRPr="00DC7A14">
        <w:rPr>
          <w:rFonts w:ascii="Times New Roman" w:hAnsi="Times New Roman" w:cs="Times New Roman"/>
          <w:sz w:val="19"/>
          <w:szCs w:val="19"/>
        </w:rPr>
        <w:t>NSW</w:t>
      </w:r>
      <w:r w:rsidRPr="00DC7A14">
        <w:rPr>
          <w:rFonts w:ascii="Times New Roman" w:hAnsi="Times New Roman" w:cs="Times New Roman"/>
          <w:sz w:val="19"/>
          <w:szCs w:val="19"/>
        </w:rPr>
        <w:t xml:space="preserve"> Law Reform Commission</w:t>
      </w:r>
      <w:r w:rsidRPr="00DC7A14">
        <w:rPr>
          <w:rFonts w:ascii="Times New Roman" w:hAnsi="Times New Roman" w:cs="Times New Roman"/>
          <w:i/>
          <w:iCs/>
          <w:sz w:val="19"/>
          <w:szCs w:val="19"/>
        </w:rPr>
        <w:t>, Privacy Principles</w:t>
      </w:r>
      <w:r w:rsidRPr="00DC7A14">
        <w:rPr>
          <w:rFonts w:ascii="Times New Roman" w:hAnsi="Times New Roman" w:cs="Times New Roman"/>
          <w:sz w:val="19"/>
          <w:szCs w:val="19"/>
        </w:rPr>
        <w:t xml:space="preserve"> (Report No 123, August 2009) 4</w:t>
      </w:r>
      <w:r w:rsidR="00101FBC" w:rsidRPr="00DC7A14">
        <w:rPr>
          <w:rFonts w:ascii="Times New Roman" w:hAnsi="Times New Roman" w:cs="Times New Roman"/>
          <w:sz w:val="19"/>
          <w:szCs w:val="19"/>
        </w:rPr>
        <w:t>, 198–9 (see rec</w:t>
      </w:r>
      <w:r w:rsidR="00CF79A1">
        <w:rPr>
          <w:rFonts w:ascii="Times New Roman" w:hAnsi="Times New Roman" w:cs="Times New Roman"/>
          <w:sz w:val="19"/>
          <w:szCs w:val="19"/>
        </w:rPr>
        <w:t>ommendation</w:t>
      </w:r>
      <w:r w:rsidR="00101FBC" w:rsidRPr="00DC7A14">
        <w:rPr>
          <w:rFonts w:ascii="Times New Roman" w:hAnsi="Times New Roman" w:cs="Times New Roman"/>
          <w:sz w:val="19"/>
          <w:szCs w:val="19"/>
        </w:rPr>
        <w:t xml:space="preserve"> 11)</w:t>
      </w:r>
      <w:r w:rsidRPr="00DC7A14">
        <w:rPr>
          <w:rFonts w:ascii="Times New Roman" w:hAnsi="Times New Roman" w:cs="Times New Roman"/>
          <w:sz w:val="19"/>
          <w:szCs w:val="19"/>
        </w:rPr>
        <w:t xml:space="preserve">; </w:t>
      </w:r>
      <w:r w:rsidR="00C32647" w:rsidRPr="00DC7A14">
        <w:rPr>
          <w:rFonts w:ascii="Times New Roman" w:hAnsi="Times New Roman" w:cs="Times New Roman"/>
          <w:sz w:val="19"/>
          <w:szCs w:val="19"/>
        </w:rPr>
        <w:t>NSW</w:t>
      </w:r>
      <w:r w:rsidR="001D0F86" w:rsidRPr="00DC7A14">
        <w:rPr>
          <w:rFonts w:ascii="Times New Roman" w:hAnsi="Times New Roman" w:cs="Times New Roman"/>
          <w:sz w:val="19"/>
          <w:szCs w:val="19"/>
        </w:rPr>
        <w:t xml:space="preserve"> Law Reform Commission, </w:t>
      </w:r>
      <w:r w:rsidRPr="00DC7A14">
        <w:rPr>
          <w:rFonts w:ascii="Times New Roman" w:hAnsi="Times New Roman" w:cs="Times New Roman"/>
          <w:i/>
          <w:iCs/>
          <w:sz w:val="19"/>
          <w:szCs w:val="19"/>
        </w:rPr>
        <w:t>Protecting Privacy in New South Wales</w:t>
      </w:r>
      <w:r w:rsidRPr="00DC7A14">
        <w:rPr>
          <w:rFonts w:ascii="Times New Roman" w:hAnsi="Times New Roman" w:cs="Times New Roman"/>
          <w:sz w:val="19"/>
          <w:szCs w:val="19"/>
        </w:rPr>
        <w:t xml:space="preserve"> (Report No 127,</w:t>
      </w:r>
      <w:r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May 2010) 35</w:t>
      </w:r>
      <w:r w:rsidR="00101FBC" w:rsidRPr="00DC7A14">
        <w:rPr>
          <w:rFonts w:ascii="Times New Roman" w:hAnsi="Times New Roman" w:cs="Times New Roman"/>
          <w:sz w:val="19"/>
          <w:szCs w:val="19"/>
        </w:rPr>
        <w:t>–6 (see rec</w:t>
      </w:r>
      <w:r w:rsidR="00457D7E">
        <w:rPr>
          <w:rFonts w:ascii="Times New Roman" w:hAnsi="Times New Roman" w:cs="Times New Roman"/>
          <w:sz w:val="19"/>
          <w:szCs w:val="19"/>
        </w:rPr>
        <w:t>ommendation</w:t>
      </w:r>
      <w:r w:rsidR="00101FBC" w:rsidRPr="00DC7A14">
        <w:rPr>
          <w:rFonts w:ascii="Times New Roman" w:hAnsi="Times New Roman" w:cs="Times New Roman"/>
          <w:sz w:val="19"/>
          <w:szCs w:val="19"/>
        </w:rPr>
        <w:t xml:space="preserve"> 2.5)</w:t>
      </w:r>
      <w:r w:rsidRPr="00DC7A14">
        <w:rPr>
          <w:rFonts w:ascii="Times New Roman" w:hAnsi="Times New Roman" w:cs="Times New Roman"/>
          <w:sz w:val="19"/>
          <w:szCs w:val="19"/>
        </w:rPr>
        <w:t>.</w:t>
      </w:r>
    </w:p>
  </w:footnote>
  <w:footnote w:id="24">
    <w:p w14:paraId="2212E4BD" w14:textId="19EFBD8E" w:rsidR="00693EAF" w:rsidRPr="00DC7A14" w:rsidRDefault="00693EAF" w:rsidP="00693EA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Government of Western Australia, </w:t>
      </w:r>
      <w:r w:rsidRPr="00DC7A14">
        <w:rPr>
          <w:rFonts w:ascii="Times New Roman" w:hAnsi="Times New Roman" w:cs="Times New Roman"/>
          <w:i/>
          <w:sz w:val="19"/>
          <w:szCs w:val="19"/>
        </w:rPr>
        <w:t xml:space="preserve">Privacy and Responsible Information Sharing for the Western Australian </w:t>
      </w:r>
      <w:r w:rsidR="003E670F" w:rsidRPr="00DC7A14">
        <w:rPr>
          <w:rFonts w:ascii="Times New Roman" w:hAnsi="Times New Roman" w:cs="Times New Roman"/>
          <w:i/>
          <w:sz w:val="19"/>
          <w:szCs w:val="19"/>
        </w:rPr>
        <w:t>P</w:t>
      </w:r>
      <w:r w:rsidRPr="00DC7A14">
        <w:rPr>
          <w:rFonts w:ascii="Times New Roman" w:hAnsi="Times New Roman" w:cs="Times New Roman"/>
          <w:i/>
          <w:sz w:val="19"/>
          <w:szCs w:val="19"/>
        </w:rPr>
        <w:t xml:space="preserve">ublic </w:t>
      </w:r>
      <w:r w:rsidR="003E670F" w:rsidRPr="00DC7A14">
        <w:rPr>
          <w:rFonts w:ascii="Times New Roman" w:hAnsi="Times New Roman" w:cs="Times New Roman"/>
          <w:i/>
          <w:sz w:val="19"/>
          <w:szCs w:val="19"/>
        </w:rPr>
        <w:t>S</w:t>
      </w:r>
      <w:r w:rsidRPr="00DC7A14">
        <w:rPr>
          <w:rFonts w:ascii="Times New Roman" w:hAnsi="Times New Roman" w:cs="Times New Roman"/>
          <w:i/>
          <w:sz w:val="19"/>
          <w:szCs w:val="19"/>
        </w:rPr>
        <w:t>ector</w:t>
      </w:r>
      <w:r w:rsidRPr="00DC7A14">
        <w:rPr>
          <w:rFonts w:ascii="Times New Roman" w:hAnsi="Times New Roman" w:cs="Times New Roman"/>
          <w:sz w:val="19"/>
          <w:szCs w:val="19"/>
        </w:rPr>
        <w:t xml:space="preserve"> (Discussion </w:t>
      </w:r>
      <w:r w:rsidR="003E670F" w:rsidRPr="00DC7A14">
        <w:rPr>
          <w:rFonts w:ascii="Times New Roman" w:hAnsi="Times New Roman" w:cs="Times New Roman"/>
          <w:sz w:val="19"/>
          <w:szCs w:val="19"/>
        </w:rPr>
        <w:t>P</w:t>
      </w:r>
      <w:r w:rsidRPr="00DC7A14">
        <w:rPr>
          <w:rFonts w:ascii="Times New Roman" w:hAnsi="Times New Roman" w:cs="Times New Roman"/>
          <w:sz w:val="19"/>
          <w:szCs w:val="19"/>
        </w:rPr>
        <w:t>aper, 2019)</w:t>
      </w:r>
      <w:r w:rsidR="009E198B" w:rsidRPr="00DC7A14">
        <w:rPr>
          <w:rFonts w:ascii="Times New Roman" w:hAnsi="Times New Roman" w:cs="Times New Roman"/>
          <w:sz w:val="19"/>
          <w:szCs w:val="19"/>
        </w:rPr>
        <w:t>.</w:t>
      </w:r>
    </w:p>
  </w:footnote>
  <w:footnote w:id="25">
    <w:p w14:paraId="4D2313AE" w14:textId="288D78A8" w:rsidR="00D761C6" w:rsidRPr="00DC7A14" w:rsidRDefault="00D761C6" w:rsidP="00043FA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Crime and Corruption Commission</w:t>
      </w:r>
      <w:r w:rsidR="00CC5C74" w:rsidRPr="00DC7A14">
        <w:rPr>
          <w:rFonts w:ascii="Times New Roman" w:hAnsi="Times New Roman" w:cs="Times New Roman"/>
          <w:sz w:val="19"/>
          <w:szCs w:val="19"/>
        </w:rPr>
        <w:t xml:space="preserve"> (</w:t>
      </w:r>
      <w:r w:rsidRPr="00DC7A14">
        <w:rPr>
          <w:rFonts w:ascii="Times New Roman" w:hAnsi="Times New Roman" w:cs="Times New Roman"/>
          <w:sz w:val="19"/>
          <w:szCs w:val="19"/>
        </w:rPr>
        <w:t>Queensland</w:t>
      </w:r>
      <w:r w:rsidR="00CC5C74"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Operation Impala:</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Report on </w:t>
      </w:r>
      <w:r w:rsidR="00AA018A" w:rsidRPr="00DC7A14">
        <w:rPr>
          <w:rFonts w:ascii="Times New Roman" w:hAnsi="Times New Roman" w:cs="Times New Roman"/>
          <w:i/>
          <w:sz w:val="19"/>
          <w:szCs w:val="19"/>
        </w:rPr>
        <w:t>M</w:t>
      </w:r>
      <w:r w:rsidRPr="00DC7A14">
        <w:rPr>
          <w:rFonts w:ascii="Times New Roman" w:hAnsi="Times New Roman" w:cs="Times New Roman"/>
          <w:i/>
          <w:sz w:val="19"/>
          <w:szCs w:val="19"/>
        </w:rPr>
        <w:t xml:space="preserve">isuse of </w:t>
      </w:r>
      <w:r w:rsidR="00AA018A" w:rsidRPr="00DC7A14">
        <w:rPr>
          <w:rFonts w:ascii="Times New Roman" w:hAnsi="Times New Roman" w:cs="Times New Roman"/>
          <w:i/>
          <w:sz w:val="19"/>
          <w:szCs w:val="19"/>
        </w:rPr>
        <w:t>C</w:t>
      </w:r>
      <w:r w:rsidRPr="00DC7A14">
        <w:rPr>
          <w:rFonts w:ascii="Times New Roman" w:hAnsi="Times New Roman" w:cs="Times New Roman"/>
          <w:i/>
          <w:sz w:val="19"/>
          <w:szCs w:val="19"/>
        </w:rPr>
        <w:t xml:space="preserve">onfidential </w:t>
      </w:r>
      <w:r w:rsidR="00B954F3" w:rsidRPr="00DC7A14">
        <w:rPr>
          <w:rFonts w:ascii="Times New Roman" w:hAnsi="Times New Roman" w:cs="Times New Roman"/>
          <w:i/>
          <w:sz w:val="19"/>
          <w:szCs w:val="19"/>
        </w:rPr>
        <w:t>I</w:t>
      </w:r>
      <w:r w:rsidRPr="00DC7A14">
        <w:rPr>
          <w:rFonts w:ascii="Times New Roman" w:hAnsi="Times New Roman" w:cs="Times New Roman"/>
          <w:i/>
          <w:sz w:val="19"/>
          <w:szCs w:val="19"/>
        </w:rPr>
        <w:t xml:space="preserve">nformation in the Queensland </w:t>
      </w:r>
      <w:r w:rsidR="00B954F3" w:rsidRPr="00DC7A14">
        <w:rPr>
          <w:rFonts w:ascii="Times New Roman" w:hAnsi="Times New Roman" w:cs="Times New Roman"/>
          <w:i/>
          <w:sz w:val="19"/>
          <w:szCs w:val="19"/>
        </w:rPr>
        <w:t>P</w:t>
      </w:r>
      <w:r w:rsidRPr="00DC7A14">
        <w:rPr>
          <w:rFonts w:ascii="Times New Roman" w:hAnsi="Times New Roman" w:cs="Times New Roman"/>
          <w:i/>
          <w:sz w:val="19"/>
          <w:szCs w:val="19"/>
        </w:rPr>
        <w:t xml:space="preserve">ublic </w:t>
      </w:r>
      <w:r w:rsidR="00B954F3" w:rsidRPr="00DC7A14">
        <w:rPr>
          <w:rFonts w:ascii="Times New Roman" w:hAnsi="Times New Roman" w:cs="Times New Roman"/>
          <w:i/>
          <w:sz w:val="19"/>
          <w:szCs w:val="19"/>
        </w:rPr>
        <w:t>S</w:t>
      </w:r>
      <w:r w:rsidRPr="00DC7A14">
        <w:rPr>
          <w:rFonts w:ascii="Times New Roman" w:hAnsi="Times New Roman" w:cs="Times New Roman"/>
          <w:i/>
          <w:sz w:val="19"/>
          <w:szCs w:val="19"/>
        </w:rPr>
        <w:t>ector</w:t>
      </w:r>
      <w:r w:rsidRPr="00DC7A14">
        <w:rPr>
          <w:rFonts w:ascii="Times New Roman" w:hAnsi="Times New Roman" w:cs="Times New Roman"/>
          <w:sz w:val="19"/>
          <w:szCs w:val="19"/>
        </w:rPr>
        <w:t xml:space="preserve"> (Report, February 2020) recommendation 16.</w:t>
      </w:r>
    </w:p>
  </w:footnote>
  <w:footnote w:id="26">
    <w:p w14:paraId="7898DB5B" w14:textId="77777777" w:rsidR="00D761C6" w:rsidRPr="00DC7A14" w:rsidRDefault="00D761C6" w:rsidP="002E51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Attorney-General’s Department, </w:t>
      </w:r>
      <w:r w:rsidRPr="00DC7A14">
        <w:rPr>
          <w:rFonts w:ascii="Times New Roman" w:hAnsi="Times New Roman" w:cs="Times New Roman"/>
          <w:i/>
          <w:iCs/>
          <w:sz w:val="19"/>
          <w:szCs w:val="19"/>
        </w:rPr>
        <w:t xml:space="preserve">Privacy Act Review </w:t>
      </w:r>
      <w:r w:rsidRPr="00DC7A14">
        <w:rPr>
          <w:rFonts w:ascii="Times New Roman" w:hAnsi="Times New Roman" w:cs="Times New Roman"/>
          <w:sz w:val="19"/>
          <w:szCs w:val="19"/>
        </w:rPr>
        <w:t xml:space="preserve">(Issues Paper, October 2020) 83. </w:t>
      </w:r>
    </w:p>
  </w:footnote>
  <w:footnote w:id="27">
    <w:p w14:paraId="1B242A05" w14:textId="28873B25" w:rsidR="00D761C6" w:rsidRPr="00DC7A14" w:rsidRDefault="00D761C6" w:rsidP="002E51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Office of the Australian Information Commissioner (</w:t>
      </w:r>
      <w:r w:rsidR="00921150" w:rsidRPr="00DC7A14">
        <w:rPr>
          <w:rFonts w:ascii="Times New Roman" w:hAnsi="Times New Roman" w:cs="Times New Roman"/>
          <w:sz w:val="19"/>
          <w:szCs w:val="19"/>
        </w:rPr>
        <w:t>‘</w:t>
      </w:r>
      <w:r w:rsidRPr="00DC7A14">
        <w:rPr>
          <w:rFonts w:ascii="Times New Roman" w:hAnsi="Times New Roman" w:cs="Times New Roman"/>
          <w:sz w:val="19"/>
          <w:szCs w:val="19"/>
        </w:rPr>
        <w:t>OAIC</w:t>
      </w:r>
      <w:r w:rsidR="00921150"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Review: Submission by the Office of the Australian Information Commissioner</w:t>
      </w:r>
      <w:r w:rsidRPr="00DC7A14">
        <w:rPr>
          <w:rFonts w:ascii="Times New Roman" w:hAnsi="Times New Roman" w:cs="Times New Roman"/>
          <w:sz w:val="19"/>
          <w:szCs w:val="19"/>
        </w:rPr>
        <w:t xml:space="preserve"> (Issues Paper, 11 December 2020)</w:t>
      </w:r>
      <w:r w:rsidR="00EF54B4" w:rsidRPr="00DC7A14">
        <w:rPr>
          <w:rFonts w:ascii="Times New Roman" w:hAnsi="Times New Roman" w:cs="Times New Roman"/>
          <w:sz w:val="19"/>
          <w:szCs w:val="19"/>
        </w:rPr>
        <w:t xml:space="preserve"> (‘</w:t>
      </w:r>
      <w:r w:rsidR="00EF54B4" w:rsidRPr="00DC7A14">
        <w:rPr>
          <w:rFonts w:ascii="Times New Roman" w:hAnsi="Times New Roman" w:cs="Times New Roman"/>
          <w:i/>
          <w:iCs/>
          <w:sz w:val="19"/>
          <w:szCs w:val="19"/>
        </w:rPr>
        <w:t>Submission</w:t>
      </w:r>
      <w:r w:rsidR="004A05C5" w:rsidRPr="00DC7A14">
        <w:rPr>
          <w:rFonts w:ascii="Times New Roman" w:hAnsi="Times New Roman" w:cs="Times New Roman"/>
          <w:i/>
          <w:iCs/>
          <w:sz w:val="19"/>
          <w:szCs w:val="19"/>
        </w:rPr>
        <w:t xml:space="preserve"> to Privacy Act Review</w:t>
      </w:r>
      <w:r w:rsidR="004A05C5" w:rsidRPr="00DC7A14">
        <w:rPr>
          <w:rFonts w:ascii="Times New Roman" w:hAnsi="Times New Roman" w:cs="Times New Roman"/>
          <w:sz w:val="19"/>
          <w:szCs w:val="19"/>
        </w:rPr>
        <w:t>’</w:t>
      </w:r>
      <w:r w:rsidR="00EF54B4" w:rsidRPr="00DC7A14">
        <w:rPr>
          <w:rFonts w:ascii="Times New Roman" w:hAnsi="Times New Roman" w:cs="Times New Roman"/>
          <w:sz w:val="19"/>
          <w:szCs w:val="19"/>
        </w:rPr>
        <w:t>)</w:t>
      </w:r>
      <w:r w:rsidRPr="00DC7A14">
        <w:rPr>
          <w:rFonts w:ascii="Times New Roman" w:hAnsi="Times New Roman" w:cs="Times New Roman"/>
          <w:sz w:val="19"/>
          <w:szCs w:val="19"/>
        </w:rPr>
        <w:t xml:space="preserve">. The OAIC also recommended that national consistency of privacy regulation should be a key goal of the Council of Attorneys-General by establishing a working group to consider amendments to </w:t>
      </w:r>
      <w:r w:rsidR="00D07E69" w:rsidRPr="00DC7A14">
        <w:rPr>
          <w:rFonts w:ascii="Times New Roman" w:hAnsi="Times New Roman" w:cs="Times New Roman"/>
          <w:sz w:val="19"/>
          <w:szCs w:val="19"/>
        </w:rPr>
        <w:t>s</w:t>
      </w:r>
      <w:r w:rsidRPr="00DC7A14">
        <w:rPr>
          <w:rFonts w:ascii="Times New Roman" w:hAnsi="Times New Roman" w:cs="Times New Roman"/>
          <w:sz w:val="19"/>
          <w:szCs w:val="19"/>
        </w:rPr>
        <w:t xml:space="preserve">tate and </w:t>
      </w:r>
      <w:r w:rsidR="00D07E69" w:rsidRPr="00DC7A14">
        <w:rPr>
          <w:rFonts w:ascii="Times New Roman" w:hAnsi="Times New Roman" w:cs="Times New Roman"/>
          <w:sz w:val="19"/>
          <w:szCs w:val="19"/>
        </w:rPr>
        <w:t>t</w:t>
      </w:r>
      <w:r w:rsidRPr="00DC7A14">
        <w:rPr>
          <w:rFonts w:ascii="Times New Roman" w:hAnsi="Times New Roman" w:cs="Times New Roman"/>
          <w:sz w:val="19"/>
          <w:szCs w:val="19"/>
        </w:rPr>
        <w:t xml:space="preserve">erritory privacy laws to achieve alignment with the Privacy Act (recommendation 3). </w:t>
      </w:r>
    </w:p>
  </w:footnote>
  <w:footnote w:id="28">
    <w:p w14:paraId="27789474" w14:textId="5376C35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Terms of </w:t>
      </w:r>
      <w:r w:rsidR="00457D7E">
        <w:rPr>
          <w:rFonts w:ascii="Times New Roman" w:hAnsi="Times New Roman" w:cs="Times New Roman"/>
          <w:sz w:val="19"/>
          <w:szCs w:val="19"/>
        </w:rPr>
        <w:t>R</w:t>
      </w:r>
      <w:r w:rsidRPr="00DC7A14">
        <w:rPr>
          <w:rFonts w:ascii="Times New Roman" w:hAnsi="Times New Roman" w:cs="Times New Roman"/>
          <w:sz w:val="19"/>
          <w:szCs w:val="19"/>
        </w:rPr>
        <w:t xml:space="preserve">eference for the inquiry are available at </w:t>
      </w:r>
      <w:hyperlink r:id="rId1" w:history="1">
        <w:r w:rsidRPr="00DC7A14">
          <w:rPr>
            <w:rStyle w:val="Hyperlink"/>
            <w:rFonts w:ascii="Times New Roman" w:hAnsi="Times New Roman" w:cs="Times New Roman"/>
            <w:sz w:val="19"/>
            <w:szCs w:val="19"/>
          </w:rPr>
          <w:t>https://www.ag.gov.au/integrity/publications/review-privacy-act-1988-terms-reference</w:t>
        </w:r>
      </w:hyperlink>
      <w:r w:rsidRPr="00DC7A14">
        <w:rPr>
          <w:rFonts w:ascii="Times New Roman" w:hAnsi="Times New Roman" w:cs="Times New Roman"/>
          <w:sz w:val="19"/>
          <w:szCs w:val="19"/>
        </w:rPr>
        <w:t xml:space="preserve">. An Issues Paper was published in October 2020 for consultation which closed in November 2020. A discussion paper was released on 25 October 2021 with submissions due 10 January 2022. </w:t>
      </w:r>
      <w:r w:rsidR="00457D7E">
        <w:rPr>
          <w:rFonts w:ascii="Times New Roman" w:hAnsi="Times New Roman" w:cs="Times New Roman"/>
          <w:sz w:val="19"/>
          <w:szCs w:val="19"/>
        </w:rPr>
        <w:t xml:space="preserve">The report was released on 16 February 2023. </w:t>
      </w:r>
      <w:r w:rsidRPr="00DC7A14">
        <w:rPr>
          <w:rFonts w:ascii="Times New Roman" w:hAnsi="Times New Roman" w:cs="Times New Roman"/>
          <w:sz w:val="19"/>
          <w:szCs w:val="19"/>
        </w:rPr>
        <w:t>See generally, Attorney-General’s Department, ‘Review of the Privacy Act 1988’</w:t>
      </w:r>
      <w:r w:rsidR="007258CD" w:rsidRPr="00DC7A14">
        <w:rPr>
          <w:rFonts w:ascii="Times New Roman" w:hAnsi="Times New Roman" w:cs="Times New Roman"/>
          <w:sz w:val="19"/>
          <w:szCs w:val="19"/>
        </w:rPr>
        <w:t xml:space="preserve"> (</w:t>
      </w:r>
      <w:r w:rsidR="00B811AC" w:rsidRPr="00DC7A14">
        <w:rPr>
          <w:rFonts w:ascii="Times New Roman" w:hAnsi="Times New Roman" w:cs="Times New Roman"/>
          <w:sz w:val="19"/>
          <w:szCs w:val="19"/>
        </w:rPr>
        <w:t>Web Page</w:t>
      </w:r>
      <w:r w:rsidR="007258CD" w:rsidRPr="00DC7A14">
        <w:rPr>
          <w:rFonts w:ascii="Times New Roman" w:hAnsi="Times New Roman" w:cs="Times New Roman"/>
          <w:sz w:val="19"/>
          <w:szCs w:val="19"/>
        </w:rPr>
        <w:t>) &lt;</w:t>
      </w:r>
      <w:hyperlink r:id="rId2" w:history="1">
        <w:r w:rsidRPr="00DC7A14">
          <w:rPr>
            <w:rStyle w:val="Hyperlink"/>
            <w:rFonts w:ascii="Times New Roman" w:hAnsi="Times New Roman" w:cs="Times New Roman"/>
            <w:sz w:val="19"/>
            <w:szCs w:val="19"/>
          </w:rPr>
          <w:t>https://www.ag.gov.au/integrity/consultations/review-privacy-act-1988</w:t>
        </w:r>
      </w:hyperlink>
      <w:r w:rsidR="007258CD" w:rsidRPr="00DC7A14">
        <w:rPr>
          <w:rFonts w:ascii="Times New Roman" w:hAnsi="Times New Roman" w:cs="Times New Roman"/>
          <w:sz w:val="19"/>
          <w:szCs w:val="19"/>
        </w:rPr>
        <w:t>&gt;</w:t>
      </w:r>
      <w:r w:rsidRPr="00DC7A14">
        <w:rPr>
          <w:rFonts w:ascii="Times New Roman" w:hAnsi="Times New Roman" w:cs="Times New Roman"/>
          <w:sz w:val="19"/>
          <w:szCs w:val="19"/>
        </w:rPr>
        <w:t xml:space="preserve">. </w:t>
      </w:r>
    </w:p>
  </w:footnote>
  <w:footnote w:id="29">
    <w:p w14:paraId="4895B65C" w14:textId="6C821B8C" w:rsidR="00C81C70" w:rsidRPr="00C44BB0" w:rsidRDefault="00C81C70">
      <w:pPr>
        <w:pStyle w:val="FootnoteText"/>
        <w:rPr>
          <w:rFonts w:ascii="Times New Roman" w:hAnsi="Times New Roman" w:cs="Times New Roman"/>
          <w:sz w:val="19"/>
          <w:szCs w:val="19"/>
        </w:rPr>
      </w:pPr>
      <w:r w:rsidRPr="00C44BB0">
        <w:rPr>
          <w:rStyle w:val="FootnoteReference"/>
          <w:rFonts w:ascii="Times New Roman" w:hAnsi="Times New Roman" w:cs="Times New Roman"/>
          <w:sz w:val="19"/>
          <w:szCs w:val="19"/>
        </w:rPr>
        <w:footnoteRef/>
      </w:r>
      <w:r w:rsidRPr="00C44BB0">
        <w:rPr>
          <w:rFonts w:ascii="Times New Roman" w:hAnsi="Times New Roman" w:cs="Times New Roman"/>
          <w:sz w:val="19"/>
          <w:szCs w:val="19"/>
        </w:rPr>
        <w:t xml:space="preserve"> Attorney-General’s Department</w:t>
      </w:r>
      <w:r w:rsidR="00D040BC">
        <w:rPr>
          <w:rFonts w:ascii="Times New Roman" w:hAnsi="Times New Roman" w:cs="Times New Roman"/>
          <w:sz w:val="19"/>
          <w:szCs w:val="19"/>
        </w:rPr>
        <w:t xml:space="preserve">, </w:t>
      </w:r>
      <w:r w:rsidR="00D040BC">
        <w:rPr>
          <w:rFonts w:ascii="Times New Roman" w:hAnsi="Times New Roman" w:cs="Times New Roman"/>
          <w:i/>
          <w:iCs/>
          <w:sz w:val="19"/>
          <w:szCs w:val="19"/>
        </w:rPr>
        <w:t>Privacy Act Review</w:t>
      </w:r>
      <w:r w:rsidR="004B7E9F">
        <w:rPr>
          <w:rFonts w:ascii="Times New Roman" w:hAnsi="Times New Roman" w:cs="Times New Roman"/>
          <w:i/>
          <w:iCs/>
          <w:sz w:val="19"/>
          <w:szCs w:val="19"/>
        </w:rPr>
        <w:t>: Report 2022</w:t>
      </w:r>
      <w:r w:rsidR="00D040BC">
        <w:rPr>
          <w:rFonts w:ascii="Times New Roman" w:hAnsi="Times New Roman" w:cs="Times New Roman"/>
          <w:i/>
          <w:iCs/>
          <w:sz w:val="19"/>
          <w:szCs w:val="19"/>
        </w:rPr>
        <w:t xml:space="preserve"> </w:t>
      </w:r>
      <w:r w:rsidR="00D040BC">
        <w:rPr>
          <w:rFonts w:ascii="Times New Roman" w:hAnsi="Times New Roman" w:cs="Times New Roman"/>
          <w:sz w:val="19"/>
          <w:szCs w:val="19"/>
        </w:rPr>
        <w:t xml:space="preserve">(Report, </w:t>
      </w:r>
      <w:r w:rsidR="004B7E9F">
        <w:rPr>
          <w:rFonts w:ascii="Times New Roman" w:hAnsi="Times New Roman" w:cs="Times New Roman"/>
          <w:sz w:val="19"/>
          <w:szCs w:val="19"/>
        </w:rPr>
        <w:t>February 2023).</w:t>
      </w:r>
    </w:p>
  </w:footnote>
  <w:footnote w:id="30">
    <w:p w14:paraId="35F05E59" w14:textId="22C44A6A" w:rsidR="00D761C6" w:rsidRPr="00DC7A14" w:rsidRDefault="00D761C6" w:rsidP="00AE773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Regulation (EU) 2016/679 of the European Parliament and of the Council of 27 April 2016 on the </w:t>
      </w:r>
      <w:r w:rsidR="001E4A11" w:rsidRPr="00DC7A14">
        <w:rPr>
          <w:rFonts w:ascii="Times New Roman" w:hAnsi="Times New Roman" w:cs="Times New Roman"/>
          <w:i/>
          <w:iCs/>
          <w:sz w:val="19"/>
          <w:szCs w:val="19"/>
        </w:rPr>
        <w:t>P</w:t>
      </w:r>
      <w:r w:rsidRPr="00DC7A14">
        <w:rPr>
          <w:rFonts w:ascii="Times New Roman" w:hAnsi="Times New Roman" w:cs="Times New Roman"/>
          <w:i/>
          <w:iCs/>
          <w:sz w:val="19"/>
          <w:szCs w:val="19"/>
        </w:rPr>
        <w:t xml:space="preserve">rotection of </w:t>
      </w:r>
      <w:r w:rsidR="001E4A11" w:rsidRPr="00DC7A14">
        <w:rPr>
          <w:rFonts w:ascii="Times New Roman" w:hAnsi="Times New Roman" w:cs="Times New Roman"/>
          <w:i/>
          <w:iCs/>
          <w:sz w:val="19"/>
          <w:szCs w:val="19"/>
        </w:rPr>
        <w:t>N</w:t>
      </w:r>
      <w:r w:rsidRPr="00DC7A14">
        <w:rPr>
          <w:rFonts w:ascii="Times New Roman" w:hAnsi="Times New Roman" w:cs="Times New Roman"/>
          <w:i/>
          <w:iCs/>
          <w:sz w:val="19"/>
          <w:szCs w:val="19"/>
        </w:rPr>
        <w:t xml:space="preserve">atural </w:t>
      </w:r>
      <w:r w:rsidR="001E4A11" w:rsidRPr="00DC7A14">
        <w:rPr>
          <w:rFonts w:ascii="Times New Roman" w:hAnsi="Times New Roman" w:cs="Times New Roman"/>
          <w:i/>
          <w:iCs/>
          <w:sz w:val="19"/>
          <w:szCs w:val="19"/>
        </w:rPr>
        <w:t>P</w:t>
      </w:r>
      <w:r w:rsidRPr="00DC7A14">
        <w:rPr>
          <w:rFonts w:ascii="Times New Roman" w:hAnsi="Times New Roman" w:cs="Times New Roman"/>
          <w:i/>
          <w:iCs/>
          <w:sz w:val="19"/>
          <w:szCs w:val="19"/>
        </w:rPr>
        <w:t xml:space="preserve">ersons with regard to the </w:t>
      </w:r>
      <w:r w:rsidR="001E4A11" w:rsidRPr="00DC7A14">
        <w:rPr>
          <w:rFonts w:ascii="Times New Roman" w:hAnsi="Times New Roman" w:cs="Times New Roman"/>
          <w:i/>
          <w:iCs/>
          <w:sz w:val="19"/>
          <w:szCs w:val="19"/>
        </w:rPr>
        <w:t>P</w:t>
      </w:r>
      <w:r w:rsidRPr="00DC7A14">
        <w:rPr>
          <w:rFonts w:ascii="Times New Roman" w:hAnsi="Times New Roman" w:cs="Times New Roman"/>
          <w:i/>
          <w:iCs/>
          <w:sz w:val="19"/>
          <w:szCs w:val="19"/>
        </w:rPr>
        <w:t xml:space="preserve">rocessing of </w:t>
      </w:r>
      <w:r w:rsidR="001E4A11" w:rsidRPr="00DC7A14">
        <w:rPr>
          <w:rFonts w:ascii="Times New Roman" w:hAnsi="Times New Roman" w:cs="Times New Roman"/>
          <w:i/>
          <w:iCs/>
          <w:sz w:val="19"/>
          <w:szCs w:val="19"/>
        </w:rPr>
        <w:t>P</w:t>
      </w:r>
      <w:r w:rsidRPr="00DC7A14">
        <w:rPr>
          <w:rFonts w:ascii="Times New Roman" w:hAnsi="Times New Roman" w:cs="Times New Roman"/>
          <w:i/>
          <w:iCs/>
          <w:sz w:val="19"/>
          <w:szCs w:val="19"/>
        </w:rPr>
        <w:t xml:space="preserve">ersonal </w:t>
      </w:r>
      <w:r w:rsidR="001E4A11" w:rsidRPr="00DC7A14">
        <w:rPr>
          <w:rFonts w:ascii="Times New Roman" w:hAnsi="Times New Roman" w:cs="Times New Roman"/>
          <w:i/>
          <w:iCs/>
          <w:sz w:val="19"/>
          <w:szCs w:val="19"/>
        </w:rPr>
        <w:t>D</w:t>
      </w:r>
      <w:r w:rsidRPr="00DC7A14">
        <w:rPr>
          <w:rFonts w:ascii="Times New Roman" w:hAnsi="Times New Roman" w:cs="Times New Roman"/>
          <w:i/>
          <w:iCs/>
          <w:sz w:val="19"/>
          <w:szCs w:val="19"/>
        </w:rPr>
        <w:t xml:space="preserve">ata and on the </w:t>
      </w:r>
      <w:r w:rsidR="001E4A11" w:rsidRPr="00DC7A14">
        <w:rPr>
          <w:rFonts w:ascii="Times New Roman" w:hAnsi="Times New Roman" w:cs="Times New Roman"/>
          <w:i/>
          <w:iCs/>
          <w:sz w:val="19"/>
          <w:szCs w:val="19"/>
        </w:rPr>
        <w:t>F</w:t>
      </w:r>
      <w:r w:rsidRPr="00DC7A14">
        <w:rPr>
          <w:rFonts w:ascii="Times New Roman" w:hAnsi="Times New Roman" w:cs="Times New Roman"/>
          <w:i/>
          <w:iCs/>
          <w:sz w:val="19"/>
          <w:szCs w:val="19"/>
        </w:rPr>
        <w:t xml:space="preserve">ree </w:t>
      </w:r>
      <w:r w:rsidR="001E4A11" w:rsidRPr="00DC7A14">
        <w:rPr>
          <w:rFonts w:ascii="Times New Roman" w:hAnsi="Times New Roman" w:cs="Times New Roman"/>
          <w:i/>
          <w:iCs/>
          <w:sz w:val="19"/>
          <w:szCs w:val="19"/>
        </w:rPr>
        <w:t>M</w:t>
      </w:r>
      <w:r w:rsidRPr="00DC7A14">
        <w:rPr>
          <w:rFonts w:ascii="Times New Roman" w:hAnsi="Times New Roman" w:cs="Times New Roman"/>
          <w:i/>
          <w:iCs/>
          <w:sz w:val="19"/>
          <w:szCs w:val="19"/>
        </w:rPr>
        <w:t xml:space="preserve">ovement of such </w:t>
      </w:r>
      <w:r w:rsidR="001E4A11" w:rsidRPr="00DC7A14">
        <w:rPr>
          <w:rFonts w:ascii="Times New Roman" w:hAnsi="Times New Roman" w:cs="Times New Roman"/>
          <w:i/>
          <w:iCs/>
          <w:sz w:val="19"/>
          <w:szCs w:val="19"/>
        </w:rPr>
        <w:t>D</w:t>
      </w:r>
      <w:r w:rsidRPr="00DC7A14">
        <w:rPr>
          <w:rFonts w:ascii="Times New Roman" w:hAnsi="Times New Roman" w:cs="Times New Roman"/>
          <w:i/>
          <w:iCs/>
          <w:sz w:val="19"/>
          <w:szCs w:val="19"/>
        </w:rPr>
        <w:t xml:space="preserve">ata, and </w:t>
      </w:r>
      <w:r w:rsidR="00961EEA" w:rsidRPr="00DC7A14">
        <w:rPr>
          <w:rFonts w:ascii="Times New Roman" w:hAnsi="Times New Roman" w:cs="Times New Roman"/>
          <w:i/>
          <w:iCs/>
          <w:sz w:val="19"/>
          <w:szCs w:val="19"/>
        </w:rPr>
        <w:t>R</w:t>
      </w:r>
      <w:r w:rsidRPr="00DC7A14">
        <w:rPr>
          <w:rFonts w:ascii="Times New Roman" w:hAnsi="Times New Roman" w:cs="Times New Roman"/>
          <w:i/>
          <w:iCs/>
          <w:sz w:val="19"/>
          <w:szCs w:val="19"/>
        </w:rPr>
        <w:t>epealing Directive 95/46/EC (General Data Protection Regulation)</w:t>
      </w:r>
      <w:r w:rsidR="005B7EDF" w:rsidRPr="00DC7A14">
        <w:rPr>
          <w:rFonts w:ascii="Times New Roman" w:hAnsi="Times New Roman" w:cs="Times New Roman"/>
          <w:sz w:val="19"/>
          <w:szCs w:val="19"/>
        </w:rPr>
        <w:t xml:space="preserve"> [2016]</w:t>
      </w:r>
      <w:r w:rsidRPr="00DC7A14">
        <w:rPr>
          <w:rFonts w:ascii="Times New Roman" w:hAnsi="Times New Roman" w:cs="Times New Roman"/>
          <w:sz w:val="19"/>
          <w:szCs w:val="19"/>
        </w:rPr>
        <w:t xml:space="preserve"> OJ L 119/1 (‘GDPR’).</w:t>
      </w:r>
    </w:p>
  </w:footnote>
  <w:footnote w:id="31">
    <w:p w14:paraId="4A8C33C6" w14:textId="06A907E1" w:rsidR="003A769C" w:rsidRPr="00DC7A14" w:rsidRDefault="003A769C" w:rsidP="003A769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European Commission, </w:t>
      </w:r>
      <w:r w:rsidR="00E911CF" w:rsidRPr="00DC7A14">
        <w:rPr>
          <w:rFonts w:ascii="Times New Roman" w:hAnsi="Times New Roman" w:cs="Times New Roman"/>
          <w:sz w:val="19"/>
          <w:szCs w:val="19"/>
        </w:rPr>
        <w:t>'</w:t>
      </w:r>
      <w:r w:rsidRPr="00DC7A14">
        <w:rPr>
          <w:rFonts w:ascii="Times New Roman" w:hAnsi="Times New Roman" w:cs="Times New Roman"/>
          <w:iCs/>
          <w:sz w:val="19"/>
          <w:szCs w:val="19"/>
        </w:rPr>
        <w:t xml:space="preserve">Joint Statement on the </w:t>
      </w:r>
      <w:r w:rsidR="00F820B9" w:rsidRPr="00DC7A14">
        <w:rPr>
          <w:rFonts w:ascii="Times New Roman" w:hAnsi="Times New Roman" w:cs="Times New Roman"/>
          <w:iCs/>
          <w:sz w:val="19"/>
          <w:szCs w:val="19"/>
        </w:rPr>
        <w:t>F</w:t>
      </w:r>
      <w:r w:rsidRPr="00DC7A14">
        <w:rPr>
          <w:rFonts w:ascii="Times New Roman" w:hAnsi="Times New Roman" w:cs="Times New Roman"/>
          <w:iCs/>
          <w:sz w:val="19"/>
          <w:szCs w:val="19"/>
        </w:rPr>
        <w:t xml:space="preserve">inal </w:t>
      </w:r>
      <w:r w:rsidR="00F820B9" w:rsidRPr="00DC7A14">
        <w:rPr>
          <w:rFonts w:ascii="Times New Roman" w:hAnsi="Times New Roman" w:cs="Times New Roman"/>
          <w:iCs/>
          <w:sz w:val="19"/>
          <w:szCs w:val="19"/>
        </w:rPr>
        <w:t>A</w:t>
      </w:r>
      <w:r w:rsidRPr="00DC7A14">
        <w:rPr>
          <w:rFonts w:ascii="Times New Roman" w:hAnsi="Times New Roman" w:cs="Times New Roman"/>
          <w:iCs/>
          <w:sz w:val="19"/>
          <w:szCs w:val="19"/>
        </w:rPr>
        <w:t xml:space="preserve">doption of the </w:t>
      </w:r>
      <w:r w:rsidR="00DC31B2" w:rsidRPr="00DC7A14">
        <w:rPr>
          <w:rFonts w:ascii="Times New Roman" w:hAnsi="Times New Roman" w:cs="Times New Roman"/>
          <w:iCs/>
          <w:sz w:val="19"/>
          <w:szCs w:val="19"/>
        </w:rPr>
        <w:t>N</w:t>
      </w:r>
      <w:r w:rsidRPr="00DC7A14">
        <w:rPr>
          <w:rFonts w:ascii="Times New Roman" w:hAnsi="Times New Roman" w:cs="Times New Roman"/>
          <w:iCs/>
          <w:sz w:val="19"/>
          <w:szCs w:val="19"/>
        </w:rPr>
        <w:t xml:space="preserve">ew EU </w:t>
      </w:r>
      <w:r w:rsidR="00DC31B2" w:rsidRPr="00DC7A14">
        <w:rPr>
          <w:rFonts w:ascii="Times New Roman" w:hAnsi="Times New Roman" w:cs="Times New Roman"/>
          <w:iCs/>
          <w:sz w:val="19"/>
          <w:szCs w:val="19"/>
        </w:rPr>
        <w:t>R</w:t>
      </w:r>
      <w:r w:rsidRPr="00DC7A14">
        <w:rPr>
          <w:rFonts w:ascii="Times New Roman" w:hAnsi="Times New Roman" w:cs="Times New Roman"/>
          <w:iCs/>
          <w:sz w:val="19"/>
          <w:szCs w:val="19"/>
        </w:rPr>
        <w:t xml:space="preserve">ules for </w:t>
      </w:r>
      <w:r w:rsidR="00DC31B2" w:rsidRPr="00DC7A14">
        <w:rPr>
          <w:rFonts w:ascii="Times New Roman" w:hAnsi="Times New Roman" w:cs="Times New Roman"/>
          <w:iCs/>
          <w:sz w:val="19"/>
          <w:szCs w:val="19"/>
        </w:rPr>
        <w:t>P</w:t>
      </w:r>
      <w:r w:rsidRPr="00DC7A14">
        <w:rPr>
          <w:rFonts w:ascii="Times New Roman" w:hAnsi="Times New Roman" w:cs="Times New Roman"/>
          <w:iCs/>
          <w:sz w:val="19"/>
          <w:szCs w:val="19"/>
        </w:rPr>
        <w:t xml:space="preserve">ersonal </w:t>
      </w:r>
      <w:r w:rsidR="00DC31B2" w:rsidRPr="00DC7A14">
        <w:rPr>
          <w:rFonts w:ascii="Times New Roman" w:hAnsi="Times New Roman" w:cs="Times New Roman"/>
          <w:iCs/>
          <w:sz w:val="19"/>
          <w:szCs w:val="19"/>
        </w:rPr>
        <w:t>D</w:t>
      </w:r>
      <w:r w:rsidRPr="00DC7A14">
        <w:rPr>
          <w:rFonts w:ascii="Times New Roman" w:hAnsi="Times New Roman" w:cs="Times New Roman"/>
          <w:iCs/>
          <w:sz w:val="19"/>
          <w:szCs w:val="19"/>
        </w:rPr>
        <w:t xml:space="preserve">ata </w:t>
      </w:r>
      <w:r w:rsidR="00DC31B2" w:rsidRPr="00DC7A14">
        <w:rPr>
          <w:rFonts w:ascii="Times New Roman" w:hAnsi="Times New Roman" w:cs="Times New Roman"/>
          <w:iCs/>
          <w:sz w:val="19"/>
          <w:szCs w:val="19"/>
        </w:rPr>
        <w:t>P</w:t>
      </w:r>
      <w:r w:rsidRPr="00DC7A14">
        <w:rPr>
          <w:rFonts w:ascii="Times New Roman" w:hAnsi="Times New Roman" w:cs="Times New Roman"/>
          <w:iCs/>
          <w:sz w:val="19"/>
          <w:szCs w:val="19"/>
        </w:rPr>
        <w:t>rotection</w:t>
      </w:r>
      <w:r w:rsidR="00E911CF" w:rsidRPr="00DC7A14">
        <w:rPr>
          <w:rFonts w:ascii="Times New Roman" w:hAnsi="Times New Roman" w:cs="Times New Roman"/>
          <w:iCs/>
          <w:sz w:val="19"/>
          <w:szCs w:val="19"/>
        </w:rPr>
        <w:t>’</w:t>
      </w:r>
      <w:r w:rsidR="00DC31B2" w:rsidRPr="00DC7A14">
        <w:rPr>
          <w:rFonts w:ascii="Times New Roman" w:hAnsi="Times New Roman" w:cs="Times New Roman"/>
          <w:sz w:val="19"/>
          <w:szCs w:val="19"/>
        </w:rPr>
        <w:t xml:space="preserve"> (Press Release</w:t>
      </w:r>
      <w:r w:rsidRPr="00DC7A14">
        <w:rPr>
          <w:rFonts w:ascii="Times New Roman" w:hAnsi="Times New Roman" w:cs="Times New Roman"/>
          <w:sz w:val="19"/>
          <w:szCs w:val="19"/>
        </w:rPr>
        <w:t>, 14 April 2016</w:t>
      </w:r>
      <w:r w:rsidR="00DC31B2"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32">
    <w:p w14:paraId="7FAB0533" w14:textId="702C0F7F" w:rsidR="003A769C" w:rsidRPr="00DC7A14" w:rsidRDefault="003A769C" w:rsidP="003A769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Charter of Fundamental Rights of the European Union</w:t>
      </w:r>
      <w:r w:rsidR="00CB2486" w:rsidRPr="00DC7A14">
        <w:rPr>
          <w:rFonts w:ascii="Times New Roman" w:hAnsi="Times New Roman" w:cs="Times New Roman"/>
          <w:i/>
          <w:iCs/>
          <w:sz w:val="19"/>
          <w:szCs w:val="19"/>
        </w:rPr>
        <w:t xml:space="preserve"> </w:t>
      </w:r>
      <w:r w:rsidR="00CB2486" w:rsidRPr="00DC7A14">
        <w:rPr>
          <w:rFonts w:ascii="Times New Roman" w:hAnsi="Times New Roman" w:cs="Times New Roman"/>
          <w:sz w:val="19"/>
          <w:szCs w:val="19"/>
        </w:rPr>
        <w:t xml:space="preserve">[2012] OJ C </w:t>
      </w:r>
      <w:r w:rsidRPr="00DC7A14">
        <w:rPr>
          <w:rFonts w:ascii="Times New Roman" w:hAnsi="Times New Roman" w:cs="Times New Roman"/>
          <w:sz w:val="19"/>
          <w:szCs w:val="19"/>
        </w:rPr>
        <w:t xml:space="preserve">326/02. </w:t>
      </w:r>
    </w:p>
  </w:footnote>
  <w:footnote w:id="33">
    <w:p w14:paraId="736BEB20" w14:textId="0F5090EB" w:rsidR="003A769C" w:rsidRPr="00DC7A14" w:rsidRDefault="003A769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164EF9">
        <w:rPr>
          <w:rFonts w:ascii="Times New Roman" w:hAnsi="Times New Roman" w:cs="Times New Roman"/>
          <w:sz w:val="19"/>
          <w:szCs w:val="19"/>
        </w:rPr>
        <w:t>GDPR</w:t>
      </w:r>
      <w:r w:rsidRPr="00681869">
        <w:rPr>
          <w:rFonts w:ascii="Times New Roman" w:hAnsi="Times New Roman" w:cs="Times New Roman"/>
          <w:sz w:val="19"/>
          <w:szCs w:val="19"/>
        </w:rPr>
        <w:t xml:space="preserve"> </w:t>
      </w:r>
      <w:r w:rsidR="00C57306" w:rsidRPr="00DC7A14">
        <w:rPr>
          <w:rFonts w:ascii="Times New Roman" w:hAnsi="Times New Roman" w:cs="Times New Roman"/>
          <w:sz w:val="19"/>
          <w:szCs w:val="19"/>
        </w:rPr>
        <w:t xml:space="preserve">(n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_Ref91746333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FB4AB5" w:rsidRPr="00DC7A14">
        <w:rPr>
          <w:rFonts w:ascii="Times New Roman" w:hAnsi="Times New Roman" w:cs="Times New Roman"/>
          <w:sz w:val="19"/>
          <w:szCs w:val="19"/>
        </w:rPr>
        <w:fldChar w:fldCharType="end"/>
      </w:r>
      <w:r w:rsidR="00C57306" w:rsidRPr="00DC7A14">
        <w:rPr>
          <w:rFonts w:ascii="Times New Roman" w:hAnsi="Times New Roman" w:cs="Times New Roman"/>
          <w:sz w:val="19"/>
          <w:szCs w:val="19"/>
        </w:rPr>
        <w:t xml:space="preserve">) </w:t>
      </w:r>
      <w:r w:rsidRPr="00DC7A14">
        <w:rPr>
          <w:rFonts w:ascii="Times New Roman" w:hAnsi="Times New Roman" w:cs="Times New Roman"/>
          <w:sz w:val="19"/>
          <w:szCs w:val="19"/>
        </w:rPr>
        <w:t>art 3.</w:t>
      </w:r>
    </w:p>
  </w:footnote>
  <w:footnote w:id="34">
    <w:p w14:paraId="3B0A80DC" w14:textId="0819318F" w:rsidR="005400D9" w:rsidRPr="00DC7A14" w:rsidRDefault="005400D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Under the GDPR, personal data can only be transferred outside the EU to countries or organisations that provide an adequate level of privacy protection. However, as Australia has not been designated as meeting this requirement, transfers of personal data are conditioned on the enforceability of individual rights within the GDPR and availability of effective remedies: </w:t>
      </w:r>
      <w:r w:rsidR="007B6E72" w:rsidRPr="00164EF9">
        <w:rPr>
          <w:rFonts w:ascii="Times New Roman" w:hAnsi="Times New Roman" w:cs="Times New Roman"/>
          <w:sz w:val="19"/>
          <w:szCs w:val="19"/>
        </w:rPr>
        <w:t>GDPR</w:t>
      </w:r>
      <w:r w:rsidR="007B6E72" w:rsidRPr="00681869">
        <w:rPr>
          <w:rFonts w:ascii="Times New Roman" w:hAnsi="Times New Roman" w:cs="Times New Roman"/>
          <w:sz w:val="19"/>
          <w:szCs w:val="19"/>
        </w:rPr>
        <w:t xml:space="preserve"> (</w:t>
      </w:r>
      <w:r w:rsidR="007B6E72" w:rsidRPr="00DC7A14">
        <w:rPr>
          <w:rFonts w:ascii="Times New Roman" w:hAnsi="Times New Roman" w:cs="Times New Roman"/>
          <w:sz w:val="19"/>
          <w:szCs w:val="19"/>
        </w:rPr>
        <w:t xml:space="preserve">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_Ref91746333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FB4AB5" w:rsidRPr="00DC7A14">
        <w:rPr>
          <w:rFonts w:ascii="Times New Roman" w:hAnsi="Times New Roman" w:cs="Times New Roman"/>
          <w:sz w:val="19"/>
          <w:szCs w:val="19"/>
        </w:rPr>
        <w:fldChar w:fldCharType="end"/>
      </w:r>
      <w:r w:rsidR="007B6E72" w:rsidRPr="00DC7A14">
        <w:rPr>
          <w:rFonts w:ascii="Times New Roman" w:hAnsi="Times New Roman" w:cs="Times New Roman"/>
          <w:sz w:val="19"/>
          <w:szCs w:val="19"/>
        </w:rPr>
        <w:t xml:space="preserve">) </w:t>
      </w:r>
      <w:r w:rsidRPr="00DC7A14">
        <w:rPr>
          <w:rFonts w:ascii="Times New Roman" w:hAnsi="Times New Roman" w:cs="Times New Roman"/>
          <w:sz w:val="19"/>
          <w:szCs w:val="19"/>
        </w:rPr>
        <w:t>art</w:t>
      </w:r>
      <w:r w:rsidR="007B6E72" w:rsidRPr="00DC7A14">
        <w:rPr>
          <w:rFonts w:ascii="Times New Roman" w:hAnsi="Times New Roman" w:cs="Times New Roman"/>
          <w:sz w:val="19"/>
          <w:szCs w:val="19"/>
        </w:rPr>
        <w:t>s</w:t>
      </w:r>
      <w:r w:rsidRPr="00DC7A14">
        <w:rPr>
          <w:rFonts w:ascii="Times New Roman" w:hAnsi="Times New Roman" w:cs="Times New Roman"/>
          <w:sz w:val="19"/>
          <w:szCs w:val="19"/>
        </w:rPr>
        <w:t xml:space="preserve"> 45</w:t>
      </w:r>
      <w:r w:rsidR="006B5CD5" w:rsidRPr="00DC7A14">
        <w:rPr>
          <w:rFonts w:ascii="Times New Roman" w:hAnsi="Times New Roman" w:cs="Times New Roman"/>
          <w:sz w:val="19"/>
          <w:szCs w:val="19"/>
        </w:rPr>
        <w:t xml:space="preserve">, </w:t>
      </w:r>
      <w:r w:rsidRPr="00DC7A14">
        <w:rPr>
          <w:rFonts w:ascii="Times New Roman" w:hAnsi="Times New Roman" w:cs="Times New Roman"/>
          <w:sz w:val="19"/>
          <w:szCs w:val="19"/>
        </w:rPr>
        <w:t>46.</w:t>
      </w:r>
    </w:p>
  </w:footnote>
  <w:footnote w:id="35">
    <w:p w14:paraId="550895E7" w14:textId="0E48FBA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OAIC</w:t>
      </w:r>
      <w:r w:rsidR="0063479D"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63479D" w:rsidRPr="00DC7A14">
        <w:rPr>
          <w:rFonts w:ascii="Times New Roman" w:hAnsi="Times New Roman" w:cs="Times New Roman"/>
          <w:i/>
          <w:iCs/>
          <w:sz w:val="19"/>
          <w:szCs w:val="19"/>
        </w:rPr>
        <w:t>Submission to Privacy Act Review</w:t>
      </w:r>
      <w:r w:rsidR="0063479D" w:rsidRPr="00DC7A14" w:rsidDel="0063479D">
        <w:rPr>
          <w:rFonts w:ascii="Times New Roman" w:hAnsi="Times New Roman" w:cs="Times New Roman"/>
          <w:sz w:val="19"/>
          <w:szCs w:val="19"/>
        </w:rPr>
        <w:t xml:space="preserve"> </w:t>
      </w:r>
      <w:r w:rsidRPr="00DC7A14">
        <w:rPr>
          <w:rFonts w:ascii="Times New Roman" w:hAnsi="Times New Roman" w:cs="Times New Roman"/>
          <w:sz w:val="19"/>
          <w:szCs w:val="19"/>
        </w:rPr>
        <w:t>(n</w:t>
      </w:r>
      <w:r w:rsidR="0063479D" w:rsidRPr="00DC7A14">
        <w:rPr>
          <w:rFonts w:ascii="Times New Roman" w:hAnsi="Times New Roman" w:cs="Times New Roman"/>
          <w:sz w:val="19"/>
          <w:szCs w:val="19"/>
        </w:rPr>
        <w:t xml:space="preserve">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_Ref85809175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 [8.36].</w:t>
      </w:r>
    </w:p>
  </w:footnote>
  <w:footnote w:id="36">
    <w:p w14:paraId="0C07BA2F" w14:textId="786B6048" w:rsidR="008F5EA2" w:rsidRPr="00DC7A14" w:rsidRDefault="008F5EA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E098E" w:rsidRPr="00DC7A14">
        <w:rPr>
          <w:rFonts w:ascii="Times New Roman" w:hAnsi="Times New Roman" w:cs="Times New Roman"/>
          <w:sz w:val="19"/>
          <w:szCs w:val="19"/>
        </w:rPr>
        <w:t xml:space="preserve">See, eg, </w:t>
      </w:r>
      <w:r w:rsidR="00855086" w:rsidRPr="00DC7A14">
        <w:rPr>
          <w:rFonts w:ascii="Times New Roman" w:hAnsi="Times New Roman" w:cs="Times New Roman"/>
          <w:sz w:val="19"/>
          <w:szCs w:val="19"/>
        </w:rPr>
        <w:t xml:space="preserve">the </w:t>
      </w:r>
      <w:r w:rsidR="00855086" w:rsidRPr="00DC7A14">
        <w:rPr>
          <w:rFonts w:ascii="Times New Roman" w:hAnsi="Times New Roman" w:cs="Times New Roman"/>
          <w:i/>
          <w:iCs/>
          <w:sz w:val="19"/>
          <w:szCs w:val="19"/>
        </w:rPr>
        <w:t>California Consumer Privacy Act</w:t>
      </w:r>
      <w:r w:rsidR="00855086" w:rsidRPr="00DC7A14">
        <w:rPr>
          <w:rFonts w:ascii="Times New Roman" w:hAnsi="Times New Roman" w:cs="Times New Roman"/>
          <w:sz w:val="19"/>
          <w:szCs w:val="19"/>
        </w:rPr>
        <w:t xml:space="preserve">: </w:t>
      </w:r>
      <w:r w:rsidR="00553C8E" w:rsidRPr="00DC7A14">
        <w:rPr>
          <w:rFonts w:ascii="Times New Roman" w:hAnsi="Times New Roman" w:cs="Times New Roman"/>
          <w:sz w:val="19"/>
          <w:szCs w:val="19"/>
        </w:rPr>
        <w:t xml:space="preserve">Cal </w:t>
      </w:r>
      <w:r w:rsidR="00350EC8" w:rsidRPr="00DC7A14">
        <w:rPr>
          <w:rFonts w:ascii="Times New Roman" w:hAnsi="Times New Roman" w:cs="Times New Roman"/>
          <w:sz w:val="19"/>
          <w:szCs w:val="19"/>
        </w:rPr>
        <w:t>Civ</w:t>
      </w:r>
      <w:r w:rsidR="00553C8E" w:rsidRPr="00DC7A14">
        <w:rPr>
          <w:rFonts w:ascii="Times New Roman" w:hAnsi="Times New Roman" w:cs="Times New Roman"/>
          <w:sz w:val="19"/>
          <w:szCs w:val="19"/>
        </w:rPr>
        <w:t xml:space="preserve"> Code </w:t>
      </w:r>
      <w:r w:rsidR="00083A96" w:rsidRPr="00DC7A14">
        <w:rPr>
          <w:rFonts w:ascii="Times New Roman" w:hAnsi="Times New Roman" w:cs="Times New Roman"/>
          <w:sz w:val="19"/>
          <w:szCs w:val="19"/>
        </w:rPr>
        <w:t xml:space="preserve">§ </w:t>
      </w:r>
      <w:r w:rsidR="00553C8E" w:rsidRPr="00DC7A14">
        <w:rPr>
          <w:rFonts w:ascii="Times New Roman" w:hAnsi="Times New Roman" w:cs="Times New Roman"/>
          <w:sz w:val="19"/>
          <w:szCs w:val="19"/>
        </w:rPr>
        <w:t>1798.100</w:t>
      </w:r>
      <w:r w:rsidR="002E098E" w:rsidRPr="00DC7A14">
        <w:rPr>
          <w:rFonts w:ascii="Times New Roman" w:hAnsi="Times New Roman" w:cs="Times New Roman"/>
          <w:sz w:val="19"/>
          <w:szCs w:val="19"/>
        </w:rPr>
        <w:t xml:space="preserve"> </w:t>
      </w:r>
      <w:r w:rsidR="00F36D73" w:rsidRPr="00DC7A14">
        <w:rPr>
          <w:rFonts w:ascii="Times New Roman" w:hAnsi="Times New Roman" w:cs="Times New Roman"/>
          <w:sz w:val="19"/>
          <w:szCs w:val="19"/>
        </w:rPr>
        <w:t>(</w:t>
      </w:r>
      <w:r w:rsidR="00D33420" w:rsidRPr="00DC7A14">
        <w:rPr>
          <w:rFonts w:ascii="Times New Roman" w:hAnsi="Times New Roman" w:cs="Times New Roman"/>
          <w:sz w:val="19"/>
          <w:szCs w:val="19"/>
        </w:rPr>
        <w:t xml:space="preserve">West </w:t>
      </w:r>
      <w:r w:rsidRPr="00DC7A14">
        <w:rPr>
          <w:rFonts w:ascii="Times New Roman" w:hAnsi="Times New Roman" w:cs="Times New Roman"/>
          <w:sz w:val="19"/>
          <w:szCs w:val="19"/>
        </w:rPr>
        <w:t>2018</w:t>
      </w:r>
      <w:r w:rsidR="00F36D73"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37">
    <w:p w14:paraId="3BD8F2C4" w14:textId="69958072"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1E5EBE"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00204354" w:rsidRPr="00DC7A14">
        <w:rPr>
          <w:rFonts w:ascii="Times New Roman" w:hAnsi="Times New Roman" w:cs="Times New Roman"/>
          <w:sz w:val="19"/>
          <w:szCs w:val="19"/>
        </w:rPr>
        <w:t xml:space="preserve">OAIC, </w:t>
      </w:r>
      <w:r w:rsidR="00204354" w:rsidRPr="00DC7A14">
        <w:rPr>
          <w:rFonts w:ascii="Times New Roman" w:hAnsi="Times New Roman" w:cs="Times New Roman"/>
          <w:i/>
          <w:iCs/>
          <w:sz w:val="19"/>
          <w:szCs w:val="19"/>
        </w:rPr>
        <w:t>Submission to Privacy Act Review</w:t>
      </w:r>
      <w:r w:rsidR="00204354" w:rsidRPr="00DC7A14" w:rsidDel="0063479D">
        <w:rPr>
          <w:rFonts w:ascii="Times New Roman" w:hAnsi="Times New Roman" w:cs="Times New Roman"/>
          <w:sz w:val="19"/>
          <w:szCs w:val="19"/>
        </w:rPr>
        <w:t xml:space="preserve"> </w:t>
      </w:r>
      <w:r w:rsidR="00204354" w:rsidRPr="00DC7A14">
        <w:rPr>
          <w:rFonts w:ascii="Times New Roman" w:hAnsi="Times New Roman" w:cs="Times New Roman"/>
          <w:sz w:val="19"/>
          <w:szCs w:val="19"/>
        </w:rPr>
        <w:t xml:space="preserve">(n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_Ref85809175 \h </w:instrText>
      </w:r>
      <w:r w:rsidR="00A20122"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FB4AB5" w:rsidRPr="00DC7A14">
        <w:rPr>
          <w:rFonts w:ascii="Times New Roman" w:hAnsi="Times New Roman" w:cs="Times New Roman"/>
          <w:sz w:val="19"/>
          <w:szCs w:val="19"/>
        </w:rPr>
        <w:fldChar w:fldCharType="end"/>
      </w:r>
      <w:r w:rsidR="00204354" w:rsidRPr="00DC7A14">
        <w:rPr>
          <w:rFonts w:ascii="Times New Roman" w:hAnsi="Times New Roman" w:cs="Times New Roman"/>
          <w:sz w:val="19"/>
          <w:szCs w:val="19"/>
        </w:rPr>
        <w:t>)</w:t>
      </w:r>
      <w:r w:rsidRPr="00DC7A14">
        <w:rPr>
          <w:rFonts w:ascii="Times New Roman" w:hAnsi="Times New Roman" w:cs="Times New Roman"/>
          <w:sz w:val="19"/>
          <w:szCs w:val="19"/>
        </w:rPr>
        <w:t xml:space="preserve"> 116.</w:t>
      </w:r>
    </w:p>
  </w:footnote>
  <w:footnote w:id="38">
    <w:p w14:paraId="29DDA7C2" w14:textId="4789CCD0"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B01F3E" w:rsidRPr="00DC7A14">
        <w:rPr>
          <w:rFonts w:ascii="Times New Roman" w:hAnsi="Times New Roman" w:cs="Times New Roman"/>
          <w:sz w:val="19"/>
          <w:szCs w:val="19"/>
        </w:rPr>
        <w:t xml:space="preserve">Tasmania, </w:t>
      </w:r>
      <w:r w:rsidR="00B01F3E" w:rsidRPr="00DC7A14">
        <w:rPr>
          <w:rFonts w:ascii="Times New Roman" w:hAnsi="Times New Roman" w:cs="Times New Roman"/>
          <w:i/>
          <w:iCs/>
          <w:sz w:val="19"/>
          <w:szCs w:val="19"/>
        </w:rPr>
        <w:t>Parliamentary Debates</w:t>
      </w:r>
      <w:r w:rsidR="00B01F3E" w:rsidRPr="00DC7A14">
        <w:rPr>
          <w:rFonts w:ascii="Times New Roman" w:hAnsi="Times New Roman" w:cs="Times New Roman"/>
          <w:sz w:val="19"/>
          <w:szCs w:val="19"/>
        </w:rPr>
        <w:t>, House of Assembly, 20 October 2004, pt 2, 62–4, 96–8</w:t>
      </w:r>
      <w:r w:rsidRPr="00DC7A14">
        <w:rPr>
          <w:rFonts w:ascii="Times New Roman" w:hAnsi="Times New Roman" w:cs="Times New Roman"/>
          <w:sz w:val="19"/>
          <w:szCs w:val="19"/>
        </w:rPr>
        <w:t>.</w:t>
      </w:r>
    </w:p>
  </w:footnote>
  <w:footnote w:id="39">
    <w:p w14:paraId="0D9818AF" w14:textId="0B5E9EB1" w:rsidR="002479E1" w:rsidRPr="00DC7A14" w:rsidRDefault="002479E1" w:rsidP="00B0740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009B2A8E" w:rsidRPr="00DC7A14">
        <w:rPr>
          <w:rFonts w:ascii="Times New Roman" w:hAnsi="Times New Roman" w:cs="Times New Roman"/>
          <w:sz w:val="19"/>
          <w:szCs w:val="19"/>
        </w:rPr>
        <w:t xml:space="preserve"> </w:t>
      </w:r>
      <w:r w:rsidR="00390B7B" w:rsidRPr="00DC7A14">
        <w:rPr>
          <w:rFonts w:ascii="Times New Roman" w:hAnsi="Times New Roman" w:cs="Times New Roman"/>
          <w:sz w:val="19"/>
          <w:szCs w:val="19"/>
        </w:rPr>
        <w:t>See the Second Reading speech for the Personal Information Protection Bill 2004</w:t>
      </w:r>
      <w:r w:rsidR="004155E4">
        <w:rPr>
          <w:rFonts w:ascii="Times New Roman" w:hAnsi="Times New Roman" w:cs="Times New Roman"/>
          <w:sz w:val="19"/>
          <w:szCs w:val="19"/>
        </w:rPr>
        <w:t xml:space="preserve"> (Tas)</w:t>
      </w:r>
      <w:r w:rsidR="00390B7B" w:rsidRPr="00DC7A14">
        <w:rPr>
          <w:rFonts w:ascii="Times New Roman" w:hAnsi="Times New Roman" w:cs="Times New Roman"/>
          <w:sz w:val="19"/>
          <w:szCs w:val="19"/>
        </w:rPr>
        <w:t xml:space="preserve">: </w:t>
      </w:r>
      <w:r w:rsidR="009B2A8E" w:rsidRPr="00DC7A14">
        <w:rPr>
          <w:rFonts w:ascii="Times New Roman" w:hAnsi="Times New Roman" w:cs="Times New Roman"/>
          <w:sz w:val="19"/>
          <w:szCs w:val="19"/>
        </w:rPr>
        <w:t xml:space="preserve">Tasmania, </w:t>
      </w:r>
      <w:r w:rsidR="009B2A8E" w:rsidRPr="00DC7A14">
        <w:rPr>
          <w:rFonts w:ascii="Times New Roman" w:hAnsi="Times New Roman" w:cs="Times New Roman"/>
          <w:i/>
          <w:iCs/>
          <w:sz w:val="19"/>
          <w:szCs w:val="19"/>
        </w:rPr>
        <w:t>Parliamentary Debates</w:t>
      </w:r>
      <w:r w:rsidR="009B2A8E" w:rsidRPr="00DC7A14">
        <w:rPr>
          <w:rFonts w:ascii="Times New Roman" w:hAnsi="Times New Roman" w:cs="Times New Roman"/>
          <w:sz w:val="19"/>
          <w:szCs w:val="19"/>
        </w:rPr>
        <w:t>, House of Assembly, 20 October 2004, 6</w:t>
      </w:r>
      <w:r w:rsidR="00390B7B" w:rsidRPr="00DC7A14">
        <w:rPr>
          <w:rFonts w:ascii="Times New Roman" w:hAnsi="Times New Roman" w:cs="Times New Roman"/>
          <w:sz w:val="19"/>
          <w:szCs w:val="19"/>
        </w:rPr>
        <w:t>3</w:t>
      </w:r>
      <w:r w:rsidR="009B2A8E" w:rsidRPr="00DC7A14">
        <w:rPr>
          <w:rFonts w:ascii="Times New Roman" w:hAnsi="Times New Roman" w:cs="Times New Roman"/>
          <w:sz w:val="19"/>
          <w:szCs w:val="19"/>
        </w:rPr>
        <w:t>.</w:t>
      </w:r>
    </w:p>
  </w:footnote>
  <w:footnote w:id="40">
    <w:p w14:paraId="5529DC41" w14:textId="49234990"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90B7B"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62.</w:t>
      </w:r>
    </w:p>
  </w:footnote>
  <w:footnote w:id="41">
    <w:p w14:paraId="3E24D624" w14:textId="14FC6094" w:rsidR="003B083D" w:rsidRPr="00DC7A14" w:rsidRDefault="003B083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Prescribed in the Act as the Minister for Justice and Industrial Relations: </w:t>
      </w:r>
      <w:r w:rsidR="00B07407" w:rsidRPr="00DC7A14">
        <w:rPr>
          <w:rFonts w:ascii="Times New Roman" w:hAnsi="Times New Roman" w:cs="Times New Roman"/>
          <w:i/>
          <w:iCs/>
          <w:sz w:val="19"/>
          <w:szCs w:val="19"/>
        </w:rPr>
        <w:t>Personal Information Protection Act 2004</w:t>
      </w:r>
      <w:r w:rsidR="00B07407" w:rsidRPr="00DC7A14">
        <w:rPr>
          <w:rFonts w:ascii="Times New Roman" w:hAnsi="Times New Roman" w:cs="Times New Roman"/>
          <w:sz w:val="19"/>
          <w:szCs w:val="19"/>
        </w:rPr>
        <w:t xml:space="preserve"> (Tas)</w:t>
      </w:r>
      <w:r w:rsidR="00DC0D27" w:rsidRPr="00DC7A14">
        <w:rPr>
          <w:rFonts w:ascii="Times New Roman" w:hAnsi="Times New Roman" w:cs="Times New Roman"/>
          <w:sz w:val="19"/>
          <w:szCs w:val="19"/>
        </w:rPr>
        <w:t xml:space="preserve"> </w:t>
      </w:r>
      <w:r w:rsidRPr="00DC7A14">
        <w:rPr>
          <w:rFonts w:ascii="Times New Roman" w:hAnsi="Times New Roman" w:cs="Times New Roman"/>
          <w:sz w:val="19"/>
          <w:szCs w:val="19"/>
        </w:rPr>
        <w:t>s 24</w:t>
      </w:r>
      <w:r w:rsidR="003215FC" w:rsidRPr="00DC7A14">
        <w:rPr>
          <w:rFonts w:ascii="Times New Roman" w:hAnsi="Times New Roman" w:cs="Times New Roman"/>
          <w:sz w:val="19"/>
          <w:szCs w:val="19"/>
        </w:rPr>
        <w:t xml:space="preserve"> (‘PIPA’).</w:t>
      </w:r>
    </w:p>
  </w:footnote>
  <w:footnote w:id="42">
    <w:p w14:paraId="3CB826B7" w14:textId="69C9E3A4"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public information custodians can also be prescribed in regulations, but at present there are no regulations for the PIPA.</w:t>
      </w:r>
    </w:p>
  </w:footnote>
  <w:footnote w:id="43">
    <w:p w14:paraId="7FB21D75" w14:textId="30B8AF97"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C55D28" w:rsidRPr="00DC7A14">
        <w:rPr>
          <w:rFonts w:ascii="Times New Roman" w:hAnsi="Times New Roman" w:cs="Times New Roman"/>
          <w:sz w:val="19"/>
          <w:szCs w:val="19"/>
        </w:rPr>
        <w:t xml:space="preserve">PIPA </w:t>
      </w:r>
      <w:r w:rsidR="00E6177E" w:rsidRPr="00DC7A14">
        <w:rPr>
          <w:rFonts w:ascii="Times New Roman" w:hAnsi="Times New Roman" w:cs="Times New Roman"/>
          <w:sz w:val="19"/>
          <w:szCs w:val="19"/>
        </w:rPr>
        <w:t>(n</w:t>
      </w:r>
      <w:r w:rsidR="00A20122"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E6177E" w:rsidRPr="00DC7A14">
        <w:rPr>
          <w:rFonts w:ascii="Times New Roman" w:hAnsi="Times New Roman" w:cs="Times New Roman"/>
          <w:sz w:val="19"/>
          <w:szCs w:val="19"/>
        </w:rPr>
        <w:t xml:space="preserve">) </w:t>
      </w:r>
      <w:r w:rsidR="00C55D28" w:rsidRPr="00DC7A14">
        <w:rPr>
          <w:rFonts w:ascii="Times New Roman" w:hAnsi="Times New Roman" w:cs="Times New Roman"/>
          <w:sz w:val="19"/>
          <w:szCs w:val="19"/>
        </w:rPr>
        <w:t>s 3</w:t>
      </w:r>
      <w:r w:rsidR="004E0671" w:rsidRPr="00DC7A14">
        <w:rPr>
          <w:rFonts w:ascii="Times New Roman" w:hAnsi="Times New Roman" w:cs="Times New Roman"/>
          <w:sz w:val="19"/>
          <w:szCs w:val="19"/>
        </w:rPr>
        <w:t xml:space="preserve"> (‘public authority’)</w:t>
      </w:r>
      <w:r w:rsidR="00C55D28" w:rsidRPr="00DC7A14">
        <w:rPr>
          <w:rFonts w:ascii="Times New Roman" w:hAnsi="Times New Roman" w:cs="Times New Roman"/>
          <w:sz w:val="19"/>
          <w:szCs w:val="19"/>
        </w:rPr>
        <w:t xml:space="preserve">; see </w:t>
      </w:r>
      <w:r w:rsidRPr="00DC7A14">
        <w:rPr>
          <w:rFonts w:ascii="Times New Roman" w:hAnsi="Times New Roman" w:cs="Times New Roman"/>
          <w:i/>
          <w:iCs/>
          <w:sz w:val="19"/>
          <w:szCs w:val="19"/>
        </w:rPr>
        <w:t>Right to Information Act 2009</w:t>
      </w:r>
      <w:r w:rsidR="00A24EE8" w:rsidRPr="00DC7A14">
        <w:rPr>
          <w:rFonts w:ascii="Times New Roman" w:hAnsi="Times New Roman" w:cs="Times New Roman"/>
          <w:i/>
          <w:iCs/>
          <w:sz w:val="19"/>
          <w:szCs w:val="19"/>
        </w:rPr>
        <w:t xml:space="preserve"> </w:t>
      </w:r>
      <w:r w:rsidR="00A24EE8" w:rsidRPr="00DC7A14">
        <w:rPr>
          <w:rFonts w:ascii="Times New Roman" w:hAnsi="Times New Roman" w:cs="Times New Roman"/>
          <w:sz w:val="19"/>
          <w:szCs w:val="19"/>
        </w:rPr>
        <w:t>(Tas)</w:t>
      </w:r>
      <w:r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 xml:space="preserve">s 5. </w:t>
      </w:r>
    </w:p>
  </w:footnote>
  <w:footnote w:id="44">
    <w:p w14:paraId="6F210FAE" w14:textId="035A68A9" w:rsidR="00D761C6" w:rsidRPr="00DC7A14" w:rsidRDefault="00D761C6" w:rsidP="00FF28A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6177E"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 xml:space="preserve">s 7. </w:t>
      </w:r>
    </w:p>
  </w:footnote>
  <w:footnote w:id="45">
    <w:p w14:paraId="706E2B48" w14:textId="5C0B902E" w:rsidR="0010243A" w:rsidRPr="00DC7A14" w:rsidRDefault="0010243A" w:rsidP="0010243A">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6177E"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s 12A.</w:t>
      </w:r>
    </w:p>
  </w:footnote>
  <w:footnote w:id="46">
    <w:p w14:paraId="3FD08DA4" w14:textId="0C92AA7A" w:rsidR="00D761C6" w:rsidRPr="00DC7A14" w:rsidRDefault="00D761C6" w:rsidP="006E0E2A">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302442" w:rsidRPr="00DC7A14">
        <w:rPr>
          <w:rFonts w:ascii="Times New Roman" w:hAnsi="Times New Roman" w:cs="Times New Roman"/>
          <w:sz w:val="19"/>
          <w:szCs w:val="19"/>
        </w:rPr>
        <w:t>ibid s 3 (definition of ‘personal information custodian’)</w:t>
      </w:r>
      <w:r w:rsidR="00284A92" w:rsidRPr="00DC7A14">
        <w:rPr>
          <w:rFonts w:ascii="Times New Roman" w:hAnsi="Times New Roman" w:cs="Times New Roman"/>
          <w:sz w:val="19"/>
          <w:szCs w:val="19"/>
        </w:rPr>
        <w:t>. See also</w:t>
      </w:r>
      <w:r w:rsidR="00302442" w:rsidRPr="00DC7A14">
        <w:rPr>
          <w:rFonts w:ascii="Times New Roman" w:hAnsi="Times New Roman" w:cs="Times New Roman"/>
          <w:sz w:val="19"/>
          <w:szCs w:val="19"/>
        </w:rPr>
        <w:t xml:space="preserve"> ibid s 17</w:t>
      </w:r>
      <w:r w:rsidR="00E006F4" w:rsidRPr="00DC7A14">
        <w:rPr>
          <w:rFonts w:ascii="Times New Roman" w:hAnsi="Times New Roman" w:cs="Times New Roman"/>
          <w:sz w:val="19"/>
          <w:szCs w:val="19"/>
        </w:rPr>
        <w:t xml:space="preserve"> about the o</w:t>
      </w:r>
      <w:r w:rsidRPr="00DC7A14">
        <w:rPr>
          <w:rFonts w:ascii="Times New Roman" w:hAnsi="Times New Roman" w:cs="Times New Roman"/>
          <w:sz w:val="19"/>
          <w:szCs w:val="19"/>
        </w:rPr>
        <w:t>bligation to comply with the PIPPs</w:t>
      </w:r>
      <w:r w:rsidR="00E006F4" w:rsidRPr="00DC7A14">
        <w:rPr>
          <w:rFonts w:ascii="Times New Roman" w:hAnsi="Times New Roman" w:cs="Times New Roman"/>
          <w:sz w:val="19"/>
          <w:szCs w:val="19"/>
        </w:rPr>
        <w:t>.</w:t>
      </w:r>
    </w:p>
  </w:footnote>
  <w:footnote w:id="47">
    <w:p w14:paraId="0931F26D" w14:textId="37242382"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use of cloud storage may come within the terms of section 12 of the PIPA, which provides for the efficient storage and use of basic information. See further the discussion of </w:t>
      </w:r>
      <w:r w:rsidR="00562FCD" w:rsidRPr="00DC7A14">
        <w:rPr>
          <w:rFonts w:ascii="Times New Roman" w:hAnsi="Times New Roman" w:cs="Times New Roman"/>
          <w:sz w:val="19"/>
          <w:szCs w:val="19"/>
        </w:rPr>
        <w:t>‘</w:t>
      </w:r>
      <w:r w:rsidRPr="00DC7A14">
        <w:rPr>
          <w:rFonts w:ascii="Times New Roman" w:hAnsi="Times New Roman" w:cs="Times New Roman"/>
          <w:sz w:val="19"/>
          <w:szCs w:val="19"/>
        </w:rPr>
        <w:t xml:space="preserve">basic </w:t>
      </w:r>
      <w:r w:rsidR="00562FCD" w:rsidRPr="00DC7A14">
        <w:rPr>
          <w:rFonts w:ascii="Times New Roman" w:hAnsi="Times New Roman" w:cs="Times New Roman"/>
          <w:sz w:val="19"/>
          <w:szCs w:val="19"/>
        </w:rPr>
        <w:t xml:space="preserve">personal </w:t>
      </w:r>
      <w:r w:rsidRPr="00DC7A14">
        <w:rPr>
          <w:rFonts w:ascii="Times New Roman" w:hAnsi="Times New Roman" w:cs="Times New Roman"/>
          <w:sz w:val="19"/>
          <w:szCs w:val="19"/>
        </w:rPr>
        <w:t>information</w:t>
      </w:r>
      <w:r w:rsidR="00562FCD" w:rsidRPr="00DC7A14">
        <w:rPr>
          <w:rFonts w:ascii="Times New Roman" w:hAnsi="Times New Roman" w:cs="Times New Roman"/>
          <w:sz w:val="19"/>
          <w:szCs w:val="19"/>
        </w:rPr>
        <w:t>’</w:t>
      </w:r>
      <w:r w:rsidRPr="00DC7A14">
        <w:rPr>
          <w:rFonts w:ascii="Times New Roman" w:hAnsi="Times New Roman" w:cs="Times New Roman"/>
          <w:sz w:val="19"/>
          <w:szCs w:val="19"/>
        </w:rPr>
        <w:t xml:space="preserve"> below at</w:t>
      </w:r>
      <w:r w:rsidR="00C34FB5" w:rsidRPr="00DC7A14">
        <w:rPr>
          <w:rFonts w:ascii="Times New Roman" w:hAnsi="Times New Roman" w:cs="Times New Roman"/>
          <w:sz w:val="19"/>
          <w:szCs w:val="19"/>
        </w:rPr>
        <w:t xml:space="preserve"> </w:t>
      </w:r>
      <w:hyperlink w:anchor="_‘Basic_personal_information’" w:history="1">
        <w:r w:rsidR="00817FAF" w:rsidRPr="00DC7A14">
          <w:rPr>
            <w:rStyle w:val="Hyperlink"/>
            <w:rFonts w:ascii="Times New Roman" w:hAnsi="Times New Roman" w:cs="Times New Roman"/>
            <w:sz w:val="19"/>
            <w:szCs w:val="19"/>
          </w:rPr>
          <w:t>[</w:t>
        </w:r>
        <w:r w:rsidR="004155E4">
          <w:rPr>
            <w:rStyle w:val="Hyperlink"/>
            <w:rFonts w:ascii="Times New Roman" w:hAnsi="Times New Roman" w:cs="Times New Roman"/>
            <w:sz w:val="19"/>
            <w:szCs w:val="19"/>
          </w:rPr>
          <w:fldChar w:fldCharType="begin"/>
        </w:r>
        <w:r w:rsidR="004155E4">
          <w:rPr>
            <w:rStyle w:val="Hyperlink"/>
            <w:rFonts w:ascii="Times New Roman" w:hAnsi="Times New Roman" w:cs="Times New Roman"/>
            <w:sz w:val="19"/>
            <w:szCs w:val="19"/>
          </w:rPr>
          <w:instrText xml:space="preserve"> REF _Ref129298896 \r \h </w:instrText>
        </w:r>
        <w:r w:rsidR="004155E4">
          <w:rPr>
            <w:rStyle w:val="Hyperlink"/>
            <w:rFonts w:ascii="Times New Roman" w:hAnsi="Times New Roman" w:cs="Times New Roman"/>
            <w:sz w:val="19"/>
            <w:szCs w:val="19"/>
          </w:rPr>
        </w:r>
        <w:r w:rsidR="004155E4">
          <w:rPr>
            <w:rStyle w:val="Hyperlink"/>
            <w:rFonts w:ascii="Times New Roman" w:hAnsi="Times New Roman" w:cs="Times New Roman"/>
            <w:sz w:val="19"/>
            <w:szCs w:val="19"/>
          </w:rPr>
          <w:fldChar w:fldCharType="separate"/>
        </w:r>
        <w:r w:rsidR="00E66B60">
          <w:rPr>
            <w:rStyle w:val="Hyperlink"/>
            <w:rFonts w:ascii="Times New Roman" w:hAnsi="Times New Roman" w:cs="Times New Roman"/>
            <w:sz w:val="19"/>
            <w:szCs w:val="19"/>
          </w:rPr>
          <w:t>2.2.52</w:t>
        </w:r>
        <w:r w:rsidR="004155E4">
          <w:rPr>
            <w:rStyle w:val="Hyperlink"/>
            <w:rFonts w:ascii="Times New Roman" w:hAnsi="Times New Roman" w:cs="Times New Roman"/>
            <w:sz w:val="19"/>
            <w:szCs w:val="19"/>
          </w:rPr>
          <w:fldChar w:fldCharType="end"/>
        </w:r>
        <w:r w:rsidR="00D45209">
          <w:rPr>
            <w:rStyle w:val="Hyperlink"/>
            <w:rFonts w:ascii="Times New Roman" w:hAnsi="Times New Roman" w:cs="Times New Roman"/>
            <w:sz w:val="19"/>
            <w:szCs w:val="19"/>
          </w:rPr>
          <w:t>]</w:t>
        </w:r>
        <w:r w:rsidR="00817FAF" w:rsidRPr="00DC7A14">
          <w:rPr>
            <w:rStyle w:val="Hyperlink"/>
            <w:rFonts w:ascii="Times New Roman" w:hAnsi="Times New Roman" w:cs="Times New Roman"/>
            <w:sz w:val="19"/>
            <w:szCs w:val="19"/>
          </w:rPr>
          <w:t>–</w:t>
        </w:r>
        <w:r w:rsidR="00D45209">
          <w:rPr>
            <w:rStyle w:val="Hyperlink"/>
            <w:rFonts w:ascii="Times New Roman" w:hAnsi="Times New Roman" w:cs="Times New Roman"/>
            <w:sz w:val="19"/>
            <w:szCs w:val="19"/>
          </w:rPr>
          <w:t>[</w:t>
        </w:r>
        <w:r w:rsidR="004155E4">
          <w:rPr>
            <w:rStyle w:val="Hyperlink"/>
            <w:rFonts w:ascii="Times New Roman" w:hAnsi="Times New Roman" w:cs="Times New Roman"/>
            <w:sz w:val="19"/>
            <w:szCs w:val="19"/>
          </w:rPr>
          <w:fldChar w:fldCharType="begin"/>
        </w:r>
        <w:r w:rsidR="004155E4">
          <w:rPr>
            <w:rStyle w:val="Hyperlink"/>
            <w:rFonts w:ascii="Times New Roman" w:hAnsi="Times New Roman" w:cs="Times New Roman"/>
            <w:sz w:val="19"/>
            <w:szCs w:val="19"/>
          </w:rPr>
          <w:instrText xml:space="preserve"> REF _Ref129298885 \r \h </w:instrText>
        </w:r>
        <w:r w:rsidR="004155E4">
          <w:rPr>
            <w:rStyle w:val="Hyperlink"/>
            <w:rFonts w:ascii="Times New Roman" w:hAnsi="Times New Roman" w:cs="Times New Roman"/>
            <w:sz w:val="19"/>
            <w:szCs w:val="19"/>
          </w:rPr>
        </w:r>
        <w:r w:rsidR="004155E4">
          <w:rPr>
            <w:rStyle w:val="Hyperlink"/>
            <w:rFonts w:ascii="Times New Roman" w:hAnsi="Times New Roman" w:cs="Times New Roman"/>
            <w:sz w:val="19"/>
            <w:szCs w:val="19"/>
          </w:rPr>
          <w:fldChar w:fldCharType="separate"/>
        </w:r>
        <w:r w:rsidR="00E66B60">
          <w:rPr>
            <w:rStyle w:val="Hyperlink"/>
            <w:rFonts w:ascii="Times New Roman" w:hAnsi="Times New Roman" w:cs="Times New Roman"/>
            <w:sz w:val="19"/>
            <w:szCs w:val="19"/>
          </w:rPr>
          <w:t>2.2.54</w:t>
        </w:r>
        <w:r w:rsidR="004155E4">
          <w:rPr>
            <w:rStyle w:val="Hyperlink"/>
            <w:rFonts w:ascii="Times New Roman" w:hAnsi="Times New Roman" w:cs="Times New Roman"/>
            <w:sz w:val="19"/>
            <w:szCs w:val="19"/>
          </w:rPr>
          <w:fldChar w:fldCharType="end"/>
        </w:r>
        <w:r w:rsidR="00817FAF" w:rsidRPr="00DC7A14">
          <w:rPr>
            <w:rStyle w:val="Hyperlink"/>
            <w:rFonts w:ascii="Times New Roman" w:hAnsi="Times New Roman" w:cs="Times New Roman"/>
            <w:sz w:val="19"/>
            <w:szCs w:val="19"/>
          </w:rPr>
          <w:t>]</w:t>
        </w:r>
      </w:hyperlink>
      <w:r w:rsidRPr="00DC7A14">
        <w:rPr>
          <w:rFonts w:ascii="Times New Roman" w:hAnsi="Times New Roman" w:cs="Times New Roman"/>
          <w:sz w:val="19"/>
          <w:szCs w:val="19"/>
        </w:rPr>
        <w:t>.</w:t>
      </w:r>
    </w:p>
  </w:footnote>
  <w:footnote w:id="48">
    <w:p w14:paraId="3D8E50DC" w14:textId="0DB2D4E0" w:rsidR="00E569DE" w:rsidRPr="00DC7A14" w:rsidRDefault="00E569D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All </w:t>
      </w:r>
      <w:r w:rsidR="001C6997" w:rsidRPr="00DC7A14">
        <w:rPr>
          <w:rFonts w:ascii="Times New Roman" w:hAnsi="Times New Roman" w:cs="Times New Roman"/>
          <w:sz w:val="19"/>
          <w:szCs w:val="19"/>
        </w:rPr>
        <w:t>s</w:t>
      </w:r>
      <w:r w:rsidRPr="00DC7A14">
        <w:rPr>
          <w:rFonts w:ascii="Times New Roman" w:hAnsi="Times New Roman" w:cs="Times New Roman"/>
          <w:sz w:val="19"/>
          <w:szCs w:val="19"/>
        </w:rPr>
        <w:t xml:space="preserve">tates and </w:t>
      </w:r>
      <w:r w:rsidR="001C6997" w:rsidRPr="00DC7A14">
        <w:rPr>
          <w:rFonts w:ascii="Times New Roman" w:hAnsi="Times New Roman" w:cs="Times New Roman"/>
          <w:sz w:val="19"/>
          <w:szCs w:val="19"/>
        </w:rPr>
        <w:t>t</w:t>
      </w:r>
      <w:r w:rsidRPr="00DC7A14">
        <w:rPr>
          <w:rFonts w:ascii="Times New Roman" w:hAnsi="Times New Roman" w:cs="Times New Roman"/>
          <w:sz w:val="19"/>
          <w:szCs w:val="19"/>
        </w:rPr>
        <w:t>erritories, other than Western Australia and South Australia.</w:t>
      </w:r>
    </w:p>
  </w:footnote>
  <w:footnote w:id="49">
    <w:p w14:paraId="16ED7D9F" w14:textId="29669EB5"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1998</w:t>
      </w:r>
      <w:r w:rsidRPr="00DC7A14">
        <w:rPr>
          <w:rFonts w:ascii="Times New Roman" w:hAnsi="Times New Roman" w:cs="Times New Roman"/>
          <w:sz w:val="19"/>
          <w:szCs w:val="19"/>
        </w:rPr>
        <w:t xml:space="preserve"> (NSW) s 3 </w:t>
      </w:r>
      <w:r w:rsidR="007E774F" w:rsidRPr="00DC7A14">
        <w:rPr>
          <w:rFonts w:ascii="Times New Roman" w:hAnsi="Times New Roman" w:cs="Times New Roman"/>
          <w:sz w:val="19"/>
          <w:szCs w:val="19"/>
        </w:rPr>
        <w:t>(</w:t>
      </w:r>
      <w:r w:rsidRPr="00DC7A14">
        <w:rPr>
          <w:rFonts w:ascii="Times New Roman" w:hAnsi="Times New Roman" w:cs="Times New Roman"/>
          <w:sz w:val="19"/>
          <w:szCs w:val="19"/>
        </w:rPr>
        <w:t xml:space="preserve">definition of </w:t>
      </w:r>
      <w:r w:rsidR="007E774F" w:rsidRPr="00DC7A14">
        <w:rPr>
          <w:rFonts w:ascii="Times New Roman" w:hAnsi="Times New Roman" w:cs="Times New Roman"/>
          <w:sz w:val="19"/>
          <w:szCs w:val="19"/>
        </w:rPr>
        <w:t>‘</w:t>
      </w:r>
      <w:r w:rsidRPr="00DC7A14">
        <w:rPr>
          <w:rFonts w:ascii="Times New Roman" w:hAnsi="Times New Roman" w:cs="Times New Roman"/>
          <w:sz w:val="19"/>
          <w:szCs w:val="19"/>
        </w:rPr>
        <w:t>public sector agencies</w:t>
      </w:r>
      <w:r w:rsidR="007E774F" w:rsidRPr="00DC7A14">
        <w:rPr>
          <w:rFonts w:ascii="Times New Roman" w:hAnsi="Times New Roman" w:cs="Times New Roman"/>
          <w:sz w:val="19"/>
          <w:szCs w:val="19"/>
        </w:rPr>
        <w:t>’),</w:t>
      </w:r>
      <w:r w:rsidRPr="00DC7A14">
        <w:rPr>
          <w:rFonts w:ascii="Times New Roman" w:hAnsi="Times New Roman" w:cs="Times New Roman"/>
          <w:sz w:val="19"/>
          <w:szCs w:val="19"/>
        </w:rPr>
        <w:t xml:space="preserve"> s 20;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13;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ss 18</w:t>
      </w:r>
      <w:r w:rsidR="00C45A86"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21; </w:t>
      </w:r>
      <w:r w:rsidRPr="00DC7A14">
        <w:rPr>
          <w:rFonts w:ascii="Times New Roman" w:hAnsi="Times New Roman" w:cs="Times New Roman"/>
          <w:i/>
          <w:iCs/>
          <w:sz w:val="19"/>
          <w:szCs w:val="19"/>
        </w:rPr>
        <w:t>Information Privacy Act 2014</w:t>
      </w:r>
      <w:r w:rsidRPr="00DC7A14">
        <w:rPr>
          <w:rFonts w:ascii="Times New Roman" w:hAnsi="Times New Roman" w:cs="Times New Roman"/>
          <w:sz w:val="19"/>
          <w:szCs w:val="19"/>
        </w:rPr>
        <w:t xml:space="preserve"> (ACT) s 9; </w:t>
      </w:r>
      <w:r w:rsidRPr="00DC7A14">
        <w:rPr>
          <w:rFonts w:ascii="Times New Roman" w:hAnsi="Times New Roman" w:cs="Times New Roman"/>
          <w:i/>
          <w:iCs/>
          <w:sz w:val="19"/>
          <w:szCs w:val="19"/>
        </w:rPr>
        <w:t>Information Act 2002</w:t>
      </w:r>
      <w:r w:rsidRPr="00DC7A14">
        <w:rPr>
          <w:rFonts w:ascii="Times New Roman" w:hAnsi="Times New Roman" w:cs="Times New Roman"/>
          <w:sz w:val="19"/>
          <w:szCs w:val="19"/>
        </w:rPr>
        <w:t xml:space="preserve"> (NT) s 5. The Western Australian government is currently consulting on privacy and responsible information sharing legislation for the public sector (see &lt;</w:t>
      </w:r>
      <w:hyperlink r:id="rId3" w:history="1">
        <w:r w:rsidRPr="00DC7A14">
          <w:rPr>
            <w:rStyle w:val="Hyperlink"/>
            <w:rFonts w:ascii="Times New Roman" w:hAnsi="Times New Roman" w:cs="Times New Roman"/>
            <w:sz w:val="19"/>
            <w:szCs w:val="19"/>
          </w:rPr>
          <w:t>https://www.wa.gov.au/government/privacy-and-responsible-information-sharing</w:t>
        </w:r>
      </w:hyperlink>
      <w:r w:rsidRPr="00DC7A14">
        <w:rPr>
          <w:rStyle w:val="Hyperlink"/>
          <w:rFonts w:ascii="Times New Roman" w:hAnsi="Times New Roman" w:cs="Times New Roman"/>
          <w:sz w:val="19"/>
          <w:szCs w:val="19"/>
        </w:rPr>
        <w:t>&gt;</w:t>
      </w:r>
      <w:r w:rsidRPr="00DC7A14">
        <w:rPr>
          <w:rFonts w:ascii="Times New Roman" w:hAnsi="Times New Roman" w:cs="Times New Roman"/>
          <w:sz w:val="19"/>
          <w:szCs w:val="19"/>
        </w:rPr>
        <w:t xml:space="preserve">). South Australia has an administrative scheme under the Information Privacy Principles Instruction (SA). </w:t>
      </w:r>
    </w:p>
  </w:footnote>
  <w:footnote w:id="50">
    <w:p w14:paraId="2FF8FF26" w14:textId="403A43CB"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Health Records (Privacy and Access) Act 1997 </w:t>
      </w:r>
      <w:r w:rsidRPr="00DC7A14">
        <w:rPr>
          <w:rFonts w:ascii="Times New Roman" w:hAnsi="Times New Roman" w:cs="Times New Roman"/>
          <w:sz w:val="19"/>
          <w:szCs w:val="19"/>
        </w:rPr>
        <w:t xml:space="preserve">(ACT) Dictionary </w:t>
      </w:r>
      <w:r w:rsidR="00881476" w:rsidRPr="00DC7A14">
        <w:rPr>
          <w:rFonts w:ascii="Times New Roman" w:hAnsi="Times New Roman" w:cs="Times New Roman"/>
          <w:sz w:val="19"/>
          <w:szCs w:val="19"/>
        </w:rPr>
        <w:t>(</w:t>
      </w:r>
      <w:r w:rsidRPr="00DC7A14">
        <w:rPr>
          <w:rFonts w:ascii="Times New Roman" w:hAnsi="Times New Roman" w:cs="Times New Roman"/>
          <w:sz w:val="19"/>
          <w:szCs w:val="19"/>
        </w:rPr>
        <w:t xml:space="preserve">definition of </w:t>
      </w:r>
      <w:r w:rsidR="00881476" w:rsidRPr="00DC7A14">
        <w:rPr>
          <w:rFonts w:ascii="Times New Roman" w:hAnsi="Times New Roman" w:cs="Times New Roman"/>
          <w:sz w:val="19"/>
          <w:szCs w:val="19"/>
        </w:rPr>
        <w:t>‘</w:t>
      </w:r>
      <w:r w:rsidRPr="00DC7A14">
        <w:rPr>
          <w:rFonts w:ascii="Times New Roman" w:hAnsi="Times New Roman" w:cs="Times New Roman"/>
          <w:sz w:val="19"/>
          <w:szCs w:val="19"/>
        </w:rPr>
        <w:t>health service</w:t>
      </w:r>
      <w:r w:rsidR="00881476" w:rsidRPr="00DC7A14">
        <w:rPr>
          <w:rFonts w:ascii="Times New Roman" w:hAnsi="Times New Roman" w:cs="Times New Roman"/>
          <w:sz w:val="19"/>
          <w:szCs w:val="19"/>
        </w:rPr>
        <w:t>’</w:t>
      </w:r>
      <w:r w:rsidR="00135C3A" w:rsidRPr="00DC7A14">
        <w:rPr>
          <w:rFonts w:ascii="Times New Roman" w:hAnsi="Times New Roman" w:cs="Times New Roman"/>
          <w:sz w:val="19"/>
          <w:szCs w:val="19"/>
        </w:rPr>
        <w:t xml:space="preserve"> and</w:t>
      </w:r>
      <w:r w:rsidRPr="00DC7A14">
        <w:rPr>
          <w:rFonts w:ascii="Times New Roman" w:hAnsi="Times New Roman" w:cs="Times New Roman"/>
          <w:sz w:val="19"/>
          <w:szCs w:val="19"/>
        </w:rPr>
        <w:t xml:space="preserve"> </w:t>
      </w:r>
      <w:r w:rsidR="00881476" w:rsidRPr="00DC7A14">
        <w:rPr>
          <w:rFonts w:ascii="Times New Roman" w:hAnsi="Times New Roman" w:cs="Times New Roman"/>
          <w:sz w:val="19"/>
          <w:szCs w:val="19"/>
        </w:rPr>
        <w:t>‘</w:t>
      </w:r>
      <w:r w:rsidRPr="00DC7A14">
        <w:rPr>
          <w:rFonts w:ascii="Times New Roman" w:hAnsi="Times New Roman" w:cs="Times New Roman"/>
          <w:sz w:val="19"/>
          <w:szCs w:val="19"/>
        </w:rPr>
        <w:t>health service provider</w:t>
      </w:r>
      <w:r w:rsidR="00881476" w:rsidRPr="00DC7A14">
        <w:rPr>
          <w:rFonts w:ascii="Times New Roman" w:hAnsi="Times New Roman" w:cs="Times New Roman"/>
          <w:sz w:val="19"/>
          <w:szCs w:val="19"/>
        </w:rPr>
        <w:t>’)</w:t>
      </w:r>
      <w:r w:rsidRPr="00164EF9">
        <w:rPr>
          <w:rFonts w:ascii="Times New Roman" w:hAnsi="Times New Roman" w:cs="Times New Roman"/>
          <w:sz w:val="19"/>
          <w:szCs w:val="19"/>
        </w:rPr>
        <w:t>;</w:t>
      </w:r>
      <w:r w:rsidRPr="00DC7A14">
        <w:rPr>
          <w:rFonts w:ascii="Times New Roman" w:hAnsi="Times New Roman" w:cs="Times New Roman"/>
          <w:i/>
          <w:iCs/>
          <w:sz w:val="19"/>
          <w:szCs w:val="19"/>
        </w:rPr>
        <w:t xml:space="preserve"> Health Records and Information Privacy Act 1998 </w:t>
      </w:r>
      <w:r w:rsidRPr="00DC7A14">
        <w:rPr>
          <w:rFonts w:ascii="Times New Roman" w:hAnsi="Times New Roman" w:cs="Times New Roman"/>
          <w:sz w:val="19"/>
          <w:szCs w:val="19"/>
        </w:rPr>
        <w:t xml:space="preserve">(NSW) s 4 </w:t>
      </w:r>
      <w:r w:rsidR="00135C3A" w:rsidRPr="00DC7A14">
        <w:rPr>
          <w:rFonts w:ascii="Times New Roman" w:hAnsi="Times New Roman" w:cs="Times New Roman"/>
          <w:sz w:val="19"/>
          <w:szCs w:val="19"/>
        </w:rPr>
        <w:t>(</w:t>
      </w:r>
      <w:r w:rsidRPr="00DC7A14">
        <w:rPr>
          <w:rFonts w:ascii="Times New Roman" w:hAnsi="Times New Roman" w:cs="Times New Roman"/>
          <w:sz w:val="19"/>
          <w:szCs w:val="19"/>
        </w:rPr>
        <w:t xml:space="preserve">definition of </w:t>
      </w:r>
      <w:r w:rsidR="00135C3A" w:rsidRPr="00DC7A14">
        <w:rPr>
          <w:rFonts w:ascii="Times New Roman" w:hAnsi="Times New Roman" w:cs="Times New Roman"/>
          <w:sz w:val="19"/>
          <w:szCs w:val="19"/>
        </w:rPr>
        <w:t>‘</w:t>
      </w:r>
      <w:r w:rsidRPr="00DC7A14">
        <w:rPr>
          <w:rFonts w:ascii="Times New Roman" w:hAnsi="Times New Roman" w:cs="Times New Roman"/>
          <w:sz w:val="19"/>
          <w:szCs w:val="19"/>
        </w:rPr>
        <w:t>health service</w:t>
      </w:r>
      <w:r w:rsidR="00135C3A" w:rsidRPr="00DC7A14">
        <w:rPr>
          <w:rFonts w:ascii="Times New Roman" w:hAnsi="Times New Roman" w:cs="Times New Roman"/>
          <w:sz w:val="19"/>
          <w:szCs w:val="19"/>
        </w:rPr>
        <w:t>’</w:t>
      </w:r>
      <w:r w:rsidRPr="00DC7A14">
        <w:rPr>
          <w:rFonts w:ascii="Times New Roman" w:hAnsi="Times New Roman" w:cs="Times New Roman"/>
          <w:sz w:val="19"/>
          <w:szCs w:val="19"/>
        </w:rPr>
        <w:t xml:space="preserve"> and </w:t>
      </w:r>
      <w:r w:rsidR="00135C3A" w:rsidRPr="00DC7A14">
        <w:rPr>
          <w:rFonts w:ascii="Times New Roman" w:hAnsi="Times New Roman" w:cs="Times New Roman"/>
          <w:sz w:val="19"/>
          <w:szCs w:val="19"/>
        </w:rPr>
        <w:t>‘</w:t>
      </w:r>
      <w:r w:rsidRPr="00DC7A14">
        <w:rPr>
          <w:rFonts w:ascii="Times New Roman" w:hAnsi="Times New Roman" w:cs="Times New Roman"/>
          <w:sz w:val="19"/>
          <w:szCs w:val="19"/>
        </w:rPr>
        <w:t>health service provider</w:t>
      </w:r>
      <w:r w:rsidR="00135C3A" w:rsidRPr="00DC7A14">
        <w:rPr>
          <w:rFonts w:ascii="Times New Roman" w:hAnsi="Times New Roman" w:cs="Times New Roman"/>
          <w:sz w:val="19"/>
          <w:szCs w:val="19"/>
        </w:rPr>
        <w:t>’</w:t>
      </w:r>
      <w:r w:rsidRPr="00164EF9">
        <w:rPr>
          <w:rFonts w:ascii="Times New Roman" w:hAnsi="Times New Roman" w:cs="Times New Roman"/>
          <w:sz w:val="19"/>
          <w:szCs w:val="19"/>
        </w:rPr>
        <w:t>;</w:t>
      </w:r>
      <w:r w:rsidRPr="00DC7A14">
        <w:rPr>
          <w:rFonts w:ascii="Times New Roman" w:hAnsi="Times New Roman" w:cs="Times New Roman"/>
          <w:i/>
          <w:iCs/>
          <w:sz w:val="19"/>
          <w:szCs w:val="19"/>
        </w:rPr>
        <w:t xml:space="preserve"> Health Records Act 2001 </w:t>
      </w:r>
      <w:r w:rsidRPr="00DC7A14">
        <w:rPr>
          <w:rFonts w:ascii="Times New Roman" w:hAnsi="Times New Roman" w:cs="Times New Roman"/>
          <w:sz w:val="19"/>
          <w:szCs w:val="19"/>
        </w:rPr>
        <w:t xml:space="preserve">(Vic) s 3 </w:t>
      </w:r>
      <w:r w:rsidR="003C56AF" w:rsidRPr="00DC7A14">
        <w:rPr>
          <w:rFonts w:ascii="Times New Roman" w:hAnsi="Times New Roman" w:cs="Times New Roman"/>
          <w:sz w:val="19"/>
          <w:szCs w:val="19"/>
        </w:rPr>
        <w:t>(</w:t>
      </w:r>
      <w:r w:rsidRPr="00DC7A14">
        <w:rPr>
          <w:rFonts w:ascii="Times New Roman" w:hAnsi="Times New Roman" w:cs="Times New Roman"/>
          <w:sz w:val="19"/>
          <w:szCs w:val="19"/>
        </w:rPr>
        <w:t xml:space="preserve">definition of </w:t>
      </w:r>
      <w:r w:rsidR="003C56AF" w:rsidRPr="00DC7A14">
        <w:rPr>
          <w:rFonts w:ascii="Times New Roman" w:hAnsi="Times New Roman" w:cs="Times New Roman"/>
          <w:sz w:val="19"/>
          <w:szCs w:val="19"/>
        </w:rPr>
        <w:t>‘</w:t>
      </w:r>
      <w:r w:rsidRPr="00DC7A14">
        <w:rPr>
          <w:rFonts w:ascii="Times New Roman" w:hAnsi="Times New Roman" w:cs="Times New Roman"/>
          <w:sz w:val="19"/>
          <w:szCs w:val="19"/>
        </w:rPr>
        <w:t>health service provider</w:t>
      </w:r>
      <w:r w:rsidR="003C56AF" w:rsidRPr="00DC7A14">
        <w:rPr>
          <w:rFonts w:ascii="Times New Roman" w:hAnsi="Times New Roman" w:cs="Times New Roman"/>
          <w:sz w:val="19"/>
          <w:szCs w:val="19"/>
        </w:rPr>
        <w:t>’)</w:t>
      </w:r>
      <w:r w:rsidRPr="00DC7A14">
        <w:rPr>
          <w:rFonts w:ascii="Times New Roman" w:hAnsi="Times New Roman" w:cs="Times New Roman"/>
          <w:sz w:val="19"/>
          <w:szCs w:val="19"/>
        </w:rPr>
        <w:t xml:space="preserve"> s 11</w:t>
      </w:r>
      <w:r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 xml:space="preserve"> </w:t>
      </w:r>
    </w:p>
  </w:footnote>
  <w:footnote w:id="51">
    <w:p w14:paraId="7E612C18" w14:textId="2274D50A"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ss 13(1)(j), 17(2);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ss 34</w:t>
      </w:r>
      <w:r w:rsidR="000E5CF5" w:rsidRPr="00DC7A14">
        <w:rPr>
          <w:rFonts w:ascii="Times New Roman" w:hAnsi="Times New Roman" w:cs="Times New Roman"/>
          <w:sz w:val="19"/>
          <w:szCs w:val="19"/>
        </w:rPr>
        <w:t>–</w:t>
      </w:r>
      <w:r w:rsidRPr="00DC7A14">
        <w:rPr>
          <w:rFonts w:ascii="Times New Roman" w:hAnsi="Times New Roman" w:cs="Times New Roman"/>
          <w:sz w:val="19"/>
          <w:szCs w:val="19"/>
        </w:rPr>
        <w:t>7</w:t>
      </w:r>
      <w:r w:rsidR="000E5CF5"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p>
  </w:footnote>
  <w:footnote w:id="52">
    <w:p w14:paraId="70E58602" w14:textId="771D9514"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1E1C8B" w:rsidRPr="00DC7A14">
        <w:rPr>
          <w:rFonts w:ascii="Times New Roman" w:hAnsi="Times New Roman" w:cs="Times New Roman"/>
          <w:i/>
          <w:iCs/>
          <w:sz w:val="19"/>
          <w:szCs w:val="19"/>
        </w:rPr>
        <w:t>Privacy and Data Protection Act 2014</w:t>
      </w:r>
      <w:r w:rsidR="001E1C8B" w:rsidRPr="00DC7A14">
        <w:rPr>
          <w:rFonts w:ascii="Times New Roman" w:hAnsi="Times New Roman" w:cs="Times New Roman"/>
          <w:sz w:val="19"/>
          <w:szCs w:val="19"/>
        </w:rPr>
        <w:t xml:space="preserve"> (Vic) </w:t>
      </w:r>
      <w:r w:rsidRPr="00DC7A14">
        <w:rPr>
          <w:rFonts w:ascii="Times New Roman" w:hAnsi="Times New Roman" w:cs="Times New Roman"/>
          <w:sz w:val="19"/>
          <w:szCs w:val="19"/>
        </w:rPr>
        <w:t>ss 13(1)(j), 17(2).</w:t>
      </w:r>
    </w:p>
  </w:footnote>
  <w:footnote w:id="53">
    <w:p w14:paraId="3052ED25" w14:textId="77777777"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17(4).</w:t>
      </w:r>
    </w:p>
  </w:footnote>
  <w:footnote w:id="54">
    <w:p w14:paraId="78606600" w14:textId="2CBB8941" w:rsidR="00A43D06" w:rsidRPr="00DC7A14" w:rsidRDefault="00A43D06" w:rsidP="00A43D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ss 34</w:t>
      </w:r>
      <w:r w:rsidR="00B701F1" w:rsidRPr="00DC7A14">
        <w:rPr>
          <w:rFonts w:ascii="Times New Roman" w:hAnsi="Times New Roman" w:cs="Times New Roman"/>
          <w:sz w:val="19"/>
          <w:szCs w:val="19"/>
        </w:rPr>
        <w:t>–</w:t>
      </w:r>
      <w:r w:rsidRPr="00DC7A14">
        <w:rPr>
          <w:rFonts w:ascii="Times New Roman" w:hAnsi="Times New Roman" w:cs="Times New Roman"/>
          <w:sz w:val="19"/>
          <w:szCs w:val="19"/>
        </w:rPr>
        <w:t>7.</w:t>
      </w:r>
    </w:p>
  </w:footnote>
  <w:footnote w:id="55">
    <w:p w14:paraId="6C7B158D" w14:textId="77777777" w:rsidR="00C6129D" w:rsidRPr="00DC7A14" w:rsidRDefault="00C6129D" w:rsidP="00C6129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3.</w:t>
      </w:r>
    </w:p>
  </w:footnote>
  <w:footnote w:id="56">
    <w:p w14:paraId="47E78EF1" w14:textId="2DD24C11" w:rsidR="00346DF4" w:rsidRPr="00DC7A14" w:rsidRDefault="00346DF4" w:rsidP="00346DF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A5127" w:rsidRPr="00DC7A14">
        <w:rPr>
          <w:rFonts w:ascii="Times New Roman" w:hAnsi="Times New Roman" w:cs="Times New Roman"/>
          <w:iCs/>
          <w:sz w:val="19"/>
          <w:szCs w:val="19"/>
        </w:rPr>
        <w:t>Ibid</w:t>
      </w:r>
      <w:r w:rsidRPr="00DC7A14">
        <w:rPr>
          <w:rFonts w:ascii="Times New Roman" w:hAnsi="Times New Roman" w:cs="Times New Roman"/>
          <w:sz w:val="19"/>
          <w:szCs w:val="19"/>
        </w:rPr>
        <w:t xml:space="preserve"> s </w:t>
      </w:r>
      <w:r w:rsidR="00487418" w:rsidRPr="00DC7A14">
        <w:rPr>
          <w:rFonts w:ascii="Times New Roman" w:hAnsi="Times New Roman" w:cs="Times New Roman"/>
          <w:sz w:val="19"/>
          <w:szCs w:val="19"/>
        </w:rPr>
        <w:t>6</w:t>
      </w:r>
      <w:r w:rsidRPr="00DC7A14">
        <w:rPr>
          <w:rFonts w:ascii="Times New Roman" w:hAnsi="Times New Roman" w:cs="Times New Roman"/>
          <w:sz w:val="19"/>
          <w:szCs w:val="19"/>
        </w:rPr>
        <w:t xml:space="preserve"> </w:t>
      </w:r>
      <w:r w:rsidR="0074208A" w:rsidRPr="00DC7A14">
        <w:rPr>
          <w:rFonts w:ascii="Times New Roman" w:hAnsi="Times New Roman" w:cs="Times New Roman"/>
          <w:sz w:val="19"/>
          <w:szCs w:val="19"/>
        </w:rPr>
        <w:t>(</w:t>
      </w:r>
      <w:r w:rsidRPr="00DC7A14">
        <w:rPr>
          <w:rFonts w:ascii="Times New Roman" w:hAnsi="Times New Roman" w:cs="Times New Roman"/>
          <w:sz w:val="19"/>
          <w:szCs w:val="19"/>
        </w:rPr>
        <w:t xml:space="preserve">definition of </w:t>
      </w:r>
      <w:r w:rsidR="0074208A" w:rsidRPr="00DC7A14">
        <w:rPr>
          <w:rFonts w:ascii="Times New Roman" w:hAnsi="Times New Roman" w:cs="Times New Roman"/>
          <w:sz w:val="19"/>
          <w:szCs w:val="19"/>
        </w:rPr>
        <w:t>‘</w:t>
      </w:r>
      <w:r w:rsidRPr="00DC7A14">
        <w:rPr>
          <w:rFonts w:ascii="Times New Roman" w:hAnsi="Times New Roman" w:cs="Times New Roman"/>
          <w:sz w:val="19"/>
          <w:szCs w:val="19"/>
        </w:rPr>
        <w:t>APP entity</w:t>
      </w:r>
      <w:r w:rsidR="0076664F" w:rsidRPr="00DC7A14">
        <w:rPr>
          <w:rFonts w:ascii="Times New Roman" w:hAnsi="Times New Roman" w:cs="Times New Roman"/>
          <w:sz w:val="19"/>
          <w:szCs w:val="19"/>
        </w:rPr>
        <w:t>’</w:t>
      </w:r>
      <w:r w:rsidRPr="00DC7A14">
        <w:rPr>
          <w:rFonts w:ascii="Times New Roman" w:hAnsi="Times New Roman" w:cs="Times New Roman"/>
          <w:sz w:val="19"/>
          <w:szCs w:val="19"/>
        </w:rPr>
        <w:t xml:space="preserve"> and </w:t>
      </w:r>
      <w:r w:rsidR="0076664F" w:rsidRPr="00DC7A14">
        <w:rPr>
          <w:rFonts w:ascii="Times New Roman" w:hAnsi="Times New Roman" w:cs="Times New Roman"/>
          <w:sz w:val="19"/>
          <w:szCs w:val="19"/>
        </w:rPr>
        <w:t>‘</w:t>
      </w:r>
      <w:r w:rsidRPr="00DC7A14">
        <w:rPr>
          <w:rFonts w:ascii="Times New Roman" w:hAnsi="Times New Roman" w:cs="Times New Roman"/>
          <w:sz w:val="19"/>
          <w:szCs w:val="19"/>
        </w:rPr>
        <w:t>organisation</w:t>
      </w:r>
      <w:r w:rsidR="0076664F"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57">
    <w:p w14:paraId="07845C1F" w14:textId="6D601850" w:rsidR="00346DF4" w:rsidRPr="00DC7A14" w:rsidRDefault="00346DF4" w:rsidP="00346DF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B633B1" w:rsidRPr="00DC7A14">
        <w:rPr>
          <w:rFonts w:ascii="Times New Roman" w:hAnsi="Times New Roman" w:cs="Times New Roman"/>
          <w:iCs/>
          <w:sz w:val="19"/>
          <w:szCs w:val="19"/>
        </w:rPr>
        <w:t>ibid</w:t>
      </w:r>
      <w:r w:rsidR="000055BE" w:rsidRPr="00DC7A14">
        <w:rPr>
          <w:rFonts w:ascii="Times New Roman" w:hAnsi="Times New Roman" w:cs="Times New Roman"/>
          <w:iCs/>
          <w:sz w:val="19"/>
          <w:szCs w:val="19"/>
        </w:rPr>
        <w:t xml:space="preserve"> </w:t>
      </w:r>
      <w:r w:rsidR="000055BE" w:rsidRPr="00DC7A14">
        <w:rPr>
          <w:rFonts w:ascii="Times New Roman" w:hAnsi="Times New Roman" w:cs="Times New Roman"/>
          <w:sz w:val="19"/>
          <w:szCs w:val="19"/>
        </w:rPr>
        <w:t>s</w:t>
      </w:r>
      <w:r w:rsidR="004A3ECE" w:rsidRPr="00DC7A14">
        <w:rPr>
          <w:rFonts w:ascii="Times New Roman" w:hAnsi="Times New Roman" w:cs="Times New Roman"/>
          <w:sz w:val="19"/>
          <w:szCs w:val="19"/>
        </w:rPr>
        <w:t>s</w:t>
      </w:r>
      <w:r w:rsidR="000055BE" w:rsidRPr="00DC7A14">
        <w:rPr>
          <w:rFonts w:ascii="Times New Roman" w:hAnsi="Times New Roman" w:cs="Times New Roman"/>
          <w:sz w:val="19"/>
          <w:szCs w:val="19"/>
        </w:rPr>
        <w:t xml:space="preserve"> 6 (definition of ‘APP entity’ and ‘organisation’),</w:t>
      </w:r>
      <w:r w:rsidRPr="00DC7A14">
        <w:rPr>
          <w:rFonts w:ascii="Times New Roman" w:hAnsi="Times New Roman" w:cs="Times New Roman"/>
          <w:sz w:val="19"/>
          <w:szCs w:val="19"/>
        </w:rPr>
        <w:t xml:space="preserve"> 6D.</w:t>
      </w:r>
    </w:p>
  </w:footnote>
  <w:footnote w:id="58">
    <w:p w14:paraId="6CA1AC8B" w14:textId="71A2B22E" w:rsidR="00D761C6" w:rsidRPr="00DC7A14" w:rsidRDefault="00D761C6" w:rsidP="00B76FF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Privacy Act 1988 </w:t>
      </w:r>
      <w:r w:rsidRPr="00DC7A14">
        <w:rPr>
          <w:rFonts w:ascii="Times New Roman" w:hAnsi="Times New Roman" w:cs="Times New Roman"/>
          <w:sz w:val="19"/>
          <w:szCs w:val="19"/>
        </w:rPr>
        <w:t xml:space="preserve">(Cth) s 4 </w:t>
      </w:r>
      <w:r w:rsidR="004A3ECE" w:rsidRPr="00DC7A14">
        <w:rPr>
          <w:rFonts w:ascii="Times New Roman" w:hAnsi="Times New Roman" w:cs="Times New Roman"/>
          <w:sz w:val="19"/>
          <w:szCs w:val="19"/>
        </w:rPr>
        <w:t>(definition of ‘APP entity’ and ‘organisation’)</w:t>
      </w:r>
      <w:r w:rsidRPr="00DC7A14">
        <w:rPr>
          <w:rFonts w:ascii="Times New Roman" w:hAnsi="Times New Roman" w:cs="Times New Roman"/>
          <w:sz w:val="19"/>
          <w:szCs w:val="19"/>
        </w:rPr>
        <w:t xml:space="preserve">. Note </w:t>
      </w:r>
      <w:r w:rsidR="004A3ECE" w:rsidRPr="00DC7A14">
        <w:rPr>
          <w:rFonts w:ascii="Times New Roman" w:hAnsi="Times New Roman" w:cs="Times New Roman"/>
          <w:sz w:val="19"/>
          <w:szCs w:val="19"/>
        </w:rPr>
        <w:t xml:space="preserve">that </w:t>
      </w:r>
      <w:r w:rsidRPr="00DC7A14">
        <w:rPr>
          <w:rFonts w:ascii="Times New Roman" w:hAnsi="Times New Roman" w:cs="Times New Roman"/>
          <w:sz w:val="19"/>
          <w:szCs w:val="19"/>
        </w:rPr>
        <w:t>under s 7C political acts and practices connected with the political process, including contractors and volunteers, are also generally exempt.</w:t>
      </w:r>
    </w:p>
  </w:footnote>
  <w:footnote w:id="59">
    <w:p w14:paraId="6550B1DD" w14:textId="54C02698" w:rsidR="00D761C6" w:rsidRPr="00DC7A14" w:rsidRDefault="00D761C6" w:rsidP="00B76FF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Attorney General’s Department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_Ref91746263 \h </w:instrText>
      </w:r>
      <w:r w:rsidR="00803EBC"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25</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 28.</w:t>
      </w:r>
    </w:p>
  </w:footnote>
  <w:footnote w:id="60">
    <w:p w14:paraId="63C45F7F" w14:textId="02B8653E" w:rsidR="00D761C6" w:rsidRPr="00DC7A14" w:rsidRDefault="00D761C6" w:rsidP="00B76FF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02504F" w:rsidRPr="00DC7A14">
        <w:rPr>
          <w:rFonts w:ascii="Times New Roman" w:hAnsi="Times New Roman" w:cs="Times New Roman"/>
          <w:sz w:val="19"/>
          <w:szCs w:val="19"/>
        </w:rPr>
        <w:t>,</w:t>
      </w:r>
      <w:r w:rsidR="0002504F" w:rsidRPr="00DC7A14">
        <w:rPr>
          <w:rFonts w:ascii="Times New Roman" w:hAnsi="Times New Roman" w:cs="Times New Roman"/>
          <w:i/>
          <w:iCs/>
          <w:sz w:val="19"/>
          <w:szCs w:val="19"/>
        </w:rPr>
        <w:t xml:space="preserve"> Submission to Privacy Act Review</w:t>
      </w:r>
      <w:r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_Ref85809175 \h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FB4AB5" w:rsidRPr="00DC7A14">
        <w:rPr>
          <w:rFonts w:ascii="Times New Roman" w:hAnsi="Times New Roman" w:cs="Times New Roman"/>
          <w:sz w:val="19"/>
          <w:szCs w:val="19"/>
        </w:rPr>
        <w:fldChar w:fldCharType="end"/>
      </w:r>
      <w:r w:rsidRPr="00DC7A14">
        <w:rPr>
          <w:rFonts w:ascii="Times New Roman" w:hAnsi="Times New Roman" w:cs="Times New Roman"/>
          <w:sz w:val="19"/>
          <w:szCs w:val="19"/>
        </w:rPr>
        <w:t>) 62.</w:t>
      </w:r>
    </w:p>
  </w:footnote>
  <w:footnote w:id="61">
    <w:p w14:paraId="00FFB17B" w14:textId="3B32FEEB" w:rsidR="000F5E9A" w:rsidRPr="00DC7A14" w:rsidRDefault="000F5E9A">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6C(1), (3).</w:t>
      </w:r>
      <w:r w:rsidR="00E524EE" w:rsidRPr="00DC7A14">
        <w:rPr>
          <w:rFonts w:ascii="Times New Roman" w:hAnsi="Times New Roman" w:cs="Times New Roman"/>
          <w:sz w:val="19"/>
          <w:szCs w:val="19"/>
        </w:rPr>
        <w:t xml:space="preserve"> This includes bodies or tribunals established or appointed for a public purpose under a </w:t>
      </w:r>
      <w:r w:rsidR="00D07E69" w:rsidRPr="00DC7A14">
        <w:rPr>
          <w:rFonts w:ascii="Times New Roman" w:hAnsi="Times New Roman" w:cs="Times New Roman"/>
          <w:sz w:val="19"/>
          <w:szCs w:val="19"/>
        </w:rPr>
        <w:t>s</w:t>
      </w:r>
      <w:r w:rsidR="00E524EE" w:rsidRPr="00DC7A14">
        <w:rPr>
          <w:rFonts w:ascii="Times New Roman" w:hAnsi="Times New Roman" w:cs="Times New Roman"/>
          <w:sz w:val="19"/>
          <w:szCs w:val="19"/>
        </w:rPr>
        <w:t xml:space="preserve">tate or </w:t>
      </w:r>
      <w:r w:rsidR="00D07E69" w:rsidRPr="00DC7A14">
        <w:rPr>
          <w:rFonts w:ascii="Times New Roman" w:hAnsi="Times New Roman" w:cs="Times New Roman"/>
          <w:sz w:val="19"/>
          <w:szCs w:val="19"/>
        </w:rPr>
        <w:t>t</w:t>
      </w:r>
      <w:r w:rsidR="00E524EE" w:rsidRPr="00DC7A14">
        <w:rPr>
          <w:rFonts w:ascii="Times New Roman" w:hAnsi="Times New Roman" w:cs="Times New Roman"/>
          <w:sz w:val="19"/>
          <w:szCs w:val="19"/>
        </w:rPr>
        <w:t>erritory law, except where that body is an incorporated company, society</w:t>
      </w:r>
      <w:r w:rsidR="00797F5A" w:rsidRPr="00DC7A14">
        <w:rPr>
          <w:rFonts w:ascii="Times New Roman" w:hAnsi="Times New Roman" w:cs="Times New Roman"/>
          <w:sz w:val="19"/>
          <w:szCs w:val="19"/>
        </w:rPr>
        <w:t>,</w:t>
      </w:r>
      <w:r w:rsidR="00E524EE" w:rsidRPr="00DC7A14">
        <w:rPr>
          <w:rFonts w:ascii="Times New Roman" w:hAnsi="Times New Roman" w:cs="Times New Roman"/>
          <w:sz w:val="19"/>
          <w:szCs w:val="19"/>
        </w:rPr>
        <w:t xml:space="preserve"> or association. </w:t>
      </w:r>
      <w:r w:rsidR="008B799E" w:rsidRPr="00DC7A14">
        <w:rPr>
          <w:rFonts w:ascii="Times New Roman" w:hAnsi="Times New Roman" w:cs="Times New Roman"/>
          <w:sz w:val="19"/>
          <w:szCs w:val="19"/>
        </w:rPr>
        <w:t xml:space="preserve">Note that </w:t>
      </w:r>
      <w:r w:rsidR="00D07E69" w:rsidRPr="00DC7A14">
        <w:rPr>
          <w:rFonts w:ascii="Times New Roman" w:hAnsi="Times New Roman" w:cs="Times New Roman"/>
          <w:sz w:val="19"/>
          <w:szCs w:val="19"/>
        </w:rPr>
        <w:t>s</w:t>
      </w:r>
      <w:r w:rsidR="008B799E" w:rsidRPr="00DC7A14">
        <w:rPr>
          <w:rFonts w:ascii="Times New Roman" w:hAnsi="Times New Roman" w:cs="Times New Roman"/>
          <w:sz w:val="19"/>
          <w:szCs w:val="19"/>
        </w:rPr>
        <w:t xml:space="preserve">tates and </w:t>
      </w:r>
      <w:r w:rsidR="00D07E69" w:rsidRPr="00DC7A14">
        <w:rPr>
          <w:rFonts w:ascii="Times New Roman" w:hAnsi="Times New Roman" w:cs="Times New Roman"/>
          <w:sz w:val="19"/>
          <w:szCs w:val="19"/>
        </w:rPr>
        <w:t>t</w:t>
      </w:r>
      <w:r w:rsidR="008B799E" w:rsidRPr="00DC7A14">
        <w:rPr>
          <w:rFonts w:ascii="Times New Roman" w:hAnsi="Times New Roman" w:cs="Times New Roman"/>
          <w:sz w:val="19"/>
          <w:szCs w:val="19"/>
        </w:rPr>
        <w:t>erritories can also request that their instrumentalities be exempted.</w:t>
      </w:r>
    </w:p>
  </w:footnote>
  <w:footnote w:id="62">
    <w:p w14:paraId="5683516A" w14:textId="4C081788" w:rsidR="00D761C6" w:rsidRPr="00DC7A14" w:rsidRDefault="00D761C6" w:rsidP="005C5B5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Privacy Act 1988 </w:t>
      </w:r>
      <w:r w:rsidRPr="00DC7A14">
        <w:rPr>
          <w:rFonts w:ascii="Times New Roman" w:hAnsi="Times New Roman" w:cs="Times New Roman"/>
          <w:sz w:val="19"/>
          <w:szCs w:val="19"/>
        </w:rPr>
        <w:t>(Cth) s 7B(5)</w:t>
      </w:r>
      <w:r w:rsidR="00F67EE8" w:rsidRPr="00DC7A14">
        <w:rPr>
          <w:rFonts w:ascii="Times New Roman" w:hAnsi="Times New Roman" w:cs="Times New Roman"/>
          <w:sz w:val="19"/>
          <w:szCs w:val="19"/>
        </w:rPr>
        <w:t>.</w:t>
      </w:r>
    </w:p>
  </w:footnote>
  <w:footnote w:id="63">
    <w:p w14:paraId="40C0BCE1" w14:textId="5727786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the discussion of health information and sensitive information for an example of where information may be covered by the PIPPs but may not be personal information</w:t>
      </w:r>
      <w:r w:rsidR="00646DE9" w:rsidRPr="00DC7A14">
        <w:rPr>
          <w:rFonts w:ascii="Times New Roman" w:hAnsi="Times New Roman" w:cs="Times New Roman"/>
          <w:sz w:val="19"/>
          <w:szCs w:val="19"/>
        </w:rPr>
        <w:t>—for example, genetic information</w:t>
      </w:r>
      <w:r w:rsidR="001E1C8B">
        <w:rPr>
          <w:rFonts w:ascii="Times New Roman" w:hAnsi="Times New Roman" w:cs="Times New Roman"/>
          <w:sz w:val="19"/>
          <w:szCs w:val="19"/>
        </w:rPr>
        <w:t xml:space="preserve"> (see below at</w:t>
      </w:r>
      <w:r w:rsidR="00646DE9" w:rsidRPr="00DC7A14">
        <w:rPr>
          <w:rFonts w:ascii="Times New Roman" w:hAnsi="Times New Roman" w:cs="Times New Roman"/>
          <w:sz w:val="19"/>
          <w:szCs w:val="19"/>
        </w:rPr>
        <w:t xml:space="preserve"> </w:t>
      </w:r>
      <w:r w:rsidR="00D332F8" w:rsidRPr="00DC7A14">
        <w:rPr>
          <w:rFonts w:ascii="Times New Roman" w:hAnsi="Times New Roman" w:cs="Times New Roman"/>
          <w:sz w:val="19"/>
          <w:szCs w:val="19"/>
        </w:rPr>
        <w:t>[</w:t>
      </w:r>
      <w:r w:rsidR="009A7D86" w:rsidRPr="00DC7A14">
        <w:rPr>
          <w:rFonts w:ascii="Times New Roman" w:hAnsi="Times New Roman" w:cs="Times New Roman"/>
          <w:sz w:val="19"/>
          <w:szCs w:val="19"/>
        </w:rPr>
        <w:fldChar w:fldCharType="begin"/>
      </w:r>
      <w:r w:rsidR="009A7D86" w:rsidRPr="00DC7A14">
        <w:rPr>
          <w:rFonts w:ascii="Times New Roman" w:hAnsi="Times New Roman" w:cs="Times New Roman"/>
          <w:sz w:val="19"/>
          <w:szCs w:val="19"/>
        </w:rPr>
        <w:instrText xml:space="preserve"> REF _Ref91749316 \r \h </w:instrText>
      </w:r>
      <w:r w:rsidR="008569E2" w:rsidRPr="00DC7A14">
        <w:rPr>
          <w:rFonts w:ascii="Times New Roman" w:hAnsi="Times New Roman" w:cs="Times New Roman"/>
          <w:sz w:val="19"/>
          <w:szCs w:val="19"/>
        </w:rPr>
        <w:instrText xml:space="preserve"> \* MERGEFORMAT </w:instrText>
      </w:r>
      <w:r w:rsidR="009A7D86" w:rsidRPr="00DC7A14">
        <w:rPr>
          <w:rFonts w:ascii="Times New Roman" w:hAnsi="Times New Roman" w:cs="Times New Roman"/>
          <w:sz w:val="19"/>
          <w:szCs w:val="19"/>
        </w:rPr>
      </w:r>
      <w:r w:rsidR="009A7D86"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2.2.38</w:t>
      </w:r>
      <w:r w:rsidR="009A7D86" w:rsidRPr="00DC7A14">
        <w:rPr>
          <w:rFonts w:ascii="Times New Roman" w:hAnsi="Times New Roman" w:cs="Times New Roman"/>
          <w:sz w:val="19"/>
          <w:szCs w:val="19"/>
        </w:rPr>
        <w:fldChar w:fldCharType="end"/>
      </w:r>
      <w:r w:rsidR="00D332F8" w:rsidRPr="00DC7A14">
        <w:rPr>
          <w:rFonts w:ascii="Times New Roman" w:hAnsi="Times New Roman" w:cs="Times New Roman"/>
          <w:sz w:val="19"/>
          <w:szCs w:val="19"/>
        </w:rPr>
        <w:t>]</w:t>
      </w:r>
      <w:r w:rsidR="001E1C8B">
        <w:rPr>
          <w:rFonts w:ascii="Times New Roman" w:hAnsi="Times New Roman" w:cs="Times New Roman"/>
          <w:sz w:val="19"/>
          <w:szCs w:val="19"/>
        </w:rPr>
        <w:t>)</w:t>
      </w:r>
      <w:r w:rsidRPr="00DC7A14">
        <w:rPr>
          <w:rFonts w:ascii="Times New Roman" w:hAnsi="Times New Roman" w:cs="Times New Roman"/>
          <w:sz w:val="19"/>
          <w:szCs w:val="19"/>
        </w:rPr>
        <w:t>.</w:t>
      </w:r>
    </w:p>
  </w:footnote>
  <w:footnote w:id="64">
    <w:p w14:paraId="35C93717" w14:textId="2BFCE229" w:rsidR="00034CEE" w:rsidRPr="00DC7A14" w:rsidRDefault="00034CEE" w:rsidP="00034CE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3 (definition of ‘personal information’).</w:t>
      </w:r>
    </w:p>
  </w:footnote>
  <w:footnote w:id="65">
    <w:p w14:paraId="746BB31B" w14:textId="33512521" w:rsidR="00D761C6" w:rsidRPr="00DC7A14" w:rsidRDefault="00D761C6" w:rsidP="006B2D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82E71" w:rsidRPr="00DC7A14">
        <w:rPr>
          <w:rFonts w:ascii="Times New Roman" w:hAnsi="Times New Roman" w:cs="Times New Roman"/>
          <w:sz w:val="19"/>
          <w:szCs w:val="19"/>
        </w:rPr>
        <w:t xml:space="preserve">Cf </w:t>
      </w:r>
      <w:r w:rsidR="00082E71" w:rsidRPr="00DC7A14">
        <w:rPr>
          <w:rFonts w:ascii="Times New Roman" w:hAnsi="Times New Roman" w:cs="Times New Roman"/>
          <w:i/>
          <w:iCs/>
          <w:sz w:val="19"/>
          <w:szCs w:val="19"/>
        </w:rPr>
        <w:t xml:space="preserve">Privacy Act 1988 </w:t>
      </w:r>
      <w:r w:rsidR="00082E71" w:rsidRPr="00DC7A14">
        <w:rPr>
          <w:rFonts w:ascii="Times New Roman" w:hAnsi="Times New Roman" w:cs="Times New Roman"/>
          <w:sz w:val="19"/>
          <w:szCs w:val="19"/>
        </w:rPr>
        <w:t xml:space="preserve">(Cth) </w:t>
      </w:r>
      <w:r w:rsidR="00DA6BE3" w:rsidRPr="00DC7A14">
        <w:rPr>
          <w:rFonts w:ascii="Times New Roman" w:hAnsi="Times New Roman" w:cs="Times New Roman"/>
          <w:sz w:val="19"/>
          <w:szCs w:val="19"/>
        </w:rPr>
        <w:t>s 6</w:t>
      </w:r>
      <w:r w:rsidR="00082E71" w:rsidRPr="00DC7A14">
        <w:rPr>
          <w:rFonts w:ascii="Times New Roman" w:hAnsi="Times New Roman" w:cs="Times New Roman"/>
          <w:sz w:val="19"/>
          <w:szCs w:val="19"/>
        </w:rPr>
        <w:t xml:space="preserve"> (definition of ‘</w:t>
      </w:r>
      <w:r w:rsidRPr="00DC7A14">
        <w:rPr>
          <w:rFonts w:ascii="Times New Roman" w:hAnsi="Times New Roman" w:cs="Times New Roman"/>
          <w:sz w:val="19"/>
          <w:szCs w:val="19"/>
        </w:rPr>
        <w:t>personal information</w:t>
      </w:r>
      <w:r w:rsidR="00082E71" w:rsidRPr="00DC7A14">
        <w:rPr>
          <w:rFonts w:ascii="Times New Roman" w:hAnsi="Times New Roman" w:cs="Times New Roman"/>
          <w:sz w:val="19"/>
          <w:szCs w:val="19"/>
        </w:rPr>
        <w:t>’)</w:t>
      </w:r>
      <w:r w:rsidRPr="00DC7A14">
        <w:rPr>
          <w:rFonts w:ascii="Times New Roman" w:hAnsi="Times New Roman" w:cs="Times New Roman"/>
          <w:sz w:val="19"/>
          <w:szCs w:val="19"/>
        </w:rPr>
        <w:t>:</w:t>
      </w:r>
    </w:p>
    <w:p w14:paraId="62C31123" w14:textId="04E2F34D" w:rsidR="00D761C6" w:rsidRPr="00DC7A14" w:rsidRDefault="004B164A" w:rsidP="007A1EAC">
      <w:pPr>
        <w:pStyle w:val="FootnoteText"/>
        <w:ind w:left="284"/>
        <w:rPr>
          <w:rFonts w:ascii="Times New Roman" w:hAnsi="Times New Roman" w:cs="Times New Roman"/>
          <w:sz w:val="19"/>
          <w:szCs w:val="19"/>
        </w:rPr>
      </w:pPr>
      <w:r>
        <w:rPr>
          <w:rFonts w:ascii="Times New Roman" w:hAnsi="Times New Roman" w:cs="Times New Roman"/>
          <w:sz w:val="19"/>
          <w:szCs w:val="19"/>
        </w:rPr>
        <w:t>‘</w:t>
      </w:r>
      <w:r w:rsidR="00D761C6" w:rsidRPr="00DC7A14">
        <w:rPr>
          <w:rFonts w:ascii="Times New Roman" w:hAnsi="Times New Roman" w:cs="Times New Roman"/>
          <w:sz w:val="19"/>
          <w:szCs w:val="19"/>
        </w:rPr>
        <w:t>information or an opinion about an identified individual, or an individual who is reasonably identifiable:</w:t>
      </w:r>
    </w:p>
    <w:p w14:paraId="70754F24" w14:textId="77777777" w:rsidR="00D761C6" w:rsidRPr="00DC7A14" w:rsidRDefault="00D761C6" w:rsidP="007A1EAC">
      <w:pPr>
        <w:pStyle w:val="FootnoteText"/>
        <w:ind w:firstLine="720"/>
        <w:rPr>
          <w:rFonts w:ascii="Times New Roman" w:hAnsi="Times New Roman" w:cs="Times New Roman"/>
          <w:sz w:val="19"/>
          <w:szCs w:val="19"/>
        </w:rPr>
      </w:pPr>
      <w:r w:rsidRPr="00DC7A14">
        <w:rPr>
          <w:rFonts w:ascii="Times New Roman" w:hAnsi="Times New Roman" w:cs="Times New Roman"/>
          <w:sz w:val="19"/>
          <w:szCs w:val="19"/>
        </w:rPr>
        <w:t>(a)  whether the information or opinion is true or not; and</w:t>
      </w:r>
    </w:p>
    <w:p w14:paraId="5A02384F" w14:textId="04AAB912" w:rsidR="00D761C6" w:rsidRPr="00DC7A14" w:rsidRDefault="00D761C6" w:rsidP="007A1EAC">
      <w:pPr>
        <w:pStyle w:val="FootnoteText"/>
        <w:ind w:firstLine="720"/>
        <w:rPr>
          <w:rFonts w:ascii="Times New Roman" w:hAnsi="Times New Roman" w:cs="Times New Roman"/>
          <w:sz w:val="19"/>
          <w:szCs w:val="19"/>
        </w:rPr>
      </w:pPr>
      <w:r w:rsidRPr="00DC7A14">
        <w:rPr>
          <w:rFonts w:ascii="Times New Roman" w:hAnsi="Times New Roman" w:cs="Times New Roman"/>
          <w:sz w:val="19"/>
          <w:szCs w:val="19"/>
        </w:rPr>
        <w:t>(b)  whether the information or opinion is recorded in a material form or not.</w:t>
      </w:r>
      <w:r w:rsidR="004B164A">
        <w:rPr>
          <w:rFonts w:ascii="Times New Roman" w:hAnsi="Times New Roman" w:cs="Times New Roman"/>
          <w:sz w:val="19"/>
          <w:szCs w:val="19"/>
        </w:rPr>
        <w:t>’</w:t>
      </w:r>
    </w:p>
  </w:footnote>
  <w:footnote w:id="66">
    <w:p w14:paraId="22A9D761" w14:textId="47848539" w:rsidR="00D761C6" w:rsidRPr="00DC7A14" w:rsidRDefault="00D761C6" w:rsidP="006B2DC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F60DF" w:rsidRPr="00DC7A14">
        <w:rPr>
          <w:rFonts w:ascii="Times New Roman" w:hAnsi="Times New Roman" w:cs="Times New Roman"/>
          <w:sz w:val="19"/>
          <w:szCs w:val="19"/>
        </w:rPr>
        <w:t xml:space="preserve">Cf </w:t>
      </w:r>
      <w:r w:rsidR="002F60DF" w:rsidRPr="00DC7A14">
        <w:rPr>
          <w:rFonts w:ascii="Times New Roman" w:hAnsi="Times New Roman" w:cs="Times New Roman"/>
          <w:i/>
          <w:iCs/>
          <w:sz w:val="19"/>
          <w:szCs w:val="19"/>
        </w:rPr>
        <w:t xml:space="preserve">Privacy Act 1988 </w:t>
      </w:r>
      <w:r w:rsidR="002F60DF" w:rsidRPr="00DC7A14">
        <w:rPr>
          <w:rFonts w:ascii="Times New Roman" w:hAnsi="Times New Roman" w:cs="Times New Roman"/>
          <w:sz w:val="19"/>
          <w:szCs w:val="19"/>
        </w:rPr>
        <w:t xml:space="preserve">(Cth) s 6. </w:t>
      </w:r>
      <w:r w:rsidRPr="00DC7A14">
        <w:rPr>
          <w:rFonts w:ascii="Times New Roman" w:hAnsi="Times New Roman" w:cs="Times New Roman"/>
          <w:sz w:val="19"/>
          <w:szCs w:val="19"/>
        </w:rPr>
        <w:t>Note that while the some of the APPs apply to a record of personal information (eg APP 6), the definition of personal information can include information shared verbally</w:t>
      </w:r>
      <w:r w:rsidR="00DF6425" w:rsidRPr="00DC7A14">
        <w:rPr>
          <w:rFonts w:ascii="Times New Roman" w:hAnsi="Times New Roman" w:cs="Times New Roman"/>
          <w:sz w:val="19"/>
          <w:szCs w:val="19"/>
        </w:rPr>
        <w:t xml:space="preserve">: </w:t>
      </w:r>
      <w:r w:rsidRPr="00DC7A14">
        <w:rPr>
          <w:rFonts w:ascii="Times New Roman" w:hAnsi="Times New Roman" w:cs="Times New Roman"/>
          <w:sz w:val="19"/>
          <w:szCs w:val="19"/>
        </w:rPr>
        <w:t>see OAIC, ‘What is personal Information’</w:t>
      </w:r>
      <w:r w:rsidR="002471AD" w:rsidRPr="00DC7A14">
        <w:rPr>
          <w:rFonts w:ascii="Times New Roman" w:hAnsi="Times New Roman" w:cs="Times New Roman"/>
          <w:sz w:val="19"/>
          <w:szCs w:val="19"/>
        </w:rPr>
        <w:t xml:space="preserve"> (Web Page)</w:t>
      </w:r>
      <w:r w:rsidRPr="00DC7A14">
        <w:rPr>
          <w:rFonts w:ascii="Times New Roman" w:hAnsi="Times New Roman" w:cs="Times New Roman"/>
          <w:sz w:val="19"/>
          <w:szCs w:val="19"/>
        </w:rPr>
        <w:t xml:space="preserve"> </w:t>
      </w:r>
      <w:r w:rsidR="002471AD" w:rsidRPr="00DC7A14">
        <w:rPr>
          <w:rFonts w:ascii="Times New Roman" w:hAnsi="Times New Roman" w:cs="Times New Roman"/>
          <w:sz w:val="19"/>
          <w:szCs w:val="19"/>
        </w:rPr>
        <w:t>&lt;</w:t>
      </w:r>
      <w:hyperlink r:id="rId4" w:history="1">
        <w:r w:rsidR="002471AD" w:rsidRPr="00DC7A14">
          <w:rPr>
            <w:rStyle w:val="Hyperlink"/>
            <w:rFonts w:ascii="Times New Roman" w:hAnsi="Times New Roman" w:cs="Times New Roman"/>
            <w:sz w:val="19"/>
            <w:szCs w:val="19"/>
          </w:rPr>
          <w:t>https://www.oaic.gov.au/privacy/guidance-and-advice/what-is-personal-information/</w:t>
        </w:r>
      </w:hyperlink>
      <w:r w:rsidR="002471AD" w:rsidRPr="00DC7A14">
        <w:rPr>
          <w:rFonts w:ascii="Times New Roman" w:hAnsi="Times New Roman" w:cs="Times New Roman"/>
          <w:sz w:val="19"/>
          <w:szCs w:val="19"/>
        </w:rPr>
        <w:t>&gt;.</w:t>
      </w:r>
      <w:r w:rsidRPr="00DC7A14">
        <w:rPr>
          <w:rFonts w:ascii="Times New Roman" w:hAnsi="Times New Roman" w:cs="Times New Roman"/>
          <w:sz w:val="19"/>
          <w:szCs w:val="19"/>
        </w:rPr>
        <w:t xml:space="preserve"> </w:t>
      </w:r>
    </w:p>
  </w:footnote>
  <w:footnote w:id="67">
    <w:p w14:paraId="58089F6E" w14:textId="538211EB" w:rsidR="00A5121F" w:rsidRPr="00DC7A14" w:rsidRDefault="00A5121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Cf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w:t>
      </w:r>
    </w:p>
  </w:footnote>
  <w:footnote w:id="68">
    <w:p w14:paraId="340D9398" w14:textId="4688D1D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Commissioner v Telstra Corporation Limited </w:t>
      </w:r>
      <w:r w:rsidRPr="00DC7A14">
        <w:rPr>
          <w:rFonts w:ascii="Times New Roman" w:hAnsi="Times New Roman" w:cs="Times New Roman"/>
          <w:sz w:val="19"/>
          <w:szCs w:val="19"/>
        </w:rPr>
        <w:t>[2017] FCAFC 4 [63].</w:t>
      </w:r>
    </w:p>
  </w:footnote>
  <w:footnote w:id="69">
    <w:p w14:paraId="35EBA925" w14:textId="1CC8FA5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w:t>
      </w:r>
      <w:r w:rsidR="00D37F3D" w:rsidRPr="00DC7A14">
        <w:rPr>
          <w:rFonts w:ascii="Times New Roman" w:hAnsi="Times New Roman" w:cs="Times New Roman"/>
          <w:sz w:val="19"/>
          <w:szCs w:val="19"/>
        </w:rPr>
        <w:t xml:space="preserve">, eg, OAIC, </w:t>
      </w:r>
      <w:r w:rsidR="0002504F" w:rsidRPr="00DC7A14">
        <w:rPr>
          <w:rFonts w:ascii="Times New Roman" w:hAnsi="Times New Roman" w:cs="Times New Roman"/>
          <w:i/>
          <w:iCs/>
          <w:sz w:val="19"/>
          <w:szCs w:val="19"/>
        </w:rPr>
        <w:t>Submission to Privacy Act Review</w:t>
      </w:r>
      <w:r w:rsidR="0002504F" w:rsidRPr="00DC7A14" w:rsidDel="0063479D">
        <w:rPr>
          <w:rFonts w:ascii="Times New Roman" w:hAnsi="Times New Roman" w:cs="Times New Roman"/>
          <w:sz w:val="19"/>
          <w:szCs w:val="19"/>
        </w:rPr>
        <w:t xml:space="preserve"> </w:t>
      </w:r>
      <w:r w:rsidR="00D37F3D" w:rsidRPr="00DC7A14">
        <w:rPr>
          <w:rFonts w:ascii="Times New Roman" w:hAnsi="Times New Roman" w:cs="Times New Roman"/>
          <w:sz w:val="19"/>
          <w:szCs w:val="19"/>
        </w:rPr>
        <w:t xml:space="preserve">(n </w:t>
      </w:r>
      <w:r w:rsidR="00D37F3D" w:rsidRPr="00DC7A14">
        <w:rPr>
          <w:rFonts w:ascii="Times New Roman" w:hAnsi="Times New Roman" w:cs="Times New Roman"/>
          <w:sz w:val="19"/>
          <w:szCs w:val="19"/>
        </w:rPr>
        <w:fldChar w:fldCharType="begin"/>
      </w:r>
      <w:r w:rsidR="00D37F3D" w:rsidRPr="00DC7A14">
        <w:rPr>
          <w:rFonts w:ascii="Times New Roman" w:hAnsi="Times New Roman" w:cs="Times New Roman"/>
          <w:sz w:val="19"/>
          <w:szCs w:val="19"/>
        </w:rPr>
        <w:instrText xml:space="preserve"> NOTEREF _Ref85809175 \h </w:instrText>
      </w:r>
      <w:r w:rsidR="00803EBC" w:rsidRPr="00DC7A14">
        <w:rPr>
          <w:rFonts w:ascii="Times New Roman" w:hAnsi="Times New Roman" w:cs="Times New Roman"/>
          <w:sz w:val="19"/>
          <w:szCs w:val="19"/>
        </w:rPr>
        <w:instrText xml:space="preserve"> \* MERGEFORMAT </w:instrText>
      </w:r>
      <w:r w:rsidR="00D37F3D" w:rsidRPr="00DC7A14">
        <w:rPr>
          <w:rFonts w:ascii="Times New Roman" w:hAnsi="Times New Roman" w:cs="Times New Roman"/>
          <w:sz w:val="19"/>
          <w:szCs w:val="19"/>
        </w:rPr>
      </w:r>
      <w:r w:rsidR="00D37F3D"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D37F3D" w:rsidRPr="00DC7A14">
        <w:rPr>
          <w:rFonts w:ascii="Times New Roman" w:hAnsi="Times New Roman" w:cs="Times New Roman"/>
          <w:sz w:val="19"/>
          <w:szCs w:val="19"/>
        </w:rPr>
        <w:fldChar w:fldCharType="end"/>
      </w:r>
      <w:r w:rsidR="00D37F3D" w:rsidRPr="00DC7A14">
        <w:rPr>
          <w:rFonts w:ascii="Times New Roman" w:hAnsi="Times New Roman" w:cs="Times New Roman"/>
          <w:sz w:val="19"/>
          <w:szCs w:val="19"/>
        </w:rPr>
        <w:t xml:space="preserve">) </w:t>
      </w:r>
      <w:r w:rsidRPr="00DC7A14">
        <w:rPr>
          <w:rFonts w:ascii="Times New Roman" w:hAnsi="Times New Roman" w:cs="Times New Roman"/>
          <w:sz w:val="19"/>
          <w:szCs w:val="19"/>
        </w:rPr>
        <w:t>27</w:t>
      </w:r>
      <w:r w:rsidR="00D37F3D" w:rsidRPr="00DC7A14">
        <w:rPr>
          <w:rFonts w:ascii="Times New Roman" w:hAnsi="Times New Roman" w:cs="Times New Roman"/>
          <w:sz w:val="19"/>
          <w:szCs w:val="19"/>
        </w:rPr>
        <w:t>–</w:t>
      </w:r>
      <w:r w:rsidRPr="00DC7A14">
        <w:rPr>
          <w:rFonts w:ascii="Times New Roman" w:hAnsi="Times New Roman" w:cs="Times New Roman"/>
          <w:sz w:val="19"/>
          <w:szCs w:val="19"/>
        </w:rPr>
        <w:t>33</w:t>
      </w:r>
      <w:r w:rsidR="00D37F3D" w:rsidRPr="00DC7A14">
        <w:rPr>
          <w:rFonts w:ascii="Times New Roman" w:hAnsi="Times New Roman" w:cs="Times New Roman"/>
          <w:sz w:val="19"/>
          <w:szCs w:val="19"/>
        </w:rPr>
        <w:t>. The OAIC</w:t>
      </w:r>
      <w:r w:rsidRPr="00DC7A14">
        <w:rPr>
          <w:rFonts w:ascii="Times New Roman" w:hAnsi="Times New Roman" w:cs="Times New Roman"/>
          <w:sz w:val="19"/>
          <w:szCs w:val="19"/>
        </w:rPr>
        <w:t xml:space="preserve"> </w:t>
      </w:r>
      <w:r w:rsidR="00D37F3D" w:rsidRPr="00DC7A14">
        <w:rPr>
          <w:rFonts w:ascii="Times New Roman" w:hAnsi="Times New Roman" w:cs="Times New Roman"/>
          <w:sz w:val="19"/>
          <w:szCs w:val="19"/>
        </w:rPr>
        <w:t xml:space="preserve">recommended </w:t>
      </w:r>
      <w:r w:rsidRPr="00DC7A14">
        <w:rPr>
          <w:rFonts w:ascii="Times New Roman" w:hAnsi="Times New Roman" w:cs="Times New Roman"/>
          <w:sz w:val="19"/>
          <w:szCs w:val="19"/>
        </w:rPr>
        <w:t>that the definition be clarified to include references to inferred information.</w:t>
      </w:r>
    </w:p>
  </w:footnote>
  <w:footnote w:id="70">
    <w:p w14:paraId="36590C5C" w14:textId="71C2F060"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B4AB5" w:rsidRPr="00164EF9">
        <w:rPr>
          <w:rFonts w:ascii="Times New Roman" w:hAnsi="Times New Roman" w:cs="Times New Roman"/>
          <w:sz w:val="19"/>
          <w:szCs w:val="19"/>
        </w:rPr>
        <w:t>GDPR</w:t>
      </w:r>
      <w:r w:rsidR="00FB4AB5"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_Ref91746333 \h </w:instrText>
      </w:r>
      <w:r w:rsidR="00803EBC"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FB4AB5" w:rsidRPr="00DC7A14">
        <w:rPr>
          <w:rFonts w:ascii="Times New Roman" w:hAnsi="Times New Roman" w:cs="Times New Roman"/>
          <w:sz w:val="19"/>
          <w:szCs w:val="19"/>
        </w:rPr>
        <w:fldChar w:fldCharType="end"/>
      </w:r>
      <w:r w:rsidR="00FB4AB5" w:rsidRPr="00DC7A14">
        <w:rPr>
          <w:rFonts w:ascii="Times New Roman" w:hAnsi="Times New Roman" w:cs="Times New Roman"/>
          <w:sz w:val="19"/>
          <w:szCs w:val="19"/>
        </w:rPr>
        <w:t>)</w:t>
      </w:r>
      <w:r w:rsidRPr="00DC7A14">
        <w:rPr>
          <w:rFonts w:ascii="Times New Roman" w:hAnsi="Times New Roman" w:cs="Times New Roman"/>
          <w:sz w:val="19"/>
          <w:szCs w:val="19"/>
        </w:rPr>
        <w:t xml:space="preserve"> (emphasis added). </w:t>
      </w:r>
    </w:p>
  </w:footnote>
  <w:footnote w:id="71">
    <w:p w14:paraId="0D81D91F" w14:textId="73ACA15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i/>
          <w:iCs/>
          <w:sz w:val="19"/>
          <w:szCs w:val="19"/>
        </w:rPr>
        <w:t xml:space="preserve">Peter Nowak v Data Protection Commissioner </w:t>
      </w:r>
      <w:r w:rsidRPr="00DC7A14">
        <w:rPr>
          <w:rFonts w:ascii="Times New Roman" w:hAnsi="Times New Roman" w:cs="Times New Roman"/>
          <w:sz w:val="19"/>
          <w:szCs w:val="19"/>
        </w:rPr>
        <w:t>(</w:t>
      </w:r>
      <w:r w:rsidR="00663DAC" w:rsidRPr="00DC7A14">
        <w:rPr>
          <w:rFonts w:ascii="Times New Roman" w:hAnsi="Times New Roman" w:cs="Times New Roman"/>
          <w:sz w:val="19"/>
          <w:szCs w:val="19"/>
        </w:rPr>
        <w:t xml:space="preserve">Court of Justice of the European Union, </w:t>
      </w:r>
      <w:r w:rsidRPr="00DC7A14">
        <w:rPr>
          <w:rFonts w:ascii="Times New Roman" w:hAnsi="Times New Roman" w:cs="Times New Roman"/>
          <w:sz w:val="19"/>
          <w:szCs w:val="19"/>
        </w:rPr>
        <w:t>C-434/16</w:t>
      </w:r>
      <w:r w:rsidR="00663DAC" w:rsidRPr="00DC7A14">
        <w:rPr>
          <w:rFonts w:ascii="Times New Roman" w:hAnsi="Times New Roman" w:cs="Times New Roman"/>
          <w:sz w:val="19"/>
          <w:szCs w:val="19"/>
        </w:rPr>
        <w:t xml:space="preserve">, ECLI:EU:C:2017:994, 20 December </w:t>
      </w:r>
      <w:r w:rsidRPr="00DC7A14">
        <w:rPr>
          <w:rFonts w:ascii="Times New Roman" w:hAnsi="Times New Roman" w:cs="Times New Roman"/>
          <w:sz w:val="19"/>
          <w:szCs w:val="19"/>
        </w:rPr>
        <w:t>2017</w:t>
      </w:r>
      <w:r w:rsidR="00663DAC" w:rsidRPr="00DC7A14">
        <w:rPr>
          <w:rFonts w:ascii="Times New Roman" w:hAnsi="Times New Roman" w:cs="Times New Roman"/>
          <w:sz w:val="19"/>
          <w:szCs w:val="19"/>
        </w:rPr>
        <w:t>)</w:t>
      </w:r>
      <w:r w:rsidRPr="00DC7A14">
        <w:rPr>
          <w:rFonts w:ascii="Times New Roman" w:hAnsi="Times New Roman" w:cs="Times New Roman"/>
          <w:sz w:val="19"/>
          <w:szCs w:val="19"/>
        </w:rPr>
        <w:t>;</w:t>
      </w:r>
      <w:r w:rsidRPr="00DC7A14">
        <w:rPr>
          <w:rFonts w:ascii="Times New Roman" w:hAnsi="Times New Roman" w:cs="Times New Roman"/>
          <w:i/>
          <w:iCs/>
          <w:sz w:val="19"/>
          <w:szCs w:val="19"/>
        </w:rPr>
        <w:t xml:space="preserve"> YS v Minister voor Immigratie, Integratie en Asiel and Minister voor Immigratie, Integratie en Asiel v M, S, </w:t>
      </w:r>
      <w:r w:rsidRPr="00DC7A14">
        <w:rPr>
          <w:rFonts w:ascii="Times New Roman" w:hAnsi="Times New Roman" w:cs="Times New Roman"/>
          <w:sz w:val="19"/>
          <w:szCs w:val="19"/>
        </w:rPr>
        <w:t>(</w:t>
      </w:r>
      <w:r w:rsidR="00701696" w:rsidRPr="00DC7A14">
        <w:rPr>
          <w:rFonts w:ascii="Times New Roman" w:hAnsi="Times New Roman" w:cs="Times New Roman"/>
          <w:sz w:val="19"/>
          <w:szCs w:val="19"/>
        </w:rPr>
        <w:t xml:space="preserve">Court of Justice of the European Union, C‑141/12 and </w:t>
      </w:r>
      <w:r w:rsidRPr="00DC7A14">
        <w:rPr>
          <w:rFonts w:ascii="Times New Roman" w:hAnsi="Times New Roman" w:cs="Times New Roman"/>
          <w:sz w:val="19"/>
          <w:szCs w:val="19"/>
        </w:rPr>
        <w:t>C‑372/12</w:t>
      </w:r>
      <w:r w:rsidR="00701696" w:rsidRPr="00DC7A14">
        <w:rPr>
          <w:rFonts w:ascii="Times New Roman" w:hAnsi="Times New Roman" w:cs="Times New Roman"/>
          <w:sz w:val="19"/>
          <w:szCs w:val="19"/>
        </w:rPr>
        <w:t xml:space="preserve">, </w:t>
      </w:r>
      <w:r w:rsidRPr="00DC7A14">
        <w:rPr>
          <w:rFonts w:ascii="Times New Roman" w:hAnsi="Times New Roman" w:cs="Times New Roman"/>
          <w:sz w:val="19"/>
          <w:szCs w:val="19"/>
        </w:rPr>
        <w:t>ECLI:EU:C:2014:2081</w:t>
      </w:r>
      <w:r w:rsidR="00701696" w:rsidRPr="00DC7A14">
        <w:rPr>
          <w:rFonts w:ascii="Times New Roman" w:hAnsi="Times New Roman" w:cs="Times New Roman"/>
          <w:sz w:val="19"/>
          <w:szCs w:val="19"/>
        </w:rPr>
        <w:t>, 17 July 2014)</w:t>
      </w:r>
      <w:r w:rsidRPr="00DC7A14">
        <w:rPr>
          <w:rFonts w:ascii="Times New Roman" w:hAnsi="Times New Roman" w:cs="Times New Roman"/>
          <w:sz w:val="19"/>
          <w:szCs w:val="19"/>
        </w:rPr>
        <w:t xml:space="preserve">. </w:t>
      </w:r>
    </w:p>
  </w:footnote>
  <w:footnote w:id="72">
    <w:p w14:paraId="3411DE58" w14:textId="40B64159" w:rsidR="00D761C6" w:rsidRPr="00DC7A14" w:rsidRDefault="00D761C6" w:rsidP="00B770CC">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683FB1" w:rsidRPr="00DC7A14">
        <w:rPr>
          <w:rFonts w:ascii="Times New Roman" w:hAnsi="Times New Roman" w:cs="Times New Roman"/>
          <w:sz w:val="19"/>
          <w:szCs w:val="19"/>
        </w:rPr>
        <w:t xml:space="preserve">OAIC, </w:t>
      </w:r>
      <w:r w:rsidR="00683FB1" w:rsidRPr="00DC7A14">
        <w:rPr>
          <w:rFonts w:ascii="Times New Roman" w:hAnsi="Times New Roman" w:cs="Times New Roman"/>
          <w:i/>
          <w:iCs/>
          <w:sz w:val="19"/>
          <w:szCs w:val="19"/>
        </w:rPr>
        <w:t xml:space="preserve">What is Personal Information </w:t>
      </w:r>
      <w:r w:rsidR="00683FB1" w:rsidRPr="00DC7A14">
        <w:rPr>
          <w:rFonts w:ascii="Times New Roman" w:hAnsi="Times New Roman" w:cs="Times New Roman"/>
          <w:iCs/>
          <w:sz w:val="19"/>
          <w:szCs w:val="19"/>
        </w:rPr>
        <w:t>(Guidance Document, May 2017)</w:t>
      </w:r>
      <w:r w:rsidR="008C2FB3" w:rsidRPr="00DC7A14">
        <w:rPr>
          <w:rFonts w:ascii="Times New Roman" w:hAnsi="Times New Roman" w:cs="Times New Roman"/>
          <w:iCs/>
          <w:sz w:val="19"/>
          <w:szCs w:val="19"/>
        </w:rPr>
        <w:t xml:space="preserve"> 8</w:t>
      </w:r>
      <w:r w:rsidR="00683FB1" w:rsidRPr="00DC7A14">
        <w:rPr>
          <w:rFonts w:ascii="Times New Roman" w:hAnsi="Times New Roman" w:cs="Times New Roman"/>
          <w:iCs/>
          <w:sz w:val="19"/>
          <w:szCs w:val="19"/>
        </w:rPr>
        <w:t>.</w:t>
      </w:r>
    </w:p>
  </w:footnote>
  <w:footnote w:id="73">
    <w:p w14:paraId="3BAA1CC7" w14:textId="36059555" w:rsidR="00BF00E3" w:rsidRDefault="00BF00E3">
      <w:pPr>
        <w:pStyle w:val="FootnoteText"/>
      </w:pPr>
      <w:r w:rsidRPr="00164EF9">
        <w:rPr>
          <w:rStyle w:val="FootnoteReference"/>
          <w:rFonts w:ascii="Times New Roman" w:hAnsi="Times New Roman" w:cs="Times New Roman"/>
        </w:rPr>
        <w:footnoteRef/>
      </w:r>
      <w:r>
        <w:t xml:space="preserve"> </w:t>
      </w:r>
      <w:r w:rsidRPr="00164EF9">
        <w:rPr>
          <w:rFonts w:ascii="Times New Roman" w:hAnsi="Times New Roman" w:cs="Times New Roman"/>
        </w:rPr>
        <w:t xml:space="preserve">See </w:t>
      </w:r>
      <w:r w:rsidRPr="00DC7A14">
        <w:rPr>
          <w:rFonts w:ascii="Times New Roman" w:hAnsi="Times New Roman" w:cs="Times New Roman"/>
          <w:sz w:val="19"/>
          <w:szCs w:val="19"/>
        </w:rPr>
        <w:t xml:space="preserve">Australian Competition and Consumer Commissioner (‘ACCC’), </w:t>
      </w:r>
      <w:r w:rsidRPr="00DC7A14">
        <w:rPr>
          <w:rFonts w:ascii="Times New Roman" w:hAnsi="Times New Roman" w:cs="Times New Roman"/>
          <w:i/>
          <w:iCs/>
          <w:sz w:val="19"/>
          <w:szCs w:val="19"/>
        </w:rPr>
        <w:t xml:space="preserve">Digital Platforms Inquiry </w:t>
      </w:r>
      <w:r w:rsidRPr="00DC7A14">
        <w:rPr>
          <w:rFonts w:ascii="Times New Roman" w:hAnsi="Times New Roman" w:cs="Times New Roman"/>
          <w:sz w:val="19"/>
          <w:szCs w:val="19"/>
        </w:rPr>
        <w:t>(</w:t>
      </w:r>
      <w:r w:rsidR="00241563" w:rsidRPr="00164EF9">
        <w:rPr>
          <w:rFonts w:ascii="Times New Roman" w:hAnsi="Times New Roman" w:cs="Times New Roman"/>
          <w:sz w:val="19"/>
          <w:szCs w:val="19"/>
        </w:rPr>
        <w:t>Final Report</w:t>
      </w:r>
      <w:r w:rsidR="00241563">
        <w:rPr>
          <w:rFonts w:ascii="Times New Roman" w:hAnsi="Times New Roman" w:cs="Times New Roman"/>
          <w:sz w:val="19"/>
          <w:szCs w:val="19"/>
        </w:rPr>
        <w:t xml:space="preserve">, </w:t>
      </w:r>
      <w:r w:rsidRPr="00DC7A14">
        <w:rPr>
          <w:rFonts w:ascii="Times New Roman" w:hAnsi="Times New Roman" w:cs="Times New Roman"/>
          <w:sz w:val="19"/>
          <w:szCs w:val="19"/>
        </w:rPr>
        <w:t>June 2019) 4</w:t>
      </w:r>
      <w:r>
        <w:rPr>
          <w:rFonts w:ascii="Times New Roman" w:hAnsi="Times New Roman" w:cs="Times New Roman"/>
          <w:sz w:val="19"/>
          <w:szCs w:val="19"/>
        </w:rPr>
        <w:t>07, fig</w:t>
      </w:r>
      <w:r w:rsidR="00241563">
        <w:rPr>
          <w:rFonts w:ascii="Times New Roman" w:hAnsi="Times New Roman" w:cs="Times New Roman"/>
          <w:sz w:val="19"/>
          <w:szCs w:val="19"/>
        </w:rPr>
        <w:t>ure</w:t>
      </w:r>
      <w:r>
        <w:rPr>
          <w:rFonts w:ascii="Times New Roman" w:hAnsi="Times New Roman" w:cs="Times New Roman"/>
          <w:sz w:val="19"/>
          <w:szCs w:val="19"/>
        </w:rPr>
        <w:t xml:space="preserve"> 7.11.</w:t>
      </w:r>
    </w:p>
  </w:footnote>
  <w:footnote w:id="74">
    <w:p w14:paraId="07D71B91" w14:textId="17E74064" w:rsidR="00B910C7" w:rsidRPr="00DC7A14" w:rsidRDefault="00B910C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relevant case see: Case C-582/14, Breyer, ECLI: EU:C:2016:779</w:t>
      </w:r>
      <w:r w:rsidR="008569E2" w:rsidRPr="00DC7A14">
        <w:rPr>
          <w:rFonts w:ascii="Times New Roman" w:hAnsi="Times New Roman" w:cs="Times New Roman"/>
          <w:sz w:val="19"/>
          <w:szCs w:val="19"/>
        </w:rPr>
        <w:t>.</w:t>
      </w:r>
    </w:p>
  </w:footnote>
  <w:footnote w:id="75">
    <w:p w14:paraId="50695094" w14:textId="047923C2" w:rsidR="00ED331F" w:rsidRPr="00DC7A14" w:rsidRDefault="00ED331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6(1) (</w:t>
      </w:r>
      <w:r w:rsidR="007652C1" w:rsidRPr="00DC7A14">
        <w:rPr>
          <w:rFonts w:ascii="Times New Roman" w:hAnsi="Times New Roman" w:cs="Times New Roman"/>
          <w:sz w:val="19"/>
          <w:szCs w:val="19"/>
        </w:rPr>
        <w:t>definition</w:t>
      </w:r>
      <w:r w:rsidRPr="00DC7A14">
        <w:rPr>
          <w:rFonts w:ascii="Times New Roman" w:hAnsi="Times New Roman" w:cs="Times New Roman"/>
          <w:sz w:val="19"/>
          <w:szCs w:val="19"/>
        </w:rPr>
        <w:t xml:space="preserve"> of ‘de-identified’).</w:t>
      </w:r>
    </w:p>
  </w:footnote>
  <w:footnote w:id="76">
    <w:p w14:paraId="5F28C963" w14:textId="5089084F" w:rsidR="00C53830" w:rsidRPr="00DC7A14" w:rsidRDefault="00C5383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B4AB5" w:rsidRPr="00164EF9">
        <w:rPr>
          <w:rFonts w:ascii="Times New Roman" w:hAnsi="Times New Roman" w:cs="Times New Roman"/>
          <w:sz w:val="19"/>
          <w:szCs w:val="19"/>
        </w:rPr>
        <w:t>GDPR</w:t>
      </w:r>
      <w:r w:rsidR="00FB4AB5"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_Ref91746333 \h </w:instrText>
      </w:r>
      <w:r w:rsidR="00803EBC"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FB4AB5" w:rsidRPr="00DC7A14">
        <w:rPr>
          <w:rFonts w:ascii="Times New Roman" w:hAnsi="Times New Roman" w:cs="Times New Roman"/>
          <w:sz w:val="19"/>
          <w:szCs w:val="19"/>
        </w:rPr>
        <w:fldChar w:fldCharType="end"/>
      </w:r>
      <w:r w:rsidR="00FB4AB5" w:rsidRPr="00DC7A14">
        <w:rPr>
          <w:rFonts w:ascii="Times New Roman" w:hAnsi="Times New Roman" w:cs="Times New Roman"/>
          <w:sz w:val="19"/>
          <w:szCs w:val="19"/>
        </w:rPr>
        <w:t xml:space="preserve">) </w:t>
      </w:r>
      <w:r w:rsidRPr="00DC7A14">
        <w:rPr>
          <w:rFonts w:ascii="Times New Roman" w:hAnsi="Times New Roman" w:cs="Times New Roman"/>
          <w:sz w:val="19"/>
          <w:szCs w:val="19"/>
        </w:rPr>
        <w:t>art 4</w:t>
      </w:r>
      <w:r w:rsidR="005411D4" w:rsidRPr="00DC7A14">
        <w:rPr>
          <w:rFonts w:ascii="Times New Roman" w:hAnsi="Times New Roman" w:cs="Times New Roman"/>
          <w:sz w:val="19"/>
          <w:szCs w:val="19"/>
        </w:rPr>
        <w:t xml:space="preserve"> (emphasis added)</w:t>
      </w:r>
      <w:r w:rsidRPr="00DC7A14">
        <w:rPr>
          <w:rFonts w:ascii="Times New Roman" w:hAnsi="Times New Roman" w:cs="Times New Roman"/>
          <w:sz w:val="19"/>
          <w:szCs w:val="19"/>
        </w:rPr>
        <w:t>.</w:t>
      </w:r>
      <w:r w:rsidR="007652C1" w:rsidRPr="00DC7A14">
        <w:rPr>
          <w:rFonts w:ascii="Times New Roman" w:hAnsi="Times New Roman" w:cs="Times New Roman"/>
          <w:sz w:val="19"/>
          <w:szCs w:val="19"/>
        </w:rPr>
        <w:t xml:space="preserve"> The</w:t>
      </w:r>
      <w:r w:rsidRPr="00DC7A14">
        <w:rPr>
          <w:rFonts w:ascii="Times New Roman" w:hAnsi="Times New Roman" w:cs="Times New Roman"/>
          <w:sz w:val="19"/>
          <w:szCs w:val="19"/>
        </w:rPr>
        <w:t xml:space="preserve"> GDPR does not regulate anonymous information, ‘namely information which does not relate to an identified or identifiable natural person or to personal data rendered anonymous in such a manner that the data subject is not or no longer identifiable’</w:t>
      </w:r>
      <w:r w:rsidR="007A16E1"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7A16E1" w:rsidRPr="00DC7A14">
        <w:rPr>
          <w:rFonts w:ascii="Times New Roman" w:hAnsi="Times New Roman" w:cs="Times New Roman"/>
          <w:sz w:val="19"/>
          <w:szCs w:val="19"/>
        </w:rPr>
        <w:t xml:space="preserve">at </w:t>
      </w:r>
      <w:r w:rsidRPr="00DC7A14">
        <w:rPr>
          <w:rFonts w:ascii="Times New Roman" w:hAnsi="Times New Roman" w:cs="Times New Roman"/>
          <w:sz w:val="19"/>
          <w:szCs w:val="19"/>
        </w:rPr>
        <w:t xml:space="preserve">recital 26. </w:t>
      </w:r>
    </w:p>
  </w:footnote>
  <w:footnote w:id="77">
    <w:p w14:paraId="5947F63C" w14:textId="7A06AB54" w:rsidR="00F26920" w:rsidRPr="00DC7A14" w:rsidRDefault="00F2692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B4AB5" w:rsidRPr="00164EF9">
        <w:rPr>
          <w:rFonts w:ascii="Times New Roman" w:hAnsi="Times New Roman" w:cs="Times New Roman"/>
          <w:sz w:val="19"/>
          <w:szCs w:val="19"/>
        </w:rPr>
        <w:t>GDPR</w:t>
      </w:r>
      <w:r w:rsidR="00FB4AB5" w:rsidRPr="00DC7A14">
        <w:rPr>
          <w:rFonts w:ascii="Times New Roman" w:hAnsi="Times New Roman" w:cs="Times New Roman"/>
          <w:sz w:val="19"/>
          <w:szCs w:val="19"/>
        </w:rPr>
        <w:t xml:space="preserve"> (n </w:t>
      </w:r>
      <w:r w:rsidR="00FB4AB5" w:rsidRPr="00DC7A14">
        <w:rPr>
          <w:rFonts w:ascii="Times New Roman" w:hAnsi="Times New Roman" w:cs="Times New Roman"/>
          <w:sz w:val="19"/>
          <w:szCs w:val="19"/>
        </w:rPr>
        <w:fldChar w:fldCharType="begin"/>
      </w:r>
      <w:r w:rsidR="00FB4AB5" w:rsidRPr="00DC7A14">
        <w:rPr>
          <w:rFonts w:ascii="Times New Roman" w:hAnsi="Times New Roman" w:cs="Times New Roman"/>
          <w:sz w:val="19"/>
          <w:szCs w:val="19"/>
        </w:rPr>
        <w:instrText xml:space="preserve"> NOTEREF _Ref91746333 \h </w:instrText>
      </w:r>
      <w:r w:rsidR="00803EBC" w:rsidRPr="00DC7A14">
        <w:rPr>
          <w:rFonts w:ascii="Times New Roman" w:hAnsi="Times New Roman" w:cs="Times New Roman"/>
          <w:sz w:val="19"/>
          <w:szCs w:val="19"/>
        </w:rPr>
        <w:instrText xml:space="preserve"> \* MERGEFORMAT </w:instrText>
      </w:r>
      <w:r w:rsidR="00FB4AB5" w:rsidRPr="00DC7A14">
        <w:rPr>
          <w:rFonts w:ascii="Times New Roman" w:hAnsi="Times New Roman" w:cs="Times New Roman"/>
          <w:sz w:val="19"/>
          <w:szCs w:val="19"/>
        </w:rPr>
      </w:r>
      <w:r w:rsidR="00FB4AB5"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FB4AB5" w:rsidRPr="00DC7A14">
        <w:rPr>
          <w:rFonts w:ascii="Times New Roman" w:hAnsi="Times New Roman" w:cs="Times New Roman"/>
          <w:sz w:val="19"/>
          <w:szCs w:val="19"/>
        </w:rPr>
        <w:fldChar w:fldCharType="end"/>
      </w:r>
      <w:r w:rsidR="00FB4AB5" w:rsidRPr="00DC7A14">
        <w:rPr>
          <w:rFonts w:ascii="Times New Roman" w:hAnsi="Times New Roman" w:cs="Times New Roman"/>
          <w:sz w:val="19"/>
          <w:szCs w:val="19"/>
        </w:rPr>
        <w:t>) r</w:t>
      </w:r>
      <w:r w:rsidRPr="00DC7A14">
        <w:rPr>
          <w:rFonts w:ascii="Times New Roman" w:hAnsi="Times New Roman" w:cs="Times New Roman"/>
          <w:sz w:val="19"/>
          <w:szCs w:val="19"/>
        </w:rPr>
        <w:t>ecital 26.</w:t>
      </w:r>
    </w:p>
  </w:footnote>
  <w:footnote w:id="78">
    <w:p w14:paraId="6D3C5F4E" w14:textId="1166B7D5" w:rsidR="00FA2E42" w:rsidRPr="00DC7A14" w:rsidRDefault="00FA2E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2469F" w:rsidRPr="00DC7A14">
        <w:rPr>
          <w:rFonts w:ascii="Times New Roman" w:hAnsi="Times New Roman" w:cs="Times New Roman"/>
          <w:sz w:val="19"/>
          <w:szCs w:val="19"/>
        </w:rPr>
        <w:t>ACCC</w:t>
      </w:r>
      <w:r w:rsidR="00241563">
        <w:rPr>
          <w:rFonts w:ascii="Times New Roman" w:hAnsi="Times New Roman" w:cs="Times New Roman"/>
          <w:sz w:val="19"/>
          <w:szCs w:val="19"/>
        </w:rPr>
        <w:t>,</w:t>
      </w:r>
      <w:r w:rsidR="0082469F" w:rsidRPr="00DC7A14">
        <w:rPr>
          <w:rFonts w:ascii="Times New Roman" w:hAnsi="Times New Roman" w:cs="Times New Roman"/>
          <w:sz w:val="19"/>
          <w:szCs w:val="19"/>
        </w:rPr>
        <w:t xml:space="preserve"> </w:t>
      </w:r>
      <w:r w:rsidR="0082469F" w:rsidRPr="00DC7A14">
        <w:rPr>
          <w:rFonts w:ascii="Times New Roman" w:hAnsi="Times New Roman" w:cs="Times New Roman"/>
          <w:i/>
          <w:iCs/>
          <w:sz w:val="19"/>
          <w:szCs w:val="19"/>
        </w:rPr>
        <w:t xml:space="preserve">Digital Platforms Inquiry </w:t>
      </w:r>
      <w:r w:rsidR="00241563">
        <w:rPr>
          <w:rFonts w:ascii="Times New Roman" w:hAnsi="Times New Roman" w:cs="Times New Roman"/>
          <w:sz w:val="19"/>
          <w:szCs w:val="19"/>
        </w:rPr>
        <w:t>(n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00241563">
        <w:rPr>
          <w:rFonts w:ascii="Times New Roman" w:hAnsi="Times New Roman" w:cs="Times New Roman"/>
          <w:sz w:val="19"/>
          <w:szCs w:val="19"/>
        </w:rPr>
        <w:t xml:space="preserve">) </w:t>
      </w:r>
      <w:r w:rsidR="0052301F" w:rsidRPr="00DC7A14">
        <w:rPr>
          <w:rFonts w:ascii="Times New Roman" w:hAnsi="Times New Roman" w:cs="Times New Roman"/>
          <w:sz w:val="19"/>
          <w:szCs w:val="19"/>
        </w:rPr>
        <w:t>476</w:t>
      </w:r>
      <w:r w:rsidRPr="00DC7A14">
        <w:rPr>
          <w:rFonts w:ascii="Times New Roman" w:hAnsi="Times New Roman" w:cs="Times New Roman"/>
          <w:sz w:val="19"/>
          <w:szCs w:val="19"/>
        </w:rPr>
        <w:t>.</w:t>
      </w:r>
    </w:p>
  </w:footnote>
  <w:footnote w:id="79">
    <w:p w14:paraId="049AC295" w14:textId="20C8C18B" w:rsidR="00EC0CD5" w:rsidRPr="00DC7A14" w:rsidRDefault="00EC0CD5" w:rsidP="00EC0CD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02504F" w:rsidRPr="00DC7A14">
        <w:rPr>
          <w:rFonts w:ascii="Times New Roman" w:hAnsi="Times New Roman" w:cs="Times New Roman"/>
          <w:sz w:val="19"/>
          <w:szCs w:val="19"/>
        </w:rPr>
        <w:t xml:space="preserve">, </w:t>
      </w:r>
      <w:r w:rsidR="00BE3248" w:rsidRPr="00DC7A14">
        <w:rPr>
          <w:rFonts w:ascii="Times New Roman" w:hAnsi="Times New Roman" w:cs="Times New Roman"/>
          <w:i/>
          <w:iCs/>
          <w:sz w:val="19"/>
          <w:szCs w:val="19"/>
        </w:rPr>
        <w:t>Submission to Privacy Act Review</w:t>
      </w:r>
      <w:r w:rsidR="00BE3248" w:rsidRPr="00DC7A14" w:rsidDel="0063479D">
        <w:rPr>
          <w:rFonts w:ascii="Times New Roman" w:hAnsi="Times New Roman" w:cs="Times New Roman"/>
          <w:sz w:val="19"/>
          <w:szCs w:val="19"/>
        </w:rPr>
        <w:t xml:space="preserve"> </w:t>
      </w:r>
      <w:r w:rsidRPr="00DC7A14">
        <w:rPr>
          <w:rFonts w:ascii="Times New Roman" w:hAnsi="Times New Roman" w:cs="Times New Roman"/>
          <w:sz w:val="19"/>
          <w:szCs w:val="19"/>
        </w:rPr>
        <w:t xml:space="preserve">(n </w:t>
      </w:r>
      <w:r w:rsidR="00803EBC" w:rsidRPr="00DC7A14">
        <w:rPr>
          <w:rFonts w:ascii="Times New Roman" w:hAnsi="Times New Roman" w:cs="Times New Roman"/>
          <w:sz w:val="19"/>
          <w:szCs w:val="19"/>
        </w:rPr>
        <w:fldChar w:fldCharType="begin"/>
      </w:r>
      <w:r w:rsidR="00803EBC" w:rsidRPr="00DC7A14">
        <w:rPr>
          <w:rFonts w:ascii="Times New Roman" w:hAnsi="Times New Roman" w:cs="Times New Roman"/>
          <w:sz w:val="19"/>
          <w:szCs w:val="19"/>
        </w:rPr>
        <w:instrText xml:space="preserve"> NOTEREF _Ref85809175 \h </w:instrText>
      </w:r>
      <w:r w:rsidR="008569E2" w:rsidRPr="00DC7A14">
        <w:rPr>
          <w:rFonts w:ascii="Times New Roman" w:hAnsi="Times New Roman" w:cs="Times New Roman"/>
          <w:sz w:val="19"/>
          <w:szCs w:val="19"/>
        </w:rPr>
        <w:instrText xml:space="preserve"> \* MERGEFORMAT </w:instrText>
      </w:r>
      <w:r w:rsidR="00803EBC" w:rsidRPr="00DC7A14">
        <w:rPr>
          <w:rFonts w:ascii="Times New Roman" w:hAnsi="Times New Roman" w:cs="Times New Roman"/>
          <w:sz w:val="19"/>
          <w:szCs w:val="19"/>
        </w:rPr>
      </w:r>
      <w:r w:rsidR="00803EBC"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803EBC" w:rsidRPr="00DC7A14">
        <w:rPr>
          <w:rFonts w:ascii="Times New Roman" w:hAnsi="Times New Roman" w:cs="Times New Roman"/>
          <w:sz w:val="19"/>
          <w:szCs w:val="19"/>
        </w:rPr>
        <w:fldChar w:fldCharType="end"/>
      </w:r>
      <w:r w:rsidRPr="00DC7A14">
        <w:rPr>
          <w:rFonts w:ascii="Times New Roman" w:hAnsi="Times New Roman" w:cs="Times New Roman"/>
          <w:sz w:val="19"/>
          <w:szCs w:val="19"/>
        </w:rPr>
        <w:t>) 33</w:t>
      </w:r>
      <w:r w:rsidR="004B164A">
        <w:rPr>
          <w:rFonts w:ascii="Times New Roman" w:hAnsi="Times New Roman" w:cs="Times New Roman"/>
          <w:sz w:val="19"/>
          <w:szCs w:val="19"/>
        </w:rPr>
        <w:t>–</w:t>
      </w:r>
      <w:r w:rsidRPr="00DC7A14">
        <w:rPr>
          <w:rFonts w:ascii="Times New Roman" w:hAnsi="Times New Roman" w:cs="Times New Roman"/>
          <w:sz w:val="19"/>
          <w:szCs w:val="19"/>
        </w:rPr>
        <w:t>5.</w:t>
      </w:r>
    </w:p>
  </w:footnote>
  <w:footnote w:id="80">
    <w:p w14:paraId="652FF467" w14:textId="63BBE07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This was introduced in the </w:t>
      </w:r>
      <w:r w:rsidRPr="00DC7A14">
        <w:rPr>
          <w:rFonts w:ascii="Times New Roman" w:hAnsi="Times New Roman" w:cs="Times New Roman"/>
          <w:i/>
          <w:iCs/>
          <w:sz w:val="19"/>
          <w:szCs w:val="19"/>
        </w:rPr>
        <w:t>Personal Information Protection Amendment Act 2009</w:t>
      </w:r>
      <w:r w:rsidRPr="00DC7A14">
        <w:rPr>
          <w:rFonts w:ascii="Times New Roman" w:hAnsi="Times New Roman" w:cs="Times New Roman"/>
          <w:sz w:val="19"/>
          <w:szCs w:val="19"/>
        </w:rPr>
        <w:t xml:space="preserve"> (Tas).</w:t>
      </w:r>
    </w:p>
  </w:footnote>
  <w:footnote w:id="81">
    <w:p w14:paraId="522AF699" w14:textId="67AE464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under PIPP 2(4)</w:t>
      </w:r>
      <w:r w:rsidR="00BE556B">
        <w:rPr>
          <w:rFonts w:ascii="Times New Roman" w:hAnsi="Times New Roman" w:cs="Times New Roman"/>
          <w:sz w:val="19"/>
          <w:szCs w:val="19"/>
        </w:rPr>
        <w:t>,</w:t>
      </w:r>
      <w:r w:rsidRPr="00DC7A14">
        <w:rPr>
          <w:rFonts w:ascii="Times New Roman" w:hAnsi="Times New Roman" w:cs="Times New Roman"/>
          <w:sz w:val="19"/>
          <w:szCs w:val="19"/>
        </w:rPr>
        <w:t xml:space="preserve"> health services are able to disclose a person’s health information, including the health information of a deceased person, to someone who is related to or responsible for them on compassionate grounds</w:t>
      </w:r>
      <w:r w:rsidR="008545B9"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0C36B5" w:rsidRPr="00DC7A14">
        <w:rPr>
          <w:rFonts w:ascii="Times New Roman" w:hAnsi="Times New Roman" w:cs="Times New Roman"/>
          <w:sz w:val="19"/>
          <w:szCs w:val="19"/>
        </w:rPr>
        <w:t>sch 1</w:t>
      </w:r>
      <w:r w:rsidR="008545B9" w:rsidRPr="00DC7A14">
        <w:rPr>
          <w:rFonts w:ascii="Times New Roman" w:hAnsi="Times New Roman" w:cs="Times New Roman"/>
          <w:sz w:val="19"/>
          <w:szCs w:val="19"/>
        </w:rPr>
        <w:t>.</w:t>
      </w:r>
    </w:p>
  </w:footnote>
  <w:footnote w:id="82">
    <w:p w14:paraId="26865BD9" w14:textId="3D3FF1A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i/>
          <w:iCs/>
          <w:sz w:val="19"/>
          <w:szCs w:val="19"/>
        </w:rPr>
        <w:t>Privacy and Personal Information Protection Act 1998</w:t>
      </w:r>
      <w:r w:rsidRPr="00DC7A14">
        <w:rPr>
          <w:rFonts w:ascii="Times New Roman" w:hAnsi="Times New Roman" w:cs="Times New Roman"/>
          <w:sz w:val="19"/>
          <w:szCs w:val="19"/>
        </w:rPr>
        <w:t xml:space="preserve"> (NSW) s</w:t>
      </w:r>
      <w:r w:rsidR="005C1ACD"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4(3)(a); </w:t>
      </w:r>
      <w:r w:rsidRPr="00DC7A14">
        <w:rPr>
          <w:rFonts w:ascii="Times New Roman" w:hAnsi="Times New Roman" w:cs="Times New Roman"/>
          <w:i/>
          <w:iCs/>
          <w:sz w:val="19"/>
          <w:szCs w:val="19"/>
        </w:rPr>
        <w:t>Health Records Act 2001</w:t>
      </w:r>
      <w:r w:rsidRPr="00DC7A14">
        <w:rPr>
          <w:rFonts w:ascii="Times New Roman" w:hAnsi="Times New Roman" w:cs="Times New Roman"/>
          <w:sz w:val="19"/>
          <w:szCs w:val="19"/>
        </w:rPr>
        <w:t xml:space="preserve"> (Vic) s</w:t>
      </w:r>
      <w:r w:rsidR="00C85861"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3. Note that the Northern Territory extends protection for deceased persons for 5 years: </w:t>
      </w:r>
      <w:r w:rsidRPr="00DC7A14">
        <w:rPr>
          <w:rFonts w:ascii="Times New Roman" w:hAnsi="Times New Roman" w:cs="Times New Roman"/>
          <w:i/>
          <w:iCs/>
          <w:sz w:val="19"/>
          <w:szCs w:val="19"/>
        </w:rPr>
        <w:t xml:space="preserve">Information Act 2002 </w:t>
      </w:r>
      <w:r w:rsidRPr="00DC7A14">
        <w:rPr>
          <w:rFonts w:ascii="Times New Roman" w:hAnsi="Times New Roman" w:cs="Times New Roman"/>
          <w:sz w:val="19"/>
          <w:szCs w:val="19"/>
        </w:rPr>
        <w:t xml:space="preserve">(NT) s 4 </w:t>
      </w:r>
      <w:r w:rsidR="00AB1F64" w:rsidRPr="00DC7A14">
        <w:rPr>
          <w:rFonts w:ascii="Times New Roman" w:hAnsi="Times New Roman" w:cs="Times New Roman"/>
          <w:sz w:val="19"/>
          <w:szCs w:val="19"/>
        </w:rPr>
        <w:t>(definition of ‘</w:t>
      </w:r>
      <w:r w:rsidRPr="00DC7A14">
        <w:rPr>
          <w:rFonts w:ascii="Times New Roman" w:hAnsi="Times New Roman" w:cs="Times New Roman"/>
          <w:sz w:val="19"/>
          <w:szCs w:val="19"/>
        </w:rPr>
        <w:t>person</w:t>
      </w:r>
      <w:r w:rsidR="00AB1F64"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p>
  </w:footnote>
  <w:footnote w:id="83">
    <w:p w14:paraId="4D7F5947" w14:textId="72841956" w:rsidR="003F270F" w:rsidRPr="00DC7A14" w:rsidRDefault="003F270F" w:rsidP="003F270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NSW Law Reform Commission, </w:t>
      </w:r>
      <w:r w:rsidRPr="00DC7A14">
        <w:rPr>
          <w:rFonts w:ascii="Times New Roman" w:hAnsi="Times New Roman" w:cs="Times New Roman"/>
          <w:i/>
          <w:sz w:val="19"/>
          <w:szCs w:val="19"/>
        </w:rPr>
        <w:t>Access to Digital Records Upon Death or Incapacity</w:t>
      </w:r>
      <w:r w:rsidR="0076290C" w:rsidRPr="00DC7A14">
        <w:rPr>
          <w:rFonts w:ascii="Times New Roman" w:hAnsi="Times New Roman" w:cs="Times New Roman"/>
          <w:sz w:val="19"/>
          <w:szCs w:val="19"/>
        </w:rPr>
        <w:t xml:space="preserve"> (Report No 147, December 2019) 81</w:t>
      </w:r>
      <w:r w:rsidR="00797F7E">
        <w:rPr>
          <w:rFonts w:ascii="Times New Roman" w:hAnsi="Times New Roman" w:cs="Times New Roman"/>
          <w:sz w:val="19"/>
          <w:szCs w:val="19"/>
        </w:rPr>
        <w:t>–</w:t>
      </w:r>
      <w:r w:rsidR="0076290C" w:rsidRPr="00DC7A14">
        <w:rPr>
          <w:rFonts w:ascii="Times New Roman" w:hAnsi="Times New Roman" w:cs="Times New Roman"/>
          <w:sz w:val="19"/>
          <w:szCs w:val="19"/>
        </w:rPr>
        <w:t>3.</w:t>
      </w:r>
    </w:p>
  </w:footnote>
  <w:footnote w:id="84">
    <w:p w14:paraId="6CC2B6B3" w14:textId="5D0B8B21" w:rsidR="003F270F" w:rsidRPr="00DC7A14" w:rsidRDefault="003F270F" w:rsidP="003F270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Council of Attorneys-General</w:t>
      </w:r>
      <w:r w:rsidR="0076290C"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Communique</w:t>
      </w:r>
      <w:r w:rsidRPr="00DC7A14">
        <w:rPr>
          <w:rFonts w:ascii="Times New Roman" w:hAnsi="Times New Roman" w:cs="Times New Roman"/>
          <w:sz w:val="19"/>
          <w:szCs w:val="19"/>
        </w:rPr>
        <w:t xml:space="preserve"> (27 July 2020) &lt;</w:t>
      </w:r>
      <w:hyperlink r:id="rId5" w:history="1">
        <w:r w:rsidRPr="00DC7A14">
          <w:rPr>
            <w:rStyle w:val="Hyperlink"/>
            <w:rFonts w:ascii="Times New Roman" w:hAnsi="Times New Roman" w:cs="Times New Roman"/>
            <w:sz w:val="19"/>
            <w:szCs w:val="19"/>
          </w:rPr>
          <w:t>https://www.ag.gov.au/sites/default/files/2020-07/Council of Attorneys-General communiqué – July 2020.pdf</w:t>
        </w:r>
      </w:hyperlink>
      <w:r w:rsidRPr="00DC7A14">
        <w:rPr>
          <w:rFonts w:ascii="Times New Roman" w:hAnsi="Times New Roman" w:cs="Times New Roman"/>
          <w:sz w:val="19"/>
          <w:szCs w:val="19"/>
        </w:rPr>
        <w:t>&gt;</w:t>
      </w:r>
      <w:r w:rsidR="00FA40DD">
        <w:rPr>
          <w:rFonts w:ascii="Times New Roman" w:hAnsi="Times New Roman" w:cs="Times New Roman"/>
          <w:sz w:val="19"/>
          <w:szCs w:val="19"/>
        </w:rPr>
        <w:t xml:space="preserve">; </w:t>
      </w:r>
      <w:r w:rsidR="00FA40DD" w:rsidRPr="00DC7A14">
        <w:rPr>
          <w:rFonts w:ascii="Times New Roman" w:hAnsi="Times New Roman" w:cs="Times New Roman"/>
          <w:sz w:val="19"/>
          <w:szCs w:val="19"/>
        </w:rPr>
        <w:t xml:space="preserve">Meeting of Attorneys-General, </w:t>
      </w:r>
      <w:r w:rsidR="00FA40DD" w:rsidRPr="00DC7A14">
        <w:rPr>
          <w:rFonts w:ascii="Times New Roman" w:hAnsi="Times New Roman" w:cs="Times New Roman"/>
          <w:i/>
          <w:iCs/>
          <w:sz w:val="19"/>
          <w:szCs w:val="19"/>
        </w:rPr>
        <w:t xml:space="preserve">Communique </w:t>
      </w:r>
      <w:r w:rsidR="00FA40DD" w:rsidRPr="00DC7A14">
        <w:rPr>
          <w:rFonts w:ascii="Times New Roman" w:hAnsi="Times New Roman" w:cs="Times New Roman"/>
          <w:sz w:val="19"/>
          <w:szCs w:val="19"/>
        </w:rPr>
        <w:t>(31 March 2021) &lt;</w:t>
      </w:r>
      <w:hyperlink r:id="rId6" w:history="1">
        <w:r w:rsidR="00FA40DD" w:rsidRPr="00DC7A14">
          <w:rPr>
            <w:rStyle w:val="Hyperlink"/>
            <w:rFonts w:ascii="Times New Roman" w:hAnsi="Times New Roman" w:cs="Times New Roman"/>
            <w:sz w:val="19"/>
            <w:szCs w:val="19"/>
          </w:rPr>
          <w:t>https://www.ag.gov.au/about-us/who-we-are/committees-and-councils/meeting-attorneys-general</w:t>
        </w:r>
      </w:hyperlink>
      <w:r w:rsidR="00FA40DD" w:rsidRPr="00DC7A14">
        <w:rPr>
          <w:rFonts w:ascii="Times New Roman" w:hAnsi="Times New Roman" w:cs="Times New Roman"/>
          <w:sz w:val="19"/>
          <w:szCs w:val="19"/>
        </w:rPr>
        <w:t xml:space="preserve">&gt;.  </w:t>
      </w:r>
    </w:p>
  </w:footnote>
  <w:footnote w:id="85">
    <w:p w14:paraId="11A66CB2" w14:textId="624E40D1" w:rsidR="0003481D" w:rsidRDefault="0003481D">
      <w:pPr>
        <w:pStyle w:val="FootnoteText"/>
      </w:pPr>
      <w:r>
        <w:rPr>
          <w:rStyle w:val="FootnoteReference"/>
        </w:rPr>
        <w:footnoteRef/>
      </w:r>
      <w:r>
        <w:t xml:space="preserve"> </w:t>
      </w:r>
      <w:r w:rsidRPr="00DC7A14">
        <w:rPr>
          <w:rFonts w:ascii="Times New Roman" w:hAnsi="Times New Roman" w:cs="Times New Roman"/>
          <w:sz w:val="19"/>
          <w:szCs w:val="19"/>
        </w:rPr>
        <w:t xml:space="preserve">Council of Attorneys-General, </w:t>
      </w:r>
      <w:r w:rsidRPr="00DC7A14">
        <w:rPr>
          <w:rFonts w:ascii="Times New Roman" w:hAnsi="Times New Roman" w:cs="Times New Roman"/>
          <w:i/>
          <w:iCs/>
          <w:sz w:val="19"/>
          <w:szCs w:val="19"/>
        </w:rPr>
        <w:t>Communique</w:t>
      </w:r>
      <w:r w:rsidRPr="00DC7A14">
        <w:rPr>
          <w:rFonts w:ascii="Times New Roman" w:hAnsi="Times New Roman" w:cs="Times New Roman"/>
          <w:sz w:val="19"/>
          <w:szCs w:val="19"/>
        </w:rPr>
        <w:t xml:space="preserve"> (</w:t>
      </w:r>
      <w:r>
        <w:rPr>
          <w:rFonts w:ascii="Times New Roman" w:hAnsi="Times New Roman" w:cs="Times New Roman"/>
          <w:sz w:val="19"/>
          <w:szCs w:val="19"/>
        </w:rPr>
        <w:t>12 August</w:t>
      </w:r>
      <w:r w:rsidRPr="00DC7A14">
        <w:rPr>
          <w:rFonts w:ascii="Times New Roman" w:hAnsi="Times New Roman" w:cs="Times New Roman"/>
          <w:sz w:val="19"/>
          <w:szCs w:val="19"/>
        </w:rPr>
        <w:t xml:space="preserve"> 202</w:t>
      </w:r>
      <w:r>
        <w:rPr>
          <w:rFonts w:ascii="Times New Roman" w:hAnsi="Times New Roman" w:cs="Times New Roman"/>
          <w:sz w:val="19"/>
          <w:szCs w:val="19"/>
        </w:rPr>
        <w:t>2</w:t>
      </w:r>
      <w:r w:rsidRPr="00DC7A14">
        <w:rPr>
          <w:rFonts w:ascii="Times New Roman" w:hAnsi="Times New Roman" w:cs="Times New Roman"/>
          <w:sz w:val="19"/>
          <w:szCs w:val="19"/>
        </w:rPr>
        <w:t xml:space="preserve">) </w:t>
      </w:r>
      <w:r>
        <w:rPr>
          <w:rFonts w:ascii="Times New Roman" w:hAnsi="Times New Roman" w:cs="Times New Roman"/>
          <w:sz w:val="19"/>
          <w:szCs w:val="19"/>
        </w:rPr>
        <w:t>&lt;</w:t>
      </w:r>
      <w:hyperlink r:id="rId7" w:history="1">
        <w:r w:rsidRPr="0003481D">
          <w:rPr>
            <w:rStyle w:val="Hyperlink"/>
            <w:rFonts w:ascii="Times New Roman" w:hAnsi="Times New Roman" w:cs="Times New Roman"/>
            <w:sz w:val="19"/>
            <w:szCs w:val="19"/>
          </w:rPr>
          <w:t>https://ministers.ag.gov.au/media-centre/meeting-attorneys-general-communique-12-08-2022</w:t>
        </w:r>
      </w:hyperlink>
      <w:r>
        <w:rPr>
          <w:rFonts w:ascii="Times New Roman" w:hAnsi="Times New Roman" w:cs="Times New Roman"/>
          <w:sz w:val="19"/>
          <w:szCs w:val="19"/>
        </w:rPr>
        <w:t>&gt;.</w:t>
      </w:r>
    </w:p>
  </w:footnote>
  <w:footnote w:id="86">
    <w:p w14:paraId="07B9D49D" w14:textId="160B0AC9" w:rsidR="003F270F" w:rsidRPr="00DC7A14" w:rsidRDefault="003F270F" w:rsidP="003F270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A40DD" w:rsidRPr="00DC7A14">
        <w:rPr>
          <w:rFonts w:ascii="Times New Roman" w:hAnsi="Times New Roman" w:cs="Times New Roman"/>
          <w:sz w:val="19"/>
          <w:szCs w:val="19"/>
        </w:rPr>
        <w:t xml:space="preserve">Council of Attorneys-General, </w:t>
      </w:r>
      <w:r w:rsidR="00FA40DD" w:rsidRPr="00DC7A14">
        <w:rPr>
          <w:rFonts w:ascii="Times New Roman" w:hAnsi="Times New Roman" w:cs="Times New Roman"/>
          <w:i/>
          <w:iCs/>
          <w:sz w:val="19"/>
          <w:szCs w:val="19"/>
        </w:rPr>
        <w:t>Communique</w:t>
      </w:r>
      <w:r w:rsidR="00FA40DD" w:rsidRPr="00DC7A14">
        <w:rPr>
          <w:rFonts w:ascii="Times New Roman" w:hAnsi="Times New Roman" w:cs="Times New Roman"/>
          <w:sz w:val="19"/>
          <w:szCs w:val="19"/>
        </w:rPr>
        <w:t xml:space="preserve"> (</w:t>
      </w:r>
      <w:r w:rsidR="0003481D">
        <w:rPr>
          <w:rFonts w:ascii="Times New Roman" w:hAnsi="Times New Roman" w:cs="Times New Roman"/>
          <w:sz w:val="19"/>
          <w:szCs w:val="19"/>
        </w:rPr>
        <w:t xml:space="preserve">9 December </w:t>
      </w:r>
      <w:r w:rsidR="00FA40DD" w:rsidRPr="00DC7A14">
        <w:rPr>
          <w:rFonts w:ascii="Times New Roman" w:hAnsi="Times New Roman" w:cs="Times New Roman"/>
          <w:sz w:val="19"/>
          <w:szCs w:val="19"/>
        </w:rPr>
        <w:t>202</w:t>
      </w:r>
      <w:r w:rsidR="00FA40DD">
        <w:rPr>
          <w:rFonts w:ascii="Times New Roman" w:hAnsi="Times New Roman" w:cs="Times New Roman"/>
          <w:sz w:val="19"/>
          <w:szCs w:val="19"/>
        </w:rPr>
        <w:t>2</w:t>
      </w:r>
      <w:r w:rsidR="00FA40DD" w:rsidRPr="00DC7A14">
        <w:rPr>
          <w:rFonts w:ascii="Times New Roman" w:hAnsi="Times New Roman" w:cs="Times New Roman"/>
          <w:sz w:val="19"/>
          <w:szCs w:val="19"/>
        </w:rPr>
        <w:t xml:space="preserve">) </w:t>
      </w:r>
      <w:r w:rsidR="00FA40DD">
        <w:rPr>
          <w:rFonts w:ascii="Times New Roman" w:hAnsi="Times New Roman" w:cs="Times New Roman"/>
          <w:sz w:val="19"/>
          <w:szCs w:val="19"/>
        </w:rPr>
        <w:t>&lt;</w:t>
      </w:r>
      <w:r w:rsidR="0003481D" w:rsidRPr="0003481D">
        <w:rPr>
          <w:rFonts w:ascii="Times New Roman" w:hAnsi="Times New Roman" w:cs="Times New Roman"/>
          <w:sz w:val="19"/>
          <w:szCs w:val="19"/>
        </w:rPr>
        <w:t>https://ministers.ag.gov.au/media-centre/standing-council-attorneys-general-communique-09-12-2022</w:t>
      </w:r>
      <w:r w:rsidR="0003481D">
        <w:rPr>
          <w:rFonts w:ascii="Times New Roman" w:hAnsi="Times New Roman" w:cs="Times New Roman"/>
          <w:sz w:val="19"/>
          <w:szCs w:val="19"/>
        </w:rPr>
        <w:t>&gt;.</w:t>
      </w:r>
      <w:r w:rsidR="00FA40DD">
        <w:rPr>
          <w:rFonts w:ascii="Times New Roman" w:hAnsi="Times New Roman" w:cs="Times New Roman"/>
          <w:sz w:val="19"/>
          <w:szCs w:val="19"/>
        </w:rPr>
        <w:t xml:space="preserve"> </w:t>
      </w:r>
    </w:p>
  </w:footnote>
  <w:footnote w:id="87">
    <w:p w14:paraId="1758B164" w14:textId="3C22E77D" w:rsidR="00C67869" w:rsidRPr="00DC7A14" w:rsidRDefault="00C67869" w:rsidP="00C67869">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s 3.</w:t>
      </w:r>
    </w:p>
  </w:footnote>
  <w:footnote w:id="88">
    <w:p w14:paraId="4E404DFF" w14:textId="4D43C3A5" w:rsidR="00841CCB" w:rsidRPr="00DC7A14" w:rsidRDefault="00841CCB" w:rsidP="00841CC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52666" w:rsidRPr="00DC7A14">
        <w:rPr>
          <w:rFonts w:ascii="Times New Roman" w:hAnsi="Times New Roman" w:cs="Times New Roman"/>
          <w:sz w:val="19"/>
          <w:szCs w:val="19"/>
        </w:rPr>
        <w:t xml:space="preserve">Ibid </w:t>
      </w:r>
      <w:r w:rsidR="002E610E" w:rsidRPr="00DC7A14">
        <w:rPr>
          <w:rFonts w:ascii="Times New Roman" w:hAnsi="Times New Roman" w:cs="Times New Roman"/>
          <w:sz w:val="19"/>
          <w:szCs w:val="19"/>
        </w:rPr>
        <w:t xml:space="preserve">sch 1, </w:t>
      </w:r>
      <w:r w:rsidRPr="00DC7A14">
        <w:rPr>
          <w:rFonts w:ascii="Times New Roman" w:hAnsi="Times New Roman" w:cs="Times New Roman"/>
          <w:sz w:val="19"/>
          <w:szCs w:val="19"/>
        </w:rPr>
        <w:t>PIPP 2(1).</w:t>
      </w:r>
    </w:p>
  </w:footnote>
  <w:footnote w:id="89">
    <w:p w14:paraId="3861077F" w14:textId="5215915B" w:rsidR="00271FDB" w:rsidRPr="00DC7A14" w:rsidRDefault="00271FD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E610E" w:rsidRPr="00DC7A14">
        <w:rPr>
          <w:rFonts w:ascii="Times New Roman" w:hAnsi="Times New Roman" w:cs="Times New Roman"/>
          <w:sz w:val="19"/>
          <w:szCs w:val="19"/>
        </w:rPr>
        <w:t>Ibid sch 1</w:t>
      </w:r>
      <w:r w:rsidRPr="00DC7A14">
        <w:rPr>
          <w:rFonts w:ascii="Times New Roman" w:hAnsi="Times New Roman" w:cs="Times New Roman"/>
          <w:sz w:val="19"/>
          <w:szCs w:val="19"/>
        </w:rPr>
        <w:t>10.</w:t>
      </w:r>
    </w:p>
  </w:footnote>
  <w:footnote w:id="90">
    <w:p w14:paraId="3D17742A" w14:textId="6D557DC9" w:rsidR="000D17BE" w:rsidRPr="00DC7A14" w:rsidRDefault="000D17B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E610E"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s 3</w:t>
      </w:r>
      <w:r w:rsidR="005164E2" w:rsidRPr="00DC7A14">
        <w:rPr>
          <w:rFonts w:ascii="Times New Roman" w:hAnsi="Times New Roman" w:cs="Times New Roman"/>
          <w:sz w:val="19"/>
          <w:szCs w:val="19"/>
        </w:rPr>
        <w:t xml:space="preserve"> (definition of ‘sensitive information’, para (b))</w:t>
      </w:r>
      <w:r w:rsidRPr="00DC7A14">
        <w:rPr>
          <w:rFonts w:ascii="Times New Roman" w:hAnsi="Times New Roman" w:cs="Times New Roman"/>
          <w:sz w:val="19"/>
          <w:szCs w:val="19"/>
        </w:rPr>
        <w:t xml:space="preserve">. </w:t>
      </w:r>
    </w:p>
  </w:footnote>
  <w:footnote w:id="91">
    <w:p w14:paraId="1505E406" w14:textId="10810CC4" w:rsidR="00840EE3" w:rsidRPr="00DC7A14" w:rsidRDefault="00840EE3">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E610E" w:rsidRPr="00DC7A14">
        <w:rPr>
          <w:rFonts w:ascii="Times New Roman" w:hAnsi="Times New Roman" w:cs="Times New Roman"/>
          <w:sz w:val="19"/>
          <w:szCs w:val="19"/>
        </w:rPr>
        <w:t>Ibid</w:t>
      </w:r>
      <w:r w:rsidR="00A03A30" w:rsidRPr="00DC7A14">
        <w:rPr>
          <w:rFonts w:ascii="Times New Roman" w:hAnsi="Times New Roman" w:cs="Times New Roman"/>
          <w:sz w:val="19"/>
          <w:szCs w:val="19"/>
        </w:rPr>
        <w:t xml:space="preserve"> s 3</w:t>
      </w:r>
      <w:r w:rsidR="002E610E" w:rsidRPr="00DC7A14">
        <w:rPr>
          <w:rFonts w:ascii="Times New Roman" w:hAnsi="Times New Roman" w:cs="Times New Roman"/>
          <w:sz w:val="19"/>
          <w:szCs w:val="19"/>
        </w:rPr>
        <w:t xml:space="preserve"> (</w:t>
      </w:r>
      <w:r w:rsidR="00A03A30" w:rsidRPr="00DC7A14">
        <w:rPr>
          <w:rFonts w:ascii="Times New Roman" w:hAnsi="Times New Roman" w:cs="Times New Roman"/>
          <w:sz w:val="19"/>
          <w:szCs w:val="19"/>
        </w:rPr>
        <w:t>definition of ‘health information’</w:t>
      </w:r>
      <w:r w:rsidR="002E610E" w:rsidRPr="00DC7A14">
        <w:rPr>
          <w:rFonts w:ascii="Times New Roman" w:hAnsi="Times New Roman" w:cs="Times New Roman"/>
          <w:sz w:val="19"/>
          <w:szCs w:val="19"/>
        </w:rPr>
        <w:t>, pa</w:t>
      </w:r>
      <w:r w:rsidR="005164E2" w:rsidRPr="00DC7A14">
        <w:rPr>
          <w:rFonts w:ascii="Times New Roman" w:hAnsi="Times New Roman" w:cs="Times New Roman"/>
          <w:sz w:val="19"/>
          <w:szCs w:val="19"/>
        </w:rPr>
        <w:t>ra</w:t>
      </w:r>
      <w:r w:rsidR="002E610E" w:rsidRPr="00DC7A14">
        <w:rPr>
          <w:rFonts w:ascii="Times New Roman" w:hAnsi="Times New Roman" w:cs="Times New Roman"/>
          <w:sz w:val="19"/>
          <w:szCs w:val="19"/>
        </w:rPr>
        <w:t xml:space="preserve"> (a)).</w:t>
      </w:r>
    </w:p>
  </w:footnote>
  <w:footnote w:id="92">
    <w:p w14:paraId="2794321C" w14:textId="4FC6CF7E" w:rsidR="00285B82" w:rsidRPr="00DC7A14" w:rsidRDefault="00285B82" w:rsidP="00285B8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C36B5"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3</w:t>
      </w:r>
      <w:r w:rsidR="000C36B5" w:rsidRPr="00DC7A14">
        <w:rPr>
          <w:rFonts w:ascii="Times New Roman" w:hAnsi="Times New Roman" w:cs="Times New Roman"/>
          <w:sz w:val="19"/>
          <w:szCs w:val="19"/>
        </w:rPr>
        <w:t xml:space="preserve"> (</w:t>
      </w:r>
      <w:r w:rsidRPr="00DC7A14">
        <w:rPr>
          <w:rFonts w:ascii="Times New Roman" w:hAnsi="Times New Roman" w:cs="Times New Roman"/>
          <w:sz w:val="19"/>
          <w:szCs w:val="19"/>
        </w:rPr>
        <w:t>definition of ‘personal information’</w:t>
      </w:r>
      <w:r w:rsidR="000C36B5"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93">
    <w:p w14:paraId="603B2C47" w14:textId="2CDE9579" w:rsidR="00CD5B51" w:rsidRPr="00DC7A14" w:rsidRDefault="00CD5B51" w:rsidP="00CD5B5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926A3B"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3</w:t>
      </w:r>
      <w:r w:rsidR="005164E2" w:rsidRPr="00DC7A14">
        <w:rPr>
          <w:rFonts w:ascii="Times New Roman" w:hAnsi="Times New Roman" w:cs="Times New Roman"/>
          <w:sz w:val="19"/>
          <w:szCs w:val="19"/>
        </w:rPr>
        <w:t xml:space="preserve"> (definition of ‘health information’)</w:t>
      </w:r>
      <w:r w:rsidRPr="00DC7A14">
        <w:rPr>
          <w:rFonts w:ascii="Times New Roman" w:hAnsi="Times New Roman" w:cs="Times New Roman"/>
          <w:sz w:val="19"/>
          <w:szCs w:val="19"/>
        </w:rPr>
        <w:t>.</w:t>
      </w:r>
    </w:p>
  </w:footnote>
  <w:footnote w:id="94">
    <w:p w14:paraId="7BB108DB" w14:textId="78B73EE7" w:rsidR="00650695" w:rsidRPr="00DC7A14" w:rsidRDefault="00650695" w:rsidP="0065069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a </w:t>
      </w:r>
      <w:r w:rsidR="00926A3B" w:rsidRPr="00DC7A14">
        <w:rPr>
          <w:rFonts w:ascii="Times New Roman" w:hAnsi="Times New Roman" w:cs="Times New Roman"/>
          <w:sz w:val="19"/>
          <w:szCs w:val="19"/>
        </w:rPr>
        <w:t>‘</w:t>
      </w:r>
      <w:r w:rsidRPr="00DC7A14">
        <w:rPr>
          <w:rFonts w:ascii="Times New Roman" w:hAnsi="Times New Roman" w:cs="Times New Roman"/>
          <w:sz w:val="19"/>
          <w:szCs w:val="19"/>
        </w:rPr>
        <w:t>health service</w:t>
      </w:r>
      <w:r w:rsidR="00926A3B" w:rsidRPr="00DC7A14">
        <w:rPr>
          <w:rFonts w:ascii="Times New Roman" w:hAnsi="Times New Roman" w:cs="Times New Roman"/>
          <w:sz w:val="19"/>
          <w:szCs w:val="19"/>
        </w:rPr>
        <w:t>’</w:t>
      </w:r>
      <w:r w:rsidRPr="00DC7A14">
        <w:rPr>
          <w:rFonts w:ascii="Times New Roman" w:hAnsi="Times New Roman" w:cs="Times New Roman"/>
          <w:sz w:val="19"/>
          <w:szCs w:val="19"/>
        </w:rPr>
        <w:t xml:space="preserve"> is defined differently in the </w:t>
      </w:r>
      <w:r w:rsidRPr="00DC7A14">
        <w:rPr>
          <w:rFonts w:ascii="Times New Roman" w:hAnsi="Times New Roman" w:cs="Times New Roman"/>
          <w:i/>
          <w:sz w:val="19"/>
          <w:szCs w:val="19"/>
        </w:rPr>
        <w:t>Health Complaints Act 1995</w:t>
      </w:r>
      <w:r w:rsidRPr="00DC7A14">
        <w:rPr>
          <w:rFonts w:ascii="Times New Roman" w:hAnsi="Times New Roman" w:cs="Times New Roman"/>
          <w:sz w:val="19"/>
          <w:szCs w:val="19"/>
        </w:rPr>
        <w:t xml:space="preserve"> (Tas)</w:t>
      </w:r>
      <w:r w:rsidR="00926A3B" w:rsidRPr="00DC7A14">
        <w:rPr>
          <w:rFonts w:ascii="Times New Roman" w:hAnsi="Times New Roman" w:cs="Times New Roman"/>
          <w:sz w:val="19"/>
          <w:szCs w:val="19"/>
        </w:rPr>
        <w:t>. See discussion</w:t>
      </w:r>
      <w:r w:rsidR="00BE556B">
        <w:rPr>
          <w:rFonts w:ascii="Times New Roman" w:hAnsi="Times New Roman" w:cs="Times New Roman"/>
          <w:sz w:val="19"/>
          <w:szCs w:val="19"/>
        </w:rPr>
        <w:t xml:space="preserve"> below</w:t>
      </w:r>
      <w:r w:rsidR="00926A3B" w:rsidRPr="00DC7A14">
        <w:rPr>
          <w:rFonts w:ascii="Times New Roman" w:hAnsi="Times New Roman" w:cs="Times New Roman"/>
          <w:sz w:val="19"/>
          <w:szCs w:val="19"/>
        </w:rPr>
        <w:t xml:space="preserve"> </w:t>
      </w:r>
      <w:r w:rsidRPr="00DC7A14">
        <w:rPr>
          <w:rFonts w:ascii="Times New Roman" w:hAnsi="Times New Roman" w:cs="Times New Roman"/>
          <w:sz w:val="19"/>
          <w:szCs w:val="19"/>
        </w:rPr>
        <w:t>at</w:t>
      </w:r>
      <w:r w:rsidR="00314EE8" w:rsidRPr="00DC7A14">
        <w:rPr>
          <w:rFonts w:ascii="Times New Roman" w:hAnsi="Times New Roman" w:cs="Times New Roman"/>
          <w:sz w:val="19"/>
          <w:szCs w:val="19"/>
        </w:rPr>
        <w:t xml:space="preserve"> </w:t>
      </w:r>
      <w:r w:rsidR="00BE556B">
        <w:rPr>
          <w:rFonts w:ascii="Times New Roman" w:hAnsi="Times New Roman" w:cs="Times New Roman"/>
          <w:sz w:val="19"/>
          <w:szCs w:val="19"/>
        </w:rPr>
        <w:t>[</w:t>
      </w:r>
      <w:r w:rsidR="00BE556B">
        <w:rPr>
          <w:rFonts w:ascii="Times New Roman" w:hAnsi="Times New Roman" w:cs="Times New Roman"/>
          <w:sz w:val="19"/>
          <w:szCs w:val="19"/>
        </w:rPr>
        <w:fldChar w:fldCharType="begin"/>
      </w:r>
      <w:r w:rsidR="00BE556B">
        <w:rPr>
          <w:rFonts w:ascii="Times New Roman" w:hAnsi="Times New Roman" w:cs="Times New Roman"/>
          <w:sz w:val="19"/>
          <w:szCs w:val="19"/>
        </w:rPr>
        <w:instrText xml:space="preserve"> REF _Ref91751192 \r \h </w:instrText>
      </w:r>
      <w:r w:rsidR="00BE556B">
        <w:rPr>
          <w:rFonts w:ascii="Times New Roman" w:hAnsi="Times New Roman" w:cs="Times New Roman"/>
          <w:sz w:val="19"/>
          <w:szCs w:val="19"/>
        </w:rPr>
      </w:r>
      <w:r w:rsidR="00BE556B">
        <w:rPr>
          <w:rFonts w:ascii="Times New Roman" w:hAnsi="Times New Roman" w:cs="Times New Roman"/>
          <w:sz w:val="19"/>
          <w:szCs w:val="19"/>
        </w:rPr>
        <w:fldChar w:fldCharType="separate"/>
      </w:r>
      <w:r w:rsidR="00E66B60">
        <w:rPr>
          <w:rFonts w:ascii="Times New Roman" w:hAnsi="Times New Roman" w:cs="Times New Roman"/>
          <w:sz w:val="19"/>
          <w:szCs w:val="19"/>
        </w:rPr>
        <w:t>4.2</w:t>
      </w:r>
      <w:r w:rsidR="00BE556B">
        <w:rPr>
          <w:rFonts w:ascii="Times New Roman" w:hAnsi="Times New Roman" w:cs="Times New Roman"/>
          <w:sz w:val="19"/>
          <w:szCs w:val="19"/>
        </w:rPr>
        <w:fldChar w:fldCharType="end"/>
      </w:r>
      <w:r w:rsidR="00BE556B">
        <w:rPr>
          <w:rFonts w:ascii="Times New Roman" w:hAnsi="Times New Roman" w:cs="Times New Roman"/>
          <w:sz w:val="19"/>
          <w:szCs w:val="19"/>
        </w:rPr>
        <w:t>]</w:t>
      </w:r>
      <w:r w:rsidRPr="00DC7A14">
        <w:rPr>
          <w:rFonts w:ascii="Times New Roman" w:hAnsi="Times New Roman" w:cs="Times New Roman"/>
          <w:sz w:val="19"/>
          <w:szCs w:val="19"/>
        </w:rPr>
        <w:t>.</w:t>
      </w:r>
    </w:p>
  </w:footnote>
  <w:footnote w:id="95">
    <w:p w14:paraId="337AEAAB" w14:textId="60E77A7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DD6EE7" w:rsidRPr="00DC7A14">
        <w:rPr>
          <w:rFonts w:ascii="Times New Roman" w:hAnsi="Times New Roman" w:cs="Times New Roman"/>
          <w:sz w:val="19"/>
          <w:szCs w:val="19"/>
        </w:rPr>
        <w:t xml:space="preserve">sch 1, </w:t>
      </w:r>
      <w:r w:rsidRPr="00DC7A14">
        <w:rPr>
          <w:rFonts w:ascii="Times New Roman" w:hAnsi="Times New Roman" w:cs="Times New Roman"/>
          <w:sz w:val="19"/>
          <w:szCs w:val="19"/>
        </w:rPr>
        <w:t>PIPP 2(4)</w:t>
      </w:r>
      <w:r w:rsidR="0053097A" w:rsidRPr="00DC7A14">
        <w:rPr>
          <w:rFonts w:ascii="Times New Roman" w:hAnsi="Times New Roman" w:cs="Times New Roman"/>
          <w:sz w:val="19"/>
          <w:szCs w:val="19"/>
        </w:rPr>
        <w:t>.</w:t>
      </w:r>
    </w:p>
  </w:footnote>
  <w:footnote w:id="96">
    <w:p w14:paraId="251D2478" w14:textId="752AAC0C" w:rsidR="00A3523C" w:rsidRPr="00DC7A14" w:rsidRDefault="00A3523C" w:rsidP="00A3523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532447" w:rsidRPr="00DC7A14">
        <w:rPr>
          <w:rFonts w:ascii="Times New Roman" w:hAnsi="Times New Roman" w:cs="Times New Roman"/>
          <w:sz w:val="19"/>
          <w:szCs w:val="19"/>
        </w:rPr>
        <w:t>It must be a situation</w:t>
      </w:r>
      <w:r w:rsidR="00FB5D11" w:rsidRPr="00DC7A14">
        <w:rPr>
          <w:rFonts w:ascii="Times New Roman" w:hAnsi="Times New Roman" w:cs="Times New Roman"/>
          <w:sz w:val="19"/>
          <w:szCs w:val="19"/>
        </w:rPr>
        <w:t xml:space="preserve"> </w:t>
      </w:r>
      <w:r w:rsidRPr="00DC7A14">
        <w:rPr>
          <w:rFonts w:ascii="Times New Roman" w:hAnsi="Times New Roman" w:cs="Times New Roman"/>
          <w:sz w:val="19"/>
          <w:szCs w:val="19"/>
        </w:rPr>
        <w:t>where it is not possible to use non-identifying information, impracticable to seek the individual’s consent, and</w:t>
      </w:r>
      <w:r w:rsidR="00AC0D3D" w:rsidRPr="00DC7A14">
        <w:rPr>
          <w:rFonts w:ascii="Times New Roman" w:hAnsi="Times New Roman" w:cs="Times New Roman"/>
          <w:sz w:val="19"/>
          <w:szCs w:val="19"/>
        </w:rPr>
        <w:t xml:space="preserve"> the collection is done</w:t>
      </w:r>
      <w:r w:rsidRPr="00DC7A14">
        <w:rPr>
          <w:rFonts w:ascii="Times New Roman" w:hAnsi="Times New Roman" w:cs="Times New Roman"/>
          <w:sz w:val="19"/>
          <w:szCs w:val="19"/>
        </w:rPr>
        <w:t xml:space="preserve"> in accordance with law and any professional confidentiality obligations</w:t>
      </w:r>
      <w:r w:rsidR="00AC0D3D"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AC0D3D" w:rsidRPr="00DC7A14">
        <w:rPr>
          <w:rFonts w:ascii="Times New Roman" w:hAnsi="Times New Roman" w:cs="Times New Roman"/>
          <w:sz w:val="19"/>
          <w:szCs w:val="19"/>
        </w:rPr>
        <w:t xml:space="preserve">sch 1, </w:t>
      </w:r>
      <w:r w:rsidRPr="00DC7A14">
        <w:rPr>
          <w:rFonts w:ascii="Times New Roman" w:hAnsi="Times New Roman" w:cs="Times New Roman"/>
          <w:sz w:val="19"/>
          <w:szCs w:val="19"/>
        </w:rPr>
        <w:t>PIPP 10(4).</w:t>
      </w:r>
    </w:p>
  </w:footnote>
  <w:footnote w:id="97">
    <w:p w14:paraId="10BE7365" w14:textId="5927160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924EB6" w:rsidRPr="00DC7A14">
        <w:rPr>
          <w:rFonts w:ascii="Times New Roman" w:hAnsi="Times New Roman" w:cs="Times New Roman"/>
          <w:sz w:val="19"/>
          <w:szCs w:val="19"/>
        </w:rPr>
        <w:t>Ibid sch 1, PIPP</w:t>
      </w:r>
      <w:r w:rsidRPr="00DC7A14">
        <w:rPr>
          <w:rFonts w:ascii="Times New Roman" w:hAnsi="Times New Roman" w:cs="Times New Roman"/>
          <w:sz w:val="19"/>
          <w:szCs w:val="19"/>
        </w:rPr>
        <w:t xml:space="preserve"> 10(5)</w:t>
      </w:r>
      <w:r w:rsidR="00924EB6" w:rsidRPr="00DC7A14">
        <w:rPr>
          <w:rFonts w:ascii="Times New Roman" w:hAnsi="Times New Roman" w:cs="Times New Roman"/>
          <w:sz w:val="19"/>
          <w:szCs w:val="19"/>
        </w:rPr>
        <w:t>.</w:t>
      </w:r>
    </w:p>
  </w:footnote>
  <w:footnote w:id="98">
    <w:p w14:paraId="4D946995" w14:textId="6F7B1C2B" w:rsidR="00E13728" w:rsidRPr="00DC7A14" w:rsidRDefault="00E13728" w:rsidP="00E1372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the assignment, use</w:t>
      </w:r>
      <w:r w:rsidR="001343F1" w:rsidRPr="00DC7A14">
        <w:rPr>
          <w:rFonts w:ascii="Times New Roman" w:hAnsi="Times New Roman" w:cs="Times New Roman"/>
          <w:sz w:val="19"/>
          <w:szCs w:val="19"/>
        </w:rPr>
        <w:t>,</w:t>
      </w:r>
      <w:r w:rsidRPr="00DC7A14">
        <w:rPr>
          <w:rFonts w:ascii="Times New Roman" w:hAnsi="Times New Roman" w:cs="Times New Roman"/>
          <w:sz w:val="19"/>
          <w:szCs w:val="19"/>
        </w:rPr>
        <w:t xml:space="preserve"> and disclosure of Commonwealth government healthcare identifiers is also regulated under the </w:t>
      </w:r>
      <w:r w:rsidRPr="00DC7A14">
        <w:rPr>
          <w:rFonts w:ascii="Times New Roman" w:hAnsi="Times New Roman" w:cs="Times New Roman"/>
          <w:i/>
          <w:sz w:val="19"/>
          <w:szCs w:val="19"/>
        </w:rPr>
        <w:t>Healthcare Identifiers Act 2010</w:t>
      </w:r>
      <w:r w:rsidRPr="00DC7A14">
        <w:rPr>
          <w:rFonts w:ascii="Times New Roman" w:hAnsi="Times New Roman" w:cs="Times New Roman"/>
          <w:sz w:val="19"/>
          <w:szCs w:val="19"/>
        </w:rPr>
        <w:t xml:space="preserve"> (Cth).</w:t>
      </w:r>
    </w:p>
  </w:footnote>
  <w:footnote w:id="99">
    <w:p w14:paraId="028C37BB" w14:textId="3C25B3AD" w:rsidR="00D82392" w:rsidRPr="00DC7A14" w:rsidRDefault="00D8239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6.</w:t>
      </w:r>
    </w:p>
  </w:footnote>
  <w:footnote w:id="100">
    <w:p w14:paraId="31E7880C" w14:textId="119A3ED9" w:rsidR="006E2F57" w:rsidRPr="00DC7A14" w:rsidRDefault="006E2F57" w:rsidP="007B2E9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Biometric templates are the mathematical files that </w:t>
      </w:r>
      <w:r w:rsidR="00192D30" w:rsidRPr="00DC7A14">
        <w:rPr>
          <w:rFonts w:ascii="Times New Roman" w:hAnsi="Times New Roman" w:cs="Times New Roman"/>
          <w:sz w:val="19"/>
          <w:szCs w:val="19"/>
        </w:rPr>
        <w:t>represent the individual’s unique features</w:t>
      </w:r>
      <w:r w:rsidR="007B2E9B" w:rsidRPr="00DC7A14">
        <w:rPr>
          <w:rFonts w:ascii="Times New Roman" w:hAnsi="Times New Roman" w:cs="Times New Roman"/>
          <w:sz w:val="19"/>
          <w:szCs w:val="19"/>
        </w:rPr>
        <w:t xml:space="preserve"> in digital form</w:t>
      </w:r>
      <w:r w:rsidR="00192D30" w:rsidRPr="00DC7A14">
        <w:rPr>
          <w:rFonts w:ascii="Times New Roman" w:hAnsi="Times New Roman" w:cs="Times New Roman"/>
          <w:sz w:val="19"/>
          <w:szCs w:val="19"/>
        </w:rPr>
        <w:t xml:space="preserve">. </w:t>
      </w:r>
      <w:r w:rsidR="007B2E9B" w:rsidRPr="00DC7A14">
        <w:rPr>
          <w:rFonts w:ascii="Times New Roman" w:hAnsi="Times New Roman" w:cs="Times New Roman"/>
          <w:sz w:val="19"/>
          <w:szCs w:val="19"/>
        </w:rPr>
        <w:t>They are produced after the</w:t>
      </w:r>
      <w:r w:rsidR="00192D30" w:rsidRPr="00DC7A14">
        <w:rPr>
          <w:rFonts w:ascii="Times New Roman" w:hAnsi="Times New Roman" w:cs="Times New Roman"/>
          <w:sz w:val="19"/>
          <w:szCs w:val="19"/>
        </w:rPr>
        <w:t xml:space="preserve"> unique features of an individual are extracted from a sample (such as a photo of their face or a voice recording)</w:t>
      </w:r>
      <w:r w:rsidR="007B2E9B" w:rsidRPr="00DC7A14">
        <w:rPr>
          <w:rFonts w:ascii="Times New Roman" w:hAnsi="Times New Roman" w:cs="Times New Roman"/>
          <w:sz w:val="19"/>
          <w:szCs w:val="19"/>
        </w:rPr>
        <w:t xml:space="preserve">, analysed, and </w:t>
      </w:r>
      <w:r w:rsidR="00C8559B" w:rsidRPr="00DC7A14">
        <w:rPr>
          <w:rFonts w:ascii="Times New Roman" w:hAnsi="Times New Roman" w:cs="Times New Roman"/>
          <w:sz w:val="19"/>
          <w:szCs w:val="19"/>
        </w:rPr>
        <w:t xml:space="preserve">then </w:t>
      </w:r>
      <w:r w:rsidR="007B2E9B" w:rsidRPr="00DC7A14">
        <w:rPr>
          <w:rFonts w:ascii="Times New Roman" w:hAnsi="Times New Roman" w:cs="Times New Roman"/>
          <w:sz w:val="19"/>
          <w:szCs w:val="19"/>
        </w:rPr>
        <w:t xml:space="preserve">converted into </w:t>
      </w:r>
      <w:r w:rsidR="00F24AD7" w:rsidRPr="00DC7A14">
        <w:rPr>
          <w:rFonts w:ascii="Times New Roman" w:hAnsi="Times New Roman" w:cs="Times New Roman"/>
          <w:sz w:val="19"/>
          <w:szCs w:val="19"/>
        </w:rPr>
        <w:t xml:space="preserve">mathematical </w:t>
      </w:r>
      <w:r w:rsidR="007B2E9B" w:rsidRPr="00DC7A14">
        <w:rPr>
          <w:rFonts w:ascii="Times New Roman" w:hAnsi="Times New Roman" w:cs="Times New Roman"/>
          <w:sz w:val="19"/>
          <w:szCs w:val="19"/>
        </w:rPr>
        <w:t>data.</w:t>
      </w:r>
      <w:r w:rsidR="00697C7D" w:rsidRPr="00DC7A14">
        <w:rPr>
          <w:rFonts w:ascii="Times New Roman" w:hAnsi="Times New Roman" w:cs="Times New Roman"/>
          <w:sz w:val="19"/>
          <w:szCs w:val="19"/>
        </w:rPr>
        <w:t xml:space="preserve"> </w:t>
      </w:r>
    </w:p>
  </w:footnote>
  <w:footnote w:id="101">
    <w:p w14:paraId="21C841BC" w14:textId="510438B2" w:rsidR="00D84383" w:rsidRPr="00DC7A14" w:rsidRDefault="00D84383" w:rsidP="00D84383">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0096774D" w:rsidRPr="00DC7A14">
        <w:rPr>
          <w:rFonts w:ascii="Times New Roman" w:hAnsi="Times New Roman" w:cs="Times New Roman"/>
          <w:sz w:val="19"/>
          <w:szCs w:val="19"/>
        </w:rPr>
        <w:t xml:space="preserve"> </w:t>
      </w:r>
      <w:r w:rsidR="00360870" w:rsidRPr="00DC7A14">
        <w:rPr>
          <w:rFonts w:ascii="Times New Roman" w:hAnsi="Times New Roman" w:cs="Times New Roman"/>
          <w:sz w:val="19"/>
          <w:szCs w:val="19"/>
        </w:rPr>
        <w:t>Australian Human Rights Commission</w:t>
      </w:r>
      <w:r w:rsidR="004253C5" w:rsidRPr="00DC7A14">
        <w:rPr>
          <w:rFonts w:ascii="Times New Roman" w:hAnsi="Times New Roman" w:cs="Times New Roman"/>
          <w:sz w:val="19"/>
          <w:szCs w:val="19"/>
        </w:rPr>
        <w:t xml:space="preserve"> (‘AHRC’)</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Human Rights and Technology Final Report</w:t>
      </w:r>
      <w:r w:rsidRPr="00DC7A14">
        <w:rPr>
          <w:rFonts w:ascii="Times New Roman" w:hAnsi="Times New Roman" w:cs="Times New Roman"/>
          <w:sz w:val="19"/>
          <w:szCs w:val="19"/>
        </w:rPr>
        <w:t xml:space="preserve"> (Final Report, 2021) ch 9.</w:t>
      </w:r>
    </w:p>
  </w:footnote>
  <w:footnote w:id="102">
    <w:p w14:paraId="19900036" w14:textId="028EB331" w:rsidR="003C4DEC" w:rsidRPr="00DC7A14" w:rsidRDefault="003C4DEC" w:rsidP="003C4DE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116</w:t>
      </w:r>
      <w:r w:rsidRPr="00DC7A14">
        <w:rPr>
          <w:rFonts w:ascii="Times New Roman" w:hAnsi="Times New Roman" w:cs="Times New Roman"/>
          <w:sz w:val="19"/>
          <w:szCs w:val="19"/>
        </w:rPr>
        <w:softHyphen/>
        <w:t>–23.</w:t>
      </w:r>
    </w:p>
  </w:footnote>
  <w:footnote w:id="103">
    <w:p w14:paraId="3717D9DE" w14:textId="2F99AC08" w:rsidR="00DE4582" w:rsidRPr="00DC7A14" w:rsidRDefault="00DE458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C4DEC" w:rsidRPr="00DC7A14">
        <w:rPr>
          <w:rFonts w:ascii="Times New Roman" w:hAnsi="Times New Roman" w:cs="Times New Roman"/>
          <w:sz w:val="19"/>
          <w:szCs w:val="19"/>
        </w:rPr>
        <w:t>Ibid 117</w:t>
      </w:r>
      <w:r w:rsidR="0093696D" w:rsidRPr="00DC7A14">
        <w:rPr>
          <w:rFonts w:ascii="Times New Roman" w:hAnsi="Times New Roman" w:cs="Times New Roman"/>
          <w:sz w:val="19"/>
          <w:szCs w:val="19"/>
        </w:rPr>
        <w:t xml:space="preserve">, 119 (referring </w:t>
      </w:r>
      <w:r w:rsidR="003C4DEC" w:rsidRPr="00DC7A14">
        <w:rPr>
          <w:rFonts w:ascii="Times New Roman" w:hAnsi="Times New Roman" w:cs="Times New Roman"/>
          <w:sz w:val="19"/>
          <w:szCs w:val="19"/>
        </w:rPr>
        <w:t xml:space="preserve">the </w:t>
      </w:r>
      <w:r w:rsidRPr="00DC7A14">
        <w:rPr>
          <w:rFonts w:ascii="Times New Roman" w:hAnsi="Times New Roman" w:cs="Times New Roman"/>
          <w:sz w:val="19"/>
          <w:szCs w:val="19"/>
        </w:rPr>
        <w:t>example raised in the report</w:t>
      </w:r>
      <w:r w:rsidR="0093696D"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104">
    <w:p w14:paraId="25D5C7B0" w14:textId="74A97518" w:rsidR="00267BCB" w:rsidRPr="00DC7A14" w:rsidRDefault="00267BC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eg, </w:t>
      </w:r>
      <w:r w:rsidR="00A573C5" w:rsidRPr="00DC7A14">
        <w:rPr>
          <w:rFonts w:ascii="Times New Roman" w:hAnsi="Times New Roman" w:cs="Times New Roman"/>
          <w:sz w:val="19"/>
          <w:szCs w:val="19"/>
        </w:rPr>
        <w:t xml:space="preserve">OAIC, </w:t>
      </w:r>
      <w:r w:rsidR="00A573C5" w:rsidRPr="00DC7A14">
        <w:rPr>
          <w:rFonts w:ascii="Times New Roman" w:hAnsi="Times New Roman" w:cs="Times New Roman"/>
          <w:i/>
          <w:sz w:val="19"/>
          <w:szCs w:val="19"/>
        </w:rPr>
        <w:t xml:space="preserve">Submission to Privacy Act Review </w:t>
      </w:r>
      <w:r w:rsidR="00A573C5" w:rsidRPr="00DC7A14">
        <w:rPr>
          <w:rFonts w:ascii="Times New Roman" w:hAnsi="Times New Roman" w:cs="Times New Roman"/>
          <w:iCs/>
          <w:sz w:val="19"/>
          <w:szCs w:val="19"/>
        </w:rPr>
        <w:t xml:space="preserve">(n </w:t>
      </w:r>
      <w:r w:rsidR="00A573C5" w:rsidRPr="00DC7A14">
        <w:rPr>
          <w:rFonts w:ascii="Times New Roman" w:hAnsi="Times New Roman" w:cs="Times New Roman"/>
          <w:iCs/>
          <w:sz w:val="19"/>
          <w:szCs w:val="19"/>
        </w:rPr>
        <w:fldChar w:fldCharType="begin"/>
      </w:r>
      <w:r w:rsidR="00A573C5" w:rsidRPr="00DC7A14">
        <w:rPr>
          <w:rFonts w:ascii="Times New Roman" w:hAnsi="Times New Roman" w:cs="Times New Roman"/>
          <w:iCs/>
          <w:sz w:val="19"/>
          <w:szCs w:val="19"/>
        </w:rPr>
        <w:instrText xml:space="preserve"> NOTEREF _Ref85809175 \h </w:instrText>
      </w:r>
      <w:r w:rsidR="00AF0D1D" w:rsidRPr="00DC7A14">
        <w:rPr>
          <w:rFonts w:ascii="Times New Roman" w:hAnsi="Times New Roman" w:cs="Times New Roman"/>
          <w:iCs/>
          <w:sz w:val="19"/>
          <w:szCs w:val="19"/>
        </w:rPr>
        <w:instrText xml:space="preserve"> \* MERGEFORMAT </w:instrText>
      </w:r>
      <w:r w:rsidR="00A573C5" w:rsidRPr="00DC7A14">
        <w:rPr>
          <w:rFonts w:ascii="Times New Roman" w:hAnsi="Times New Roman" w:cs="Times New Roman"/>
          <w:iCs/>
          <w:sz w:val="19"/>
          <w:szCs w:val="19"/>
        </w:rPr>
      </w:r>
      <w:r w:rsidR="00A573C5" w:rsidRPr="00DC7A14">
        <w:rPr>
          <w:rFonts w:ascii="Times New Roman" w:hAnsi="Times New Roman" w:cs="Times New Roman"/>
          <w:iCs/>
          <w:sz w:val="19"/>
          <w:szCs w:val="19"/>
        </w:rPr>
        <w:fldChar w:fldCharType="separate"/>
      </w:r>
      <w:r w:rsidR="00E66B60">
        <w:rPr>
          <w:rFonts w:ascii="Times New Roman" w:hAnsi="Times New Roman" w:cs="Times New Roman"/>
          <w:iCs/>
          <w:sz w:val="19"/>
          <w:szCs w:val="19"/>
        </w:rPr>
        <w:t>26</w:t>
      </w:r>
      <w:r w:rsidR="00A573C5" w:rsidRPr="00DC7A14">
        <w:rPr>
          <w:rFonts w:ascii="Times New Roman" w:hAnsi="Times New Roman" w:cs="Times New Roman"/>
          <w:iCs/>
          <w:sz w:val="19"/>
          <w:szCs w:val="19"/>
        </w:rPr>
        <w:fldChar w:fldCharType="end"/>
      </w:r>
      <w:r w:rsidR="00A573C5" w:rsidRPr="00DC7A14">
        <w:rPr>
          <w:rFonts w:ascii="Times New Roman" w:hAnsi="Times New Roman" w:cs="Times New Roman"/>
          <w:iCs/>
          <w:sz w:val="19"/>
          <w:szCs w:val="19"/>
        </w:rPr>
        <w:t>)</w:t>
      </w:r>
      <w:r w:rsidRPr="00DC7A14">
        <w:rPr>
          <w:rFonts w:ascii="Times New Roman" w:hAnsi="Times New Roman" w:cs="Times New Roman"/>
          <w:sz w:val="19"/>
          <w:szCs w:val="19"/>
        </w:rPr>
        <w:t xml:space="preserve"> [7.17]</w:t>
      </w:r>
      <w:r w:rsidR="001A5B8F" w:rsidRPr="00DC7A14">
        <w:rPr>
          <w:rFonts w:ascii="Times New Roman" w:hAnsi="Times New Roman" w:cs="Times New Roman"/>
          <w:sz w:val="19"/>
          <w:szCs w:val="19"/>
        </w:rPr>
        <w:t xml:space="preserve">, </w:t>
      </w:r>
      <w:r w:rsidRPr="00DC7A14">
        <w:rPr>
          <w:rFonts w:ascii="Times New Roman" w:hAnsi="Times New Roman" w:cs="Times New Roman"/>
          <w:sz w:val="19"/>
          <w:szCs w:val="19"/>
        </w:rPr>
        <w:t>[7.34].</w:t>
      </w:r>
    </w:p>
  </w:footnote>
  <w:footnote w:id="105">
    <w:p w14:paraId="058FCAE6" w14:textId="2D4B1214" w:rsidR="00297849" w:rsidRPr="00DC7A14" w:rsidRDefault="00297849" w:rsidP="005C143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5C143C" w:rsidRPr="00DC7A14">
        <w:rPr>
          <w:rFonts w:ascii="Times New Roman" w:hAnsi="Times New Roman" w:cs="Times New Roman"/>
          <w:sz w:val="19"/>
          <w:szCs w:val="19"/>
        </w:rPr>
        <w:t xml:space="preserve">Tasmania, </w:t>
      </w:r>
      <w:r w:rsidR="005C143C" w:rsidRPr="00DC7A14">
        <w:rPr>
          <w:rFonts w:ascii="Times New Roman" w:hAnsi="Times New Roman" w:cs="Times New Roman"/>
          <w:i/>
          <w:iCs/>
          <w:sz w:val="19"/>
          <w:szCs w:val="19"/>
        </w:rPr>
        <w:t>Parliamentary Debates</w:t>
      </w:r>
      <w:r w:rsidR="005C143C" w:rsidRPr="00DC7A14">
        <w:rPr>
          <w:rFonts w:ascii="Times New Roman" w:hAnsi="Times New Roman" w:cs="Times New Roman"/>
          <w:sz w:val="19"/>
          <w:szCs w:val="19"/>
        </w:rPr>
        <w:t>, Legislative Council, 24 August 2021, 2</w:t>
      </w:r>
      <w:r w:rsidR="00FC3188" w:rsidRPr="00DC7A14">
        <w:rPr>
          <w:rFonts w:ascii="Times New Roman" w:hAnsi="Times New Roman" w:cs="Times New Roman"/>
          <w:sz w:val="19"/>
          <w:szCs w:val="19"/>
        </w:rPr>
        <w:t>7</w:t>
      </w:r>
      <w:r w:rsidR="005C143C" w:rsidRPr="00DC7A14">
        <w:rPr>
          <w:rFonts w:ascii="Times New Roman" w:hAnsi="Times New Roman" w:cs="Times New Roman"/>
          <w:sz w:val="19"/>
          <w:szCs w:val="19"/>
        </w:rPr>
        <w:t>–</w:t>
      </w:r>
      <w:r w:rsidR="00FC3188" w:rsidRPr="00DC7A14">
        <w:rPr>
          <w:rFonts w:ascii="Times New Roman" w:hAnsi="Times New Roman" w:cs="Times New Roman"/>
          <w:sz w:val="19"/>
          <w:szCs w:val="19"/>
        </w:rPr>
        <w:t>8</w:t>
      </w:r>
      <w:r w:rsidR="005C143C" w:rsidRPr="00DC7A14">
        <w:rPr>
          <w:rFonts w:ascii="Times New Roman" w:hAnsi="Times New Roman" w:cs="Times New Roman"/>
          <w:sz w:val="19"/>
          <w:szCs w:val="19"/>
        </w:rPr>
        <w:t xml:space="preserve">. </w:t>
      </w:r>
    </w:p>
  </w:footnote>
  <w:footnote w:id="106">
    <w:p w14:paraId="41F4ED95" w14:textId="659CF6C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3 (definition of ‘basic information’)</w:t>
      </w:r>
      <w:r w:rsidR="00371439" w:rsidRPr="00DC7A14">
        <w:rPr>
          <w:rFonts w:ascii="Times New Roman" w:hAnsi="Times New Roman" w:cs="Times New Roman"/>
          <w:sz w:val="19"/>
          <w:szCs w:val="19"/>
        </w:rPr>
        <w:t>.</w:t>
      </w:r>
    </w:p>
  </w:footnote>
  <w:footnote w:id="107">
    <w:p w14:paraId="4E894D81" w14:textId="38499AC8" w:rsidR="00A87D28" w:rsidRPr="00DC7A14" w:rsidRDefault="00A87D28" w:rsidP="00A87D2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71439"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12.</w:t>
      </w:r>
    </w:p>
  </w:footnote>
  <w:footnote w:id="108">
    <w:p w14:paraId="306748AD" w14:textId="191896F2" w:rsidR="009A0541" w:rsidRPr="00DC7A14" w:rsidRDefault="009A0541" w:rsidP="009A054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123CF" w:rsidRPr="00DC7A14">
        <w:rPr>
          <w:rFonts w:ascii="Times New Roman" w:hAnsi="Times New Roman" w:cs="Times New Roman"/>
          <w:sz w:val="19"/>
          <w:szCs w:val="19"/>
        </w:rPr>
        <w:t>This includes information about their</w:t>
      </w:r>
      <w:r w:rsidRPr="00DC7A14">
        <w:rPr>
          <w:rFonts w:ascii="Times New Roman" w:hAnsi="Times New Roman" w:cs="Times New Roman"/>
          <w:sz w:val="19"/>
          <w:szCs w:val="19"/>
        </w:rPr>
        <w:t xml:space="preserve"> selection, employment, training, discipline or resignation, termination, conditions of employment, performance or conduct in carrying out their employment functions or duties, suitability for their employment, hours worked, salary, membership of a professional association, trade association or trade union, information supporting statistical reporting or personnel planning</w:t>
      </w:r>
      <w:r w:rsidR="003123CF" w:rsidRPr="00DC7A14">
        <w:rPr>
          <w:rFonts w:ascii="Times New Roman" w:hAnsi="Times New Roman" w:cs="Times New Roman"/>
          <w:sz w:val="19"/>
          <w:szCs w:val="19"/>
        </w:rPr>
        <w:t>,</w:t>
      </w:r>
      <w:r w:rsidRPr="00DC7A14">
        <w:rPr>
          <w:rFonts w:ascii="Times New Roman" w:hAnsi="Times New Roman" w:cs="Times New Roman"/>
          <w:sz w:val="19"/>
          <w:szCs w:val="19"/>
        </w:rPr>
        <w:t xml:space="preserve"> or other information in relation to employees required by law: </w:t>
      </w:r>
      <w:r w:rsidR="009419FE" w:rsidRPr="00DC7A14">
        <w:rPr>
          <w:rFonts w:ascii="Times New Roman" w:hAnsi="Times New Roman" w:cs="Times New Roman"/>
          <w:sz w:val="19"/>
          <w:szCs w:val="19"/>
        </w:rPr>
        <w:t>see</w:t>
      </w:r>
      <w:r w:rsidRPr="00DC7A14">
        <w:rPr>
          <w:rFonts w:ascii="Times New Roman" w:hAnsi="Times New Roman" w:cs="Times New Roman"/>
          <w:sz w:val="19"/>
          <w:szCs w:val="19"/>
        </w:rPr>
        <w:t xml:space="preserve"> </w:t>
      </w:r>
      <w:r w:rsidR="009419FE"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3 (definition of ‘employee information’).</w:t>
      </w:r>
    </w:p>
  </w:footnote>
  <w:footnote w:id="109">
    <w:p w14:paraId="7FB85315" w14:textId="4A022DA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iCs/>
          <w:sz w:val="19"/>
          <w:szCs w:val="19"/>
        </w:rPr>
        <w:footnoteRef/>
      </w:r>
      <w:r w:rsidRPr="00DC7A14">
        <w:rPr>
          <w:rFonts w:ascii="Times New Roman" w:hAnsi="Times New Roman" w:cs="Times New Roman"/>
          <w:sz w:val="19"/>
          <w:szCs w:val="19"/>
        </w:rPr>
        <w:t xml:space="preserve"> </w:t>
      </w:r>
      <w:r w:rsidR="00EE0481" w:rsidRPr="00DC7A14">
        <w:rPr>
          <w:rFonts w:ascii="Times New Roman" w:hAnsi="Times New Roman" w:cs="Times New Roman"/>
          <w:sz w:val="19"/>
          <w:szCs w:val="19"/>
        </w:rPr>
        <w:t>PIPA</w:t>
      </w:r>
      <w:r w:rsidRPr="00DC7A14">
        <w:rPr>
          <w:rFonts w:ascii="Times New Roman" w:hAnsi="Times New Roman" w:cs="Times New Roman"/>
          <w:i/>
          <w:sz w:val="19"/>
          <w:szCs w:val="19"/>
        </w:rPr>
        <w:t xml:space="preserve"> </w:t>
      </w:r>
      <w:r w:rsidRPr="00DC7A14">
        <w:rPr>
          <w:rFonts w:ascii="Times New Roman" w:hAnsi="Times New Roman" w:cs="Times New Roman"/>
          <w:sz w:val="19"/>
          <w:szCs w:val="19"/>
        </w:rPr>
        <w:t>s 3 (definition of ‘employee information’).</w:t>
      </w:r>
    </w:p>
  </w:footnote>
  <w:footnote w:id="110">
    <w:p w14:paraId="2F3608CD" w14:textId="54F4565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5837FE"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w:t>
      </w:r>
      <w:r w:rsidR="00A87D28" w:rsidRPr="00DC7A14">
        <w:rPr>
          <w:rFonts w:ascii="Times New Roman" w:hAnsi="Times New Roman" w:cs="Times New Roman"/>
          <w:sz w:val="19"/>
          <w:szCs w:val="19"/>
        </w:rPr>
        <w:t>s 10</w:t>
      </w:r>
      <w:r w:rsidRPr="00DC7A14">
        <w:rPr>
          <w:rFonts w:ascii="Times New Roman" w:hAnsi="Times New Roman" w:cs="Times New Roman"/>
          <w:sz w:val="19"/>
          <w:szCs w:val="19"/>
        </w:rPr>
        <w:t>.</w:t>
      </w:r>
    </w:p>
  </w:footnote>
  <w:footnote w:id="111">
    <w:p w14:paraId="67170A9A" w14:textId="7CCBB84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50AF9" w:rsidRPr="00DC7A14">
        <w:rPr>
          <w:rFonts w:ascii="Times New Roman" w:hAnsi="Times New Roman" w:cs="Times New Roman"/>
          <w:sz w:val="19"/>
          <w:szCs w:val="19"/>
        </w:rPr>
        <w:t xml:space="preserve">Ibid sch 1, </w:t>
      </w:r>
      <w:r w:rsidRPr="00DC7A14">
        <w:rPr>
          <w:rFonts w:ascii="Times New Roman" w:hAnsi="Times New Roman" w:cs="Times New Roman"/>
          <w:sz w:val="19"/>
          <w:szCs w:val="19"/>
        </w:rPr>
        <w:t>PIPP 2(1)(i).</w:t>
      </w:r>
    </w:p>
  </w:footnote>
  <w:footnote w:id="112">
    <w:p w14:paraId="34D918F1" w14:textId="6059CC9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50AF9" w:rsidRPr="00DC7A14">
        <w:rPr>
          <w:rFonts w:ascii="Times New Roman" w:hAnsi="Times New Roman" w:cs="Times New Roman"/>
          <w:sz w:val="19"/>
          <w:szCs w:val="19"/>
        </w:rPr>
        <w:t xml:space="preserve">Ibid sch 1, </w:t>
      </w:r>
      <w:r w:rsidRPr="00DC7A14">
        <w:rPr>
          <w:rFonts w:ascii="Times New Roman" w:hAnsi="Times New Roman" w:cs="Times New Roman"/>
          <w:sz w:val="19"/>
          <w:szCs w:val="19"/>
        </w:rPr>
        <w:t>PIPP 2(1)(j). This might include, for example, allowing someone’s past employment record, including union membership, to be shared and maintained by a new employer, or as a record relating to employment at other public authorities.</w:t>
      </w:r>
    </w:p>
  </w:footnote>
  <w:footnote w:id="113">
    <w:p w14:paraId="584DB2FA" w14:textId="1C36CFAE" w:rsidR="00D761C6" w:rsidRPr="00DC7A14" w:rsidRDefault="00D761C6">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531BB6" w:rsidRPr="00DC7A14">
        <w:rPr>
          <w:rFonts w:ascii="Times New Roman" w:hAnsi="Times New Roman" w:cs="Times New Roman"/>
          <w:sz w:val="19"/>
          <w:szCs w:val="19"/>
        </w:rPr>
        <w:t>D</w:t>
      </w:r>
      <w:r w:rsidRPr="00DC7A14">
        <w:rPr>
          <w:rFonts w:ascii="Times New Roman" w:hAnsi="Times New Roman" w:cs="Times New Roman"/>
          <w:sz w:val="19"/>
          <w:szCs w:val="19"/>
        </w:rPr>
        <w:t xml:space="preserve">efined in similar terms to employee information in </w:t>
      </w:r>
      <w:r w:rsidR="002437CA" w:rsidRPr="00DC7A14">
        <w:rPr>
          <w:rFonts w:ascii="Times New Roman" w:hAnsi="Times New Roman" w:cs="Times New Roman"/>
          <w:sz w:val="19"/>
          <w:szCs w:val="19"/>
        </w:rPr>
        <w:t xml:space="preserve">the </w:t>
      </w:r>
      <w:r w:rsidRPr="00DC7A14">
        <w:rPr>
          <w:rFonts w:ascii="Times New Roman" w:hAnsi="Times New Roman" w:cs="Times New Roman"/>
          <w:sz w:val="19"/>
          <w:szCs w:val="19"/>
        </w:rPr>
        <w:t>PIPA with the addition of taxation, banking</w:t>
      </w:r>
      <w:r w:rsidR="00E00563" w:rsidRPr="00DC7A14">
        <w:rPr>
          <w:rFonts w:ascii="Times New Roman" w:hAnsi="Times New Roman" w:cs="Times New Roman"/>
          <w:sz w:val="19"/>
          <w:szCs w:val="19"/>
        </w:rPr>
        <w:t>,</w:t>
      </w:r>
      <w:r w:rsidRPr="00DC7A14">
        <w:rPr>
          <w:rFonts w:ascii="Times New Roman" w:hAnsi="Times New Roman" w:cs="Times New Roman"/>
          <w:sz w:val="19"/>
          <w:szCs w:val="19"/>
        </w:rPr>
        <w:t xml:space="preserve"> or superannuation affairs</w:t>
      </w:r>
      <w:r w:rsidR="00E00563"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Privacy Act 1988</w:t>
      </w:r>
      <w:r w:rsidRPr="00DC7A14">
        <w:rPr>
          <w:rFonts w:ascii="Times New Roman" w:hAnsi="Times New Roman" w:cs="Times New Roman"/>
          <w:iCs/>
          <w:sz w:val="19"/>
          <w:szCs w:val="19"/>
        </w:rPr>
        <w:t xml:space="preserve"> (Cth) s 6 (definition of ‘employee record’)</w:t>
      </w:r>
    </w:p>
  </w:footnote>
  <w:footnote w:id="114">
    <w:p w14:paraId="46FC742B" w14:textId="64917DA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7B(3).</w:t>
      </w:r>
    </w:p>
  </w:footnote>
  <w:footnote w:id="115">
    <w:p w14:paraId="5E016B56" w14:textId="237735A1"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607AF" w:rsidRPr="00DC7A14">
        <w:rPr>
          <w:rFonts w:ascii="Times New Roman" w:hAnsi="Times New Roman" w:cs="Times New Roman"/>
          <w:sz w:val="19"/>
          <w:szCs w:val="19"/>
        </w:rPr>
        <w:t>Attorney-</w:t>
      </w:r>
      <w:r w:rsidRPr="00DC7A14">
        <w:rPr>
          <w:rFonts w:ascii="Times New Roman" w:hAnsi="Times New Roman" w:cs="Times New Roman"/>
          <w:sz w:val="19"/>
          <w:szCs w:val="19"/>
        </w:rPr>
        <w:t xml:space="preserve">General’s Department (n </w:t>
      </w:r>
      <w:r w:rsidR="00A13887" w:rsidRPr="00DC7A14">
        <w:rPr>
          <w:rFonts w:ascii="Times New Roman" w:hAnsi="Times New Roman" w:cs="Times New Roman"/>
          <w:sz w:val="19"/>
          <w:szCs w:val="19"/>
        </w:rPr>
        <w:fldChar w:fldCharType="begin"/>
      </w:r>
      <w:r w:rsidR="00A13887" w:rsidRPr="00DC7A14">
        <w:rPr>
          <w:rFonts w:ascii="Times New Roman" w:hAnsi="Times New Roman" w:cs="Times New Roman"/>
          <w:sz w:val="19"/>
          <w:szCs w:val="19"/>
        </w:rPr>
        <w:instrText xml:space="preserve"> NOTEREF _Ref91746263 \h </w:instrText>
      </w:r>
      <w:r w:rsidR="00803EBC" w:rsidRPr="00DC7A14">
        <w:rPr>
          <w:rFonts w:ascii="Times New Roman" w:hAnsi="Times New Roman" w:cs="Times New Roman"/>
          <w:sz w:val="19"/>
          <w:szCs w:val="19"/>
        </w:rPr>
        <w:instrText xml:space="preserve"> \* MERGEFORMAT </w:instrText>
      </w:r>
      <w:r w:rsidR="00A13887" w:rsidRPr="00DC7A14">
        <w:rPr>
          <w:rFonts w:ascii="Times New Roman" w:hAnsi="Times New Roman" w:cs="Times New Roman"/>
          <w:sz w:val="19"/>
          <w:szCs w:val="19"/>
        </w:rPr>
      </w:r>
      <w:r w:rsidR="00A13887"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25</w:t>
      </w:r>
      <w:r w:rsidR="00A13887" w:rsidRPr="00DC7A14">
        <w:rPr>
          <w:rFonts w:ascii="Times New Roman" w:hAnsi="Times New Roman" w:cs="Times New Roman"/>
          <w:sz w:val="19"/>
          <w:szCs w:val="19"/>
        </w:rPr>
        <w:fldChar w:fldCharType="end"/>
      </w:r>
      <w:r w:rsidRPr="00DC7A14">
        <w:rPr>
          <w:rFonts w:ascii="Times New Roman" w:hAnsi="Times New Roman" w:cs="Times New Roman"/>
          <w:sz w:val="19"/>
          <w:szCs w:val="19"/>
        </w:rPr>
        <w:t>) 32.</w:t>
      </w:r>
    </w:p>
  </w:footnote>
  <w:footnote w:id="116">
    <w:p w14:paraId="777FBAA6" w14:textId="54A0F94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694D17" w:rsidRPr="00DC7A14">
        <w:rPr>
          <w:rFonts w:ascii="Times New Roman" w:hAnsi="Times New Roman" w:cs="Times New Roman"/>
          <w:sz w:val="19"/>
          <w:szCs w:val="19"/>
        </w:rPr>
        <w:t xml:space="preserve">, </w:t>
      </w:r>
      <w:r w:rsidR="00694D17"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694D17" w:rsidRPr="00DC7A14">
        <w:rPr>
          <w:rFonts w:ascii="Times New Roman" w:hAnsi="Times New Roman" w:cs="Times New Roman"/>
          <w:sz w:val="19"/>
          <w:szCs w:val="19"/>
        </w:rPr>
        <w:fldChar w:fldCharType="begin"/>
      </w:r>
      <w:r w:rsidR="00694D17" w:rsidRPr="00DC7A14">
        <w:rPr>
          <w:rFonts w:ascii="Times New Roman" w:hAnsi="Times New Roman" w:cs="Times New Roman"/>
          <w:sz w:val="19"/>
          <w:szCs w:val="19"/>
        </w:rPr>
        <w:instrText xml:space="preserve"> NOTEREF _Ref85809175 \h </w:instrText>
      </w:r>
      <w:r w:rsidR="00803EBC" w:rsidRPr="00DC7A14">
        <w:rPr>
          <w:rFonts w:ascii="Times New Roman" w:hAnsi="Times New Roman" w:cs="Times New Roman"/>
          <w:sz w:val="19"/>
          <w:szCs w:val="19"/>
        </w:rPr>
        <w:instrText xml:space="preserve"> \* MERGEFORMAT </w:instrText>
      </w:r>
      <w:r w:rsidR="00694D17" w:rsidRPr="00DC7A14">
        <w:rPr>
          <w:rFonts w:ascii="Times New Roman" w:hAnsi="Times New Roman" w:cs="Times New Roman"/>
          <w:sz w:val="19"/>
          <w:szCs w:val="19"/>
        </w:rPr>
      </w:r>
      <w:r w:rsidR="00694D17"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694D17" w:rsidRPr="00DC7A14">
        <w:rPr>
          <w:rFonts w:ascii="Times New Roman" w:hAnsi="Times New Roman" w:cs="Times New Roman"/>
          <w:sz w:val="19"/>
          <w:szCs w:val="19"/>
        </w:rPr>
        <w:fldChar w:fldCharType="end"/>
      </w:r>
      <w:r w:rsidRPr="00DC7A14">
        <w:rPr>
          <w:rFonts w:ascii="Times New Roman" w:hAnsi="Times New Roman" w:cs="Times New Roman"/>
          <w:sz w:val="19"/>
          <w:szCs w:val="19"/>
        </w:rPr>
        <w:t>) 64.</w:t>
      </w:r>
    </w:p>
  </w:footnote>
  <w:footnote w:id="117">
    <w:p w14:paraId="7A5E6E60" w14:textId="7A04ECA0" w:rsidR="001C7558" w:rsidRPr="00DC7A14" w:rsidRDefault="001C755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3.</w:t>
      </w:r>
    </w:p>
  </w:footnote>
  <w:footnote w:id="118">
    <w:p w14:paraId="78B7BEDE" w14:textId="02AF2B7A" w:rsidR="002A05E7" w:rsidRPr="00DC7A14" w:rsidRDefault="002A05E7">
      <w:pPr>
        <w:pStyle w:val="FootnoteText"/>
        <w:rPr>
          <w:rFonts w:ascii="Times New Roman" w:hAnsi="Times New Roman" w:cs="Times New Roman"/>
          <w:sz w:val="19"/>
          <w:szCs w:val="19"/>
          <w:lang w:eastAsia="zh-TW"/>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31F0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8.</w:t>
      </w:r>
    </w:p>
  </w:footnote>
  <w:footnote w:id="119">
    <w:p w14:paraId="7A286E88" w14:textId="7777777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1998</w:t>
      </w:r>
      <w:r w:rsidRPr="00DC7A14">
        <w:rPr>
          <w:rFonts w:ascii="Times New Roman" w:hAnsi="Times New Roman" w:cs="Times New Roman"/>
          <w:sz w:val="19"/>
          <w:szCs w:val="19"/>
        </w:rPr>
        <w:t xml:space="preserve"> (NSW) s 4(3)(b).</w:t>
      </w:r>
    </w:p>
  </w:footnote>
  <w:footnote w:id="120">
    <w:p w14:paraId="7C255DE6" w14:textId="65CE2B0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12.</w:t>
      </w:r>
    </w:p>
  </w:footnote>
  <w:footnote w:id="121">
    <w:p w14:paraId="4090428E" w14:textId="05D519E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sch 1 cl 7(a).</w:t>
      </w:r>
    </w:p>
  </w:footnote>
  <w:footnote w:id="122">
    <w:p w14:paraId="62A53DDE" w14:textId="21792860" w:rsidR="00AE02DE" w:rsidRPr="00DC7A14" w:rsidRDefault="00AE02D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Right to Information Act 2009 </w:t>
      </w:r>
      <w:r w:rsidRPr="00DC7A14">
        <w:rPr>
          <w:rFonts w:ascii="Times New Roman" w:hAnsi="Times New Roman" w:cs="Times New Roman"/>
          <w:sz w:val="19"/>
          <w:szCs w:val="19"/>
        </w:rPr>
        <w:t>(Tas) s 30(2).</w:t>
      </w:r>
    </w:p>
  </w:footnote>
  <w:footnote w:id="123">
    <w:p w14:paraId="3958C860" w14:textId="74D8635D" w:rsidR="00B8210C" w:rsidRPr="00DC7A14" w:rsidRDefault="00B8210C" w:rsidP="00B8210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307B8" w:rsidRPr="00DC7A14">
        <w:rPr>
          <w:rFonts w:ascii="Times New Roman" w:hAnsi="Times New Roman" w:cs="Times New Roman"/>
          <w:sz w:val="19"/>
          <w:szCs w:val="19"/>
        </w:rPr>
        <w:t>Ibid</w:t>
      </w:r>
      <w:r w:rsidR="00585EAA" w:rsidRPr="00DC7A14">
        <w:rPr>
          <w:rFonts w:ascii="Times New Roman" w:hAnsi="Times New Roman" w:cs="Times New Roman"/>
          <w:sz w:val="19"/>
          <w:szCs w:val="19"/>
        </w:rPr>
        <w:t xml:space="preserve"> sch </w:t>
      </w:r>
      <w:r w:rsidRPr="00DC7A14">
        <w:rPr>
          <w:rFonts w:ascii="Times New Roman" w:hAnsi="Times New Roman" w:cs="Times New Roman"/>
          <w:sz w:val="19"/>
          <w:szCs w:val="19"/>
        </w:rPr>
        <w:t>1</w:t>
      </w:r>
      <w:r w:rsidR="00585EAA" w:rsidRPr="00DC7A14">
        <w:rPr>
          <w:rFonts w:ascii="Times New Roman" w:hAnsi="Times New Roman" w:cs="Times New Roman"/>
          <w:sz w:val="19"/>
          <w:szCs w:val="19"/>
        </w:rPr>
        <w:t>.</w:t>
      </w:r>
    </w:p>
  </w:footnote>
  <w:footnote w:id="124">
    <w:p w14:paraId="027B2FB6" w14:textId="479D9A73" w:rsidR="00582EED" w:rsidRPr="00DC7A14" w:rsidRDefault="00582EED" w:rsidP="00582EE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Namely</w:t>
      </w:r>
      <w:r w:rsidR="00EE0481">
        <w:rPr>
          <w:rFonts w:ascii="Times New Roman" w:hAnsi="Times New Roman" w:cs="Times New Roman"/>
          <w:sz w:val="19"/>
          <w:szCs w:val="19"/>
        </w:rPr>
        <w:t>, the following</w:t>
      </w:r>
      <w:r w:rsidRPr="00DC7A14">
        <w:rPr>
          <w:rFonts w:ascii="Times New Roman" w:hAnsi="Times New Roman" w:cs="Times New Roman"/>
          <w:sz w:val="19"/>
          <w:szCs w:val="19"/>
        </w:rPr>
        <w:t xml:space="preserve"> PIPPs </w:t>
      </w:r>
      <w:r w:rsidR="00EE0481" w:rsidRPr="00DC7A14">
        <w:rPr>
          <w:rFonts w:ascii="Times New Roman" w:hAnsi="Times New Roman" w:cs="Times New Roman"/>
          <w:sz w:val="19"/>
          <w:szCs w:val="19"/>
        </w:rPr>
        <w:t>are not applicable to law enforcement information</w:t>
      </w:r>
      <w:r w:rsidR="00EE0481">
        <w:rPr>
          <w:rFonts w:ascii="Times New Roman" w:hAnsi="Times New Roman" w:cs="Times New Roman"/>
          <w:sz w:val="19"/>
          <w:szCs w:val="19"/>
        </w:rPr>
        <w:t xml:space="preserve">: </w:t>
      </w:r>
      <w:r w:rsidRPr="00DC7A14">
        <w:rPr>
          <w:rFonts w:ascii="Times New Roman" w:hAnsi="Times New Roman" w:cs="Times New Roman"/>
          <w:sz w:val="19"/>
          <w:szCs w:val="19"/>
        </w:rPr>
        <w:t>1(3), (4) and (5) (relating to collection of personal information)</w:t>
      </w:r>
      <w:r w:rsidR="00EE0481">
        <w:rPr>
          <w:rFonts w:ascii="Times New Roman" w:hAnsi="Times New Roman" w:cs="Times New Roman"/>
          <w:sz w:val="19"/>
          <w:szCs w:val="19"/>
        </w:rPr>
        <w:t>;</w:t>
      </w:r>
      <w:r w:rsidRPr="00DC7A14">
        <w:rPr>
          <w:rFonts w:ascii="Times New Roman" w:hAnsi="Times New Roman" w:cs="Times New Roman"/>
          <w:sz w:val="19"/>
          <w:szCs w:val="19"/>
        </w:rPr>
        <w:t xml:space="preserve"> 2(1) (use and disclosure)</w:t>
      </w:r>
      <w:r w:rsidR="00EE0481">
        <w:rPr>
          <w:rFonts w:ascii="Times New Roman" w:hAnsi="Times New Roman" w:cs="Times New Roman"/>
          <w:sz w:val="19"/>
          <w:szCs w:val="19"/>
        </w:rPr>
        <w:t>;</w:t>
      </w:r>
      <w:r w:rsidRPr="00DC7A14">
        <w:rPr>
          <w:rFonts w:ascii="Times New Roman" w:hAnsi="Times New Roman" w:cs="Times New Roman"/>
          <w:sz w:val="19"/>
          <w:szCs w:val="19"/>
        </w:rPr>
        <w:t xml:space="preserve"> 5(3)(c) (responding to a request on how a custodian collects, holds, uses and discloses that information)</w:t>
      </w:r>
      <w:r w:rsidR="00EE0481">
        <w:rPr>
          <w:rFonts w:ascii="Times New Roman" w:hAnsi="Times New Roman" w:cs="Times New Roman"/>
          <w:sz w:val="19"/>
          <w:szCs w:val="19"/>
        </w:rPr>
        <w:t>;</w:t>
      </w:r>
      <w:r w:rsidRPr="00DC7A14">
        <w:rPr>
          <w:rFonts w:ascii="Times New Roman" w:hAnsi="Times New Roman" w:cs="Times New Roman"/>
          <w:sz w:val="19"/>
          <w:szCs w:val="19"/>
        </w:rPr>
        <w:t xml:space="preserve"> 7 (unique identifiers)</w:t>
      </w:r>
      <w:r w:rsidR="00EE0481">
        <w:rPr>
          <w:rFonts w:ascii="Times New Roman" w:hAnsi="Times New Roman" w:cs="Times New Roman"/>
          <w:sz w:val="19"/>
          <w:szCs w:val="19"/>
        </w:rPr>
        <w:t>;</w:t>
      </w:r>
      <w:r w:rsidRPr="00DC7A14">
        <w:rPr>
          <w:rFonts w:ascii="Times New Roman" w:hAnsi="Times New Roman" w:cs="Times New Roman"/>
          <w:sz w:val="19"/>
          <w:szCs w:val="19"/>
        </w:rPr>
        <w:t xml:space="preserve"> 9 (disclosure outside of Tasmania)</w:t>
      </w:r>
      <w:r w:rsidR="00EE0481">
        <w:rPr>
          <w:rFonts w:ascii="Times New Roman" w:hAnsi="Times New Roman" w:cs="Times New Roman"/>
          <w:sz w:val="19"/>
          <w:szCs w:val="19"/>
        </w:rPr>
        <w:t>;</w:t>
      </w:r>
      <w:r w:rsidRPr="00DC7A14">
        <w:rPr>
          <w:rFonts w:ascii="Times New Roman" w:hAnsi="Times New Roman" w:cs="Times New Roman"/>
          <w:sz w:val="19"/>
          <w:szCs w:val="19"/>
        </w:rPr>
        <w:t xml:space="preserve"> and 10(1) (restrictions on collection of sensitive information).</w:t>
      </w:r>
    </w:p>
  </w:footnote>
  <w:footnote w:id="125">
    <w:p w14:paraId="2006453D" w14:textId="761A049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9</w:t>
      </w:r>
      <w:r w:rsidR="00800306" w:rsidRPr="00DC7A14">
        <w:rPr>
          <w:rFonts w:ascii="Times New Roman" w:hAnsi="Times New Roman" w:cs="Times New Roman"/>
          <w:sz w:val="19"/>
          <w:szCs w:val="19"/>
        </w:rPr>
        <w:t>.</w:t>
      </w:r>
    </w:p>
  </w:footnote>
  <w:footnote w:id="126">
    <w:p w14:paraId="482439CB" w14:textId="2FDCA5D3" w:rsidR="008A4A39" w:rsidRPr="00DC7A14" w:rsidRDefault="008A4A39" w:rsidP="008A4A3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00306"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s 3 (definition of ‘law enforcement agency’).</w:t>
      </w:r>
    </w:p>
  </w:footnote>
  <w:footnote w:id="127">
    <w:p w14:paraId="6C548362" w14:textId="63B23989" w:rsidR="00FA7961" w:rsidRPr="00DC7A14" w:rsidRDefault="00FA7961" w:rsidP="00FA796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438E0" w:rsidRPr="00DC7A14">
        <w:rPr>
          <w:rFonts w:ascii="Times New Roman" w:hAnsi="Times New Roman" w:cs="Times New Roman"/>
          <w:sz w:val="19"/>
          <w:szCs w:val="19"/>
        </w:rPr>
        <w:t xml:space="preserve">Ibid sch 1, </w:t>
      </w:r>
      <w:r w:rsidRPr="00DC7A14">
        <w:rPr>
          <w:rFonts w:ascii="Times New Roman" w:hAnsi="Times New Roman" w:cs="Times New Roman"/>
          <w:sz w:val="19"/>
          <w:szCs w:val="19"/>
        </w:rPr>
        <w:t>PIPP 2(1)(g).</w:t>
      </w:r>
    </w:p>
  </w:footnote>
  <w:footnote w:id="128">
    <w:p w14:paraId="78416C70" w14:textId="5B4F6DB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99762E"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1998</w:t>
      </w:r>
      <w:r w:rsidRPr="00DC7A14">
        <w:rPr>
          <w:rFonts w:ascii="Times New Roman" w:hAnsi="Times New Roman" w:cs="Times New Roman"/>
          <w:sz w:val="19"/>
          <w:szCs w:val="19"/>
        </w:rPr>
        <w:t xml:space="preserve"> (NSW) s 23;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15;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 29.</w:t>
      </w:r>
    </w:p>
  </w:footnote>
  <w:footnote w:id="129">
    <w:p w14:paraId="269B8A42" w14:textId="169ECBBE" w:rsidR="00FB7ECF" w:rsidRPr="00DC7A14" w:rsidRDefault="00FB7ECF" w:rsidP="00FB7EC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13.</w:t>
      </w:r>
    </w:p>
  </w:footnote>
  <w:footnote w:id="130">
    <w:p w14:paraId="5CDF4E42" w14:textId="2098FD62" w:rsidR="00FB7ECF" w:rsidRPr="00DC7A14" w:rsidRDefault="00FB7ECF" w:rsidP="00FB7EC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4C7A8D"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14.</w:t>
      </w:r>
    </w:p>
  </w:footnote>
  <w:footnote w:id="131">
    <w:p w14:paraId="433A2023" w14:textId="3B140C7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613EB0" w:rsidRPr="00DC7A14">
        <w:rPr>
          <w:rFonts w:ascii="Times New Roman" w:hAnsi="Times New Roman" w:cs="Times New Roman"/>
          <w:sz w:val="19"/>
          <w:szCs w:val="19"/>
        </w:rPr>
        <w:t>Ibid</w:t>
      </w:r>
      <w:r w:rsidRPr="00DC7A14">
        <w:rPr>
          <w:rFonts w:ascii="Times New Roman" w:hAnsi="Times New Roman" w:cs="Times New Roman"/>
          <w:sz w:val="19"/>
          <w:szCs w:val="19"/>
        </w:rPr>
        <w:t>.</w:t>
      </w:r>
    </w:p>
  </w:footnote>
  <w:footnote w:id="132">
    <w:p w14:paraId="2801DC30" w14:textId="0B7AF82D" w:rsidR="00AD163E" w:rsidRPr="00DC7A14" w:rsidRDefault="00AD163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613EB0"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15.</w:t>
      </w:r>
    </w:p>
  </w:footnote>
  <w:footnote w:id="133">
    <w:p w14:paraId="0A487AA3" w14:textId="7EC3BD73" w:rsidR="00285516" w:rsidRPr="00DC7A14" w:rsidRDefault="0028551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613EB0"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w:t>
      </w:r>
      <w:r w:rsidR="00D03BFF" w:rsidRPr="00DC7A14">
        <w:rPr>
          <w:rFonts w:ascii="Times New Roman" w:hAnsi="Times New Roman" w:cs="Times New Roman"/>
          <w:sz w:val="19"/>
          <w:szCs w:val="19"/>
        </w:rPr>
        <w:t>s</w:t>
      </w:r>
      <w:r w:rsidRPr="00DC7A14">
        <w:rPr>
          <w:rFonts w:ascii="Times New Roman" w:hAnsi="Times New Roman" w:cs="Times New Roman"/>
          <w:sz w:val="19"/>
          <w:szCs w:val="19"/>
        </w:rPr>
        <w:t xml:space="preserve"> 14(3), 15(2).</w:t>
      </w:r>
    </w:p>
  </w:footnote>
  <w:footnote w:id="134">
    <w:p w14:paraId="767FDEDA" w14:textId="3D6FD24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Tasmanian Government Gazette is available at </w:t>
      </w:r>
      <w:r w:rsidR="00CF5FA7" w:rsidRPr="00DC7A14">
        <w:rPr>
          <w:rFonts w:ascii="Times New Roman" w:hAnsi="Times New Roman" w:cs="Times New Roman"/>
          <w:sz w:val="19"/>
          <w:szCs w:val="19"/>
        </w:rPr>
        <w:t>&lt;</w:t>
      </w:r>
      <w:hyperlink r:id="rId8" w:history="1">
        <w:r w:rsidR="00D64D0D" w:rsidRPr="00DC7A14">
          <w:rPr>
            <w:rStyle w:val="Hyperlink"/>
            <w:rFonts w:ascii="Times New Roman" w:hAnsi="Times New Roman" w:cs="Times New Roman"/>
            <w:sz w:val="19"/>
            <w:szCs w:val="19"/>
          </w:rPr>
          <w:t>http://www.gazette.tas.gov.au/editions</w:t>
        </w:r>
      </w:hyperlink>
      <w:r w:rsidR="00D64D0D" w:rsidRPr="00DC7A14">
        <w:rPr>
          <w:rFonts w:ascii="Times New Roman" w:hAnsi="Times New Roman" w:cs="Times New Roman"/>
          <w:sz w:val="19"/>
          <w:szCs w:val="19"/>
        </w:rPr>
        <w:t xml:space="preserve">&gt;. </w:t>
      </w:r>
      <w:r w:rsidRPr="00DC7A14">
        <w:rPr>
          <w:rFonts w:ascii="Times New Roman" w:hAnsi="Times New Roman" w:cs="Times New Roman"/>
          <w:sz w:val="19"/>
          <w:szCs w:val="19"/>
        </w:rPr>
        <w:t xml:space="preserve"> </w:t>
      </w:r>
    </w:p>
  </w:footnote>
  <w:footnote w:id="135">
    <w:p w14:paraId="2878CFC3" w14:textId="11289A4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Tasmania</w:t>
      </w:r>
      <w:r w:rsidR="00A04460"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Gazette</w:t>
      </w:r>
      <w:r w:rsidRPr="00DC7A14">
        <w:rPr>
          <w:rFonts w:ascii="Times New Roman" w:hAnsi="Times New Roman" w:cs="Times New Roman"/>
          <w:sz w:val="19"/>
          <w:szCs w:val="19"/>
        </w:rPr>
        <w:t>, No 22037, 25 November 2020</w:t>
      </w:r>
      <w:r w:rsidR="00A04460" w:rsidRPr="00DC7A14">
        <w:rPr>
          <w:rFonts w:ascii="Times New Roman" w:hAnsi="Times New Roman" w:cs="Times New Roman"/>
          <w:sz w:val="19"/>
          <w:szCs w:val="19"/>
        </w:rPr>
        <w:t xml:space="preserve"> </w:t>
      </w:r>
      <w:r w:rsidR="00F41FC7" w:rsidRPr="00DC7A14">
        <w:rPr>
          <w:rFonts w:ascii="Times New Roman" w:hAnsi="Times New Roman" w:cs="Times New Roman"/>
          <w:sz w:val="19"/>
          <w:szCs w:val="19"/>
        </w:rPr>
        <w:t>&lt;</w:t>
      </w:r>
      <w:hyperlink r:id="rId9" w:history="1">
        <w:r w:rsidRPr="00DC7A14">
          <w:rPr>
            <w:rStyle w:val="Hyperlink"/>
            <w:rFonts w:ascii="Times New Roman" w:hAnsi="Times New Roman" w:cs="Times New Roman"/>
            <w:sz w:val="19"/>
            <w:szCs w:val="19"/>
          </w:rPr>
          <w:t>http://www.gazette.tas.gov.au/editions/2020/november_2020/22037_-_Gazette_25_November_2020.pdf</w:t>
        </w:r>
      </w:hyperlink>
      <w:r w:rsidR="00F41FC7" w:rsidRPr="00DC7A14">
        <w:rPr>
          <w:rStyle w:val="Hyperlink"/>
          <w:rFonts w:ascii="Times New Roman" w:hAnsi="Times New Roman" w:cs="Times New Roman"/>
          <w:sz w:val="19"/>
          <w:szCs w:val="19"/>
        </w:rPr>
        <w:t>&gt;</w:t>
      </w:r>
      <w:r w:rsidRPr="00DC7A14">
        <w:rPr>
          <w:rFonts w:ascii="Times New Roman" w:hAnsi="Times New Roman" w:cs="Times New Roman"/>
          <w:sz w:val="19"/>
          <w:szCs w:val="19"/>
        </w:rPr>
        <w:t xml:space="preserve">. </w:t>
      </w:r>
    </w:p>
  </w:footnote>
  <w:footnote w:id="136">
    <w:p w14:paraId="10AB3574" w14:textId="77777777" w:rsidR="0020697B" w:rsidRPr="00DC7A14" w:rsidRDefault="0020697B" w:rsidP="0020697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1988</w:t>
      </w:r>
      <w:r w:rsidRPr="00DC7A14">
        <w:rPr>
          <w:rFonts w:ascii="Times New Roman" w:hAnsi="Times New Roman" w:cs="Times New Roman"/>
          <w:sz w:val="19"/>
          <w:szCs w:val="19"/>
        </w:rPr>
        <w:t xml:space="preserve"> (NSW) s 41.</w:t>
      </w:r>
    </w:p>
  </w:footnote>
  <w:footnote w:id="137">
    <w:p w14:paraId="61716AAA" w14:textId="77777777" w:rsidR="0020697B" w:rsidRPr="00DC7A14" w:rsidRDefault="0020697B" w:rsidP="0020697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 157.</w:t>
      </w:r>
    </w:p>
  </w:footnote>
  <w:footnote w:id="138">
    <w:p w14:paraId="784BC4A5" w14:textId="6D289607" w:rsidR="0020697B" w:rsidRPr="00DC7A14" w:rsidRDefault="0020697B" w:rsidP="0020697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Although principles relating to Data Security and Access and Correction cannot be disapplied</w:t>
      </w:r>
      <w:r w:rsidR="00DA1BEB" w:rsidRPr="00DC7A14">
        <w:rPr>
          <w:rFonts w:ascii="Times New Roman" w:hAnsi="Times New Roman" w:cs="Times New Roman"/>
          <w:sz w:val="19"/>
          <w:szCs w:val="19"/>
        </w:rPr>
        <w:t xml:space="preserve">: ibid </w:t>
      </w:r>
      <w:r w:rsidRPr="00DC7A14">
        <w:rPr>
          <w:rFonts w:ascii="Times New Roman" w:hAnsi="Times New Roman" w:cs="Times New Roman"/>
          <w:sz w:val="19"/>
          <w:szCs w:val="19"/>
        </w:rPr>
        <w:t xml:space="preserve">s 29(3). </w:t>
      </w:r>
    </w:p>
  </w:footnote>
  <w:footnote w:id="139">
    <w:p w14:paraId="3F12239B" w14:textId="09097150" w:rsidR="000149A9" w:rsidRPr="00DC7A14" w:rsidRDefault="000149A9" w:rsidP="000149A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eg,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42.</w:t>
      </w:r>
    </w:p>
  </w:footnote>
  <w:footnote w:id="140">
    <w:p w14:paraId="4F60CCD5" w14:textId="426462D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72. </w:t>
      </w:r>
    </w:p>
  </w:footnote>
  <w:footnote w:id="141">
    <w:p w14:paraId="4EF122AA" w14:textId="2BC6DAD6" w:rsidR="00E12D21" w:rsidRPr="00DC7A14" w:rsidRDefault="00E12D2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6300B8"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s 80B.</w:t>
      </w:r>
    </w:p>
  </w:footnote>
  <w:footnote w:id="142">
    <w:p w14:paraId="357F4193" w14:textId="292E5C7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w:t>
      </w:r>
      <w:r w:rsidR="00D73FF7" w:rsidRPr="00DC7A14">
        <w:rPr>
          <w:rFonts w:ascii="Times New Roman" w:hAnsi="Times New Roman" w:cs="Times New Roman"/>
          <w:sz w:val="19"/>
          <w:szCs w:val="19"/>
        </w:rPr>
        <w:t>s</w:t>
      </w:r>
      <w:r w:rsidRPr="00DC7A14">
        <w:rPr>
          <w:rFonts w:ascii="Times New Roman" w:hAnsi="Times New Roman" w:cs="Times New Roman"/>
          <w:sz w:val="19"/>
          <w:szCs w:val="19"/>
        </w:rPr>
        <w:t xml:space="preserve"> 74</w:t>
      </w:r>
      <w:r w:rsidR="00D73FF7" w:rsidRPr="00DC7A14">
        <w:rPr>
          <w:rFonts w:ascii="Times New Roman" w:hAnsi="Times New Roman" w:cs="Times New Roman"/>
          <w:sz w:val="19"/>
          <w:szCs w:val="19"/>
        </w:rPr>
        <w:t>–</w:t>
      </w:r>
      <w:r w:rsidRPr="00DC7A14">
        <w:rPr>
          <w:rFonts w:ascii="Times New Roman" w:hAnsi="Times New Roman" w:cs="Times New Roman"/>
          <w:sz w:val="19"/>
          <w:szCs w:val="19"/>
        </w:rPr>
        <w:t xml:space="preserve">9. </w:t>
      </w:r>
    </w:p>
  </w:footnote>
  <w:footnote w:id="143">
    <w:p w14:paraId="627D477C" w14:textId="3328EDB1"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80A. </w:t>
      </w:r>
    </w:p>
  </w:footnote>
  <w:footnote w:id="144">
    <w:p w14:paraId="291A5F8D" w14:textId="44D7C4CA" w:rsidR="008C79B6" w:rsidRPr="00DC7A14" w:rsidRDefault="008C79B6" w:rsidP="008C79B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5018D"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80A(2).</w:t>
      </w:r>
    </w:p>
  </w:footnote>
  <w:footnote w:id="145">
    <w:p w14:paraId="0E58A188" w14:textId="0428BDD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80E. </w:t>
      </w:r>
    </w:p>
  </w:footnote>
  <w:footnote w:id="146">
    <w:p w14:paraId="1DA646CA" w14:textId="51EA92A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316D7"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80P</w:t>
      </w:r>
      <w:r w:rsidR="00F316D7" w:rsidRPr="00DC7A14">
        <w:rPr>
          <w:rFonts w:ascii="Times New Roman" w:hAnsi="Times New Roman" w:cs="Times New Roman"/>
          <w:sz w:val="19"/>
          <w:szCs w:val="19"/>
        </w:rPr>
        <w:t>.</w:t>
      </w:r>
    </w:p>
  </w:footnote>
  <w:footnote w:id="147">
    <w:p w14:paraId="55C6D98F" w14:textId="0C6DD98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BE5A20" w:rsidRPr="00DC7A14">
        <w:rPr>
          <w:rFonts w:ascii="Times New Roman" w:hAnsi="Times New Roman" w:cs="Times New Roman"/>
          <w:sz w:val="19"/>
          <w:szCs w:val="19"/>
        </w:rPr>
        <w:t xml:space="preserve">, </w:t>
      </w:r>
      <w:r w:rsidR="00BE5A20"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BE5A20" w:rsidRPr="00DC7A14">
        <w:rPr>
          <w:rFonts w:ascii="Times New Roman" w:hAnsi="Times New Roman" w:cs="Times New Roman"/>
          <w:sz w:val="19"/>
          <w:szCs w:val="19"/>
        </w:rPr>
        <w:fldChar w:fldCharType="begin"/>
      </w:r>
      <w:r w:rsidR="00BE5A20" w:rsidRPr="00DC7A14">
        <w:rPr>
          <w:rFonts w:ascii="Times New Roman" w:hAnsi="Times New Roman" w:cs="Times New Roman"/>
          <w:sz w:val="19"/>
          <w:szCs w:val="19"/>
        </w:rPr>
        <w:instrText xml:space="preserve"> NOTEREF _Ref85809175 \h  \* MERGEFORMAT </w:instrText>
      </w:r>
      <w:r w:rsidR="00BE5A20" w:rsidRPr="00DC7A14">
        <w:rPr>
          <w:rFonts w:ascii="Times New Roman" w:hAnsi="Times New Roman" w:cs="Times New Roman"/>
          <w:sz w:val="19"/>
          <w:szCs w:val="19"/>
        </w:rPr>
      </w:r>
      <w:r w:rsidR="00BE5A20"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BE5A20" w:rsidRPr="00DC7A14">
        <w:rPr>
          <w:rFonts w:ascii="Times New Roman" w:hAnsi="Times New Roman" w:cs="Times New Roman"/>
          <w:sz w:val="19"/>
          <w:szCs w:val="19"/>
        </w:rPr>
        <w:fldChar w:fldCharType="end"/>
      </w:r>
      <w:r w:rsidRPr="00DC7A14">
        <w:rPr>
          <w:rFonts w:ascii="Times New Roman" w:hAnsi="Times New Roman" w:cs="Times New Roman"/>
          <w:sz w:val="19"/>
          <w:szCs w:val="19"/>
        </w:rPr>
        <w:t>) 47.</w:t>
      </w:r>
    </w:p>
  </w:footnote>
  <w:footnote w:id="148">
    <w:p w14:paraId="33B3AAF6" w14:textId="208955D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Australian Government, </w:t>
      </w:r>
      <w:r w:rsidRPr="00DC7A14">
        <w:rPr>
          <w:rFonts w:ascii="Times New Roman" w:hAnsi="Times New Roman" w:cs="Times New Roman"/>
          <w:i/>
          <w:iCs/>
          <w:sz w:val="19"/>
          <w:szCs w:val="19"/>
        </w:rPr>
        <w:t>The Royal Commission into National Natural Disaster Arrangements Report</w:t>
      </w:r>
      <w:r w:rsidRPr="00DC7A14">
        <w:rPr>
          <w:rFonts w:ascii="Times New Roman" w:hAnsi="Times New Roman" w:cs="Times New Roman"/>
          <w:sz w:val="19"/>
          <w:szCs w:val="19"/>
        </w:rPr>
        <w:t xml:space="preserve"> (Report, 2020) </w:t>
      </w:r>
      <w:r w:rsidR="00645C61" w:rsidRPr="00DC7A14">
        <w:rPr>
          <w:rFonts w:ascii="Times New Roman" w:hAnsi="Times New Roman" w:cs="Times New Roman"/>
          <w:sz w:val="19"/>
          <w:szCs w:val="19"/>
        </w:rPr>
        <w:t xml:space="preserve">recommendation </w:t>
      </w:r>
      <w:r w:rsidRPr="00DC7A14">
        <w:rPr>
          <w:rFonts w:ascii="Times New Roman" w:hAnsi="Times New Roman" w:cs="Times New Roman"/>
          <w:sz w:val="19"/>
          <w:szCs w:val="19"/>
        </w:rPr>
        <w:t>22.2.</w:t>
      </w:r>
    </w:p>
  </w:footnote>
  <w:footnote w:id="149">
    <w:p w14:paraId="047DFC46" w14:textId="59A39E8D"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PIPP 1 requires a custodian to only collect personal information where it is necessary for one of its functions or activities. Personal information can only be collected by lawful means</w:t>
      </w:r>
      <w:r w:rsidR="004B6C88" w:rsidRPr="00DC7A14">
        <w:rPr>
          <w:rFonts w:ascii="Times New Roman" w:hAnsi="Times New Roman" w:cs="Times New Roman"/>
          <w:sz w:val="19"/>
          <w:szCs w:val="19"/>
        </w:rPr>
        <w:t>—</w:t>
      </w:r>
      <w:r w:rsidRPr="00DC7A14">
        <w:rPr>
          <w:rFonts w:ascii="Times New Roman" w:hAnsi="Times New Roman" w:cs="Times New Roman"/>
          <w:sz w:val="19"/>
          <w:szCs w:val="19"/>
        </w:rPr>
        <w:t>a term not defined in the Act. The individual concerned must be made aware of various information</w:t>
      </w:r>
      <w:r w:rsidR="00A0368A" w:rsidRPr="00DC7A14">
        <w:rPr>
          <w:rFonts w:ascii="Times New Roman" w:hAnsi="Times New Roman" w:cs="Times New Roman"/>
          <w:sz w:val="19"/>
          <w:szCs w:val="19"/>
        </w:rPr>
        <w:t>,</w:t>
      </w:r>
      <w:r w:rsidRPr="00DC7A14">
        <w:rPr>
          <w:rFonts w:ascii="Times New Roman" w:hAnsi="Times New Roman" w:cs="Times New Roman"/>
          <w:sz w:val="19"/>
          <w:szCs w:val="19"/>
        </w:rPr>
        <w:t xml:space="preserve"> including who the custodian is, that the individual has a right of access to the information, the purposes for which the information is collected, the intended recipients of the information, any law that requires collection</w:t>
      </w:r>
      <w:r w:rsidR="00695D7A" w:rsidRPr="00DC7A14">
        <w:rPr>
          <w:rFonts w:ascii="Times New Roman" w:hAnsi="Times New Roman" w:cs="Times New Roman"/>
          <w:sz w:val="19"/>
          <w:szCs w:val="19"/>
        </w:rPr>
        <w:t>,</w:t>
      </w:r>
      <w:r w:rsidRPr="00DC7A14">
        <w:rPr>
          <w:rFonts w:ascii="Times New Roman" w:hAnsi="Times New Roman" w:cs="Times New Roman"/>
          <w:sz w:val="19"/>
          <w:szCs w:val="19"/>
        </w:rPr>
        <w:t xml:space="preserve"> and the consequences if information is not provided. If it is reasonable and practicable to do so, personal information must be collected from the individual concerned. Otherwise</w:t>
      </w:r>
      <w:r w:rsidR="00372C26" w:rsidRPr="00DC7A14">
        <w:rPr>
          <w:rFonts w:ascii="Times New Roman" w:hAnsi="Times New Roman" w:cs="Times New Roman"/>
          <w:sz w:val="19"/>
          <w:szCs w:val="19"/>
        </w:rPr>
        <w:t>,</w:t>
      </w:r>
      <w:r w:rsidRPr="00DC7A14">
        <w:rPr>
          <w:rFonts w:ascii="Times New Roman" w:hAnsi="Times New Roman" w:cs="Times New Roman"/>
          <w:sz w:val="19"/>
          <w:szCs w:val="19"/>
        </w:rPr>
        <w:t xml:space="preserve"> the custodian must take reasonable steps to inform the individual of the circumstances of collection unless doing so would pose a serious threat to the life, safety, health</w:t>
      </w:r>
      <w:r w:rsidR="00E96736" w:rsidRPr="00DC7A14">
        <w:rPr>
          <w:rFonts w:ascii="Times New Roman" w:hAnsi="Times New Roman" w:cs="Times New Roman"/>
          <w:sz w:val="19"/>
          <w:szCs w:val="19"/>
        </w:rPr>
        <w:t>,</w:t>
      </w:r>
      <w:r w:rsidRPr="00DC7A14">
        <w:rPr>
          <w:rFonts w:ascii="Times New Roman" w:hAnsi="Times New Roman" w:cs="Times New Roman"/>
          <w:sz w:val="19"/>
          <w:szCs w:val="19"/>
        </w:rPr>
        <w:t xml:space="preserve"> or welfare of any individual</w:t>
      </w:r>
      <w:r w:rsidR="00E96736" w:rsidRPr="00DC7A14">
        <w:rPr>
          <w:rFonts w:ascii="Times New Roman" w:hAnsi="Times New Roman" w:cs="Times New Roman"/>
          <w:sz w:val="19"/>
          <w:szCs w:val="19"/>
        </w:rPr>
        <w:t>.</w:t>
      </w:r>
    </w:p>
  </w:footnote>
  <w:footnote w:id="150">
    <w:p w14:paraId="1D54913F" w14:textId="75065BF7" w:rsidR="00F0304B" w:rsidRPr="00DC7A14" w:rsidRDefault="00F0304B" w:rsidP="00F0304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OAIC,</w:t>
      </w:r>
      <w:r w:rsidR="004D71D9"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Australian Privacy Principles </w:t>
      </w:r>
      <w:r w:rsidR="004D71D9" w:rsidRPr="00DC7A14">
        <w:rPr>
          <w:rFonts w:ascii="Times New Roman" w:hAnsi="Times New Roman" w:cs="Times New Roman"/>
          <w:i/>
          <w:iCs/>
          <w:sz w:val="19"/>
          <w:szCs w:val="19"/>
        </w:rPr>
        <w:t>G</w:t>
      </w:r>
      <w:r w:rsidRPr="00DC7A14">
        <w:rPr>
          <w:rFonts w:ascii="Times New Roman" w:hAnsi="Times New Roman" w:cs="Times New Roman"/>
          <w:i/>
          <w:iCs/>
          <w:sz w:val="19"/>
          <w:szCs w:val="19"/>
        </w:rPr>
        <w:t>uidelines</w:t>
      </w:r>
      <w:r w:rsidR="004D71D9" w:rsidRPr="00DC7A14">
        <w:rPr>
          <w:rFonts w:ascii="Times New Roman" w:hAnsi="Times New Roman" w:cs="Times New Roman"/>
          <w:i/>
          <w:iCs/>
          <w:sz w:val="19"/>
          <w:szCs w:val="19"/>
        </w:rPr>
        <w:t xml:space="preserve"> </w:t>
      </w:r>
      <w:r w:rsidR="004D71D9" w:rsidRPr="00DC7A14">
        <w:rPr>
          <w:rFonts w:ascii="Times New Roman" w:hAnsi="Times New Roman" w:cs="Times New Roman"/>
          <w:sz w:val="19"/>
          <w:szCs w:val="19"/>
        </w:rPr>
        <w:t>(Guidance Document, July 2019) ch 3</w:t>
      </w:r>
      <w:r w:rsidR="00316623" w:rsidRPr="00DC7A14">
        <w:rPr>
          <w:rFonts w:ascii="Times New Roman" w:hAnsi="Times New Roman" w:cs="Times New Roman"/>
          <w:sz w:val="19"/>
          <w:szCs w:val="19"/>
        </w:rPr>
        <w:t xml:space="preserve"> [3.62].</w:t>
      </w:r>
    </w:p>
  </w:footnote>
  <w:footnote w:id="151">
    <w:p w14:paraId="51DF00E0" w14:textId="36155BD2" w:rsidR="00F0304B" w:rsidRPr="00DC7A14" w:rsidRDefault="00F0304B" w:rsidP="00F0304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16623"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[3.10]</w:t>
      </w:r>
      <w:r w:rsidR="00381155" w:rsidRPr="00DC7A14">
        <w:rPr>
          <w:rFonts w:ascii="Times New Roman" w:hAnsi="Times New Roman" w:cs="Times New Roman"/>
          <w:sz w:val="19"/>
          <w:szCs w:val="19"/>
        </w:rPr>
        <w:t>–</w:t>
      </w:r>
      <w:r w:rsidRPr="00DC7A14">
        <w:rPr>
          <w:rFonts w:ascii="Times New Roman" w:hAnsi="Times New Roman" w:cs="Times New Roman"/>
          <w:sz w:val="19"/>
          <w:szCs w:val="19"/>
        </w:rPr>
        <w:t xml:space="preserve">[3.12]. </w:t>
      </w:r>
      <w:r w:rsidR="00050571" w:rsidRPr="00DC7A14">
        <w:rPr>
          <w:rFonts w:ascii="Times New Roman" w:hAnsi="Times New Roman" w:cs="Times New Roman"/>
          <w:sz w:val="19"/>
          <w:szCs w:val="19"/>
        </w:rPr>
        <w:t>‘</w:t>
      </w:r>
      <w:r w:rsidRPr="00DC7A14">
        <w:rPr>
          <w:rFonts w:ascii="Times New Roman" w:hAnsi="Times New Roman" w:cs="Times New Roman"/>
          <w:sz w:val="19"/>
          <w:szCs w:val="19"/>
        </w:rPr>
        <w:t>Legal instruments</w:t>
      </w:r>
      <w:r w:rsidR="00050571"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050571" w:rsidRPr="00DC7A14">
        <w:rPr>
          <w:rFonts w:ascii="Times New Roman" w:hAnsi="Times New Roman" w:cs="Times New Roman"/>
          <w:sz w:val="19"/>
          <w:szCs w:val="19"/>
        </w:rPr>
        <w:t xml:space="preserve">are </w:t>
      </w:r>
      <w:r w:rsidRPr="00DC7A14">
        <w:rPr>
          <w:rFonts w:ascii="Times New Roman" w:hAnsi="Times New Roman" w:cs="Times New Roman"/>
          <w:sz w:val="19"/>
          <w:szCs w:val="19"/>
        </w:rPr>
        <w:t>not limited to legislation, but also extends to executive schemes or arrangements.</w:t>
      </w:r>
    </w:p>
  </w:footnote>
  <w:footnote w:id="152">
    <w:p w14:paraId="7CB397DF" w14:textId="7523EEF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B603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[3.62].</w:t>
      </w:r>
    </w:p>
  </w:footnote>
  <w:footnote w:id="153">
    <w:p w14:paraId="5FD7FA37" w14:textId="77777777" w:rsidR="00D761C6" w:rsidRPr="00DC7A14" w:rsidRDefault="00D761C6" w:rsidP="00EE39C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16B.</w:t>
      </w:r>
    </w:p>
  </w:footnote>
  <w:footnote w:id="154">
    <w:p w14:paraId="318A22BB" w14:textId="314F001B" w:rsidR="00C21AA4" w:rsidRPr="00DC7A14" w:rsidRDefault="00C21AA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w:t>
      </w:r>
      <w:r w:rsidR="00B07D51" w:rsidRPr="00DC7A14">
        <w:rPr>
          <w:rFonts w:ascii="Times New Roman" w:hAnsi="Times New Roman" w:cs="Times New Roman"/>
          <w:sz w:val="19"/>
          <w:szCs w:val="19"/>
        </w:rPr>
        <w:t xml:space="preserve"> sch 1, </w:t>
      </w:r>
      <w:r w:rsidRPr="00DC7A14">
        <w:rPr>
          <w:rFonts w:ascii="Times New Roman" w:hAnsi="Times New Roman" w:cs="Times New Roman"/>
          <w:sz w:val="19"/>
          <w:szCs w:val="19"/>
        </w:rPr>
        <w:t>PIPP 1(4)–(5).</w:t>
      </w:r>
    </w:p>
  </w:footnote>
  <w:footnote w:id="155">
    <w:p w14:paraId="16E23349" w14:textId="7BDAE82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9550B8" w:rsidRPr="00DC7A14">
        <w:rPr>
          <w:rFonts w:ascii="Times New Roman" w:hAnsi="Times New Roman" w:cs="Times New Roman"/>
          <w:sz w:val="19"/>
          <w:szCs w:val="19"/>
        </w:rPr>
        <w:t xml:space="preserve">, </w:t>
      </w:r>
      <w:r w:rsidR="009550B8"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9550B8" w:rsidRPr="00DC7A14">
        <w:rPr>
          <w:rFonts w:ascii="Times New Roman" w:hAnsi="Times New Roman" w:cs="Times New Roman"/>
          <w:sz w:val="19"/>
          <w:szCs w:val="19"/>
        </w:rPr>
        <w:fldChar w:fldCharType="begin"/>
      </w:r>
      <w:r w:rsidR="009550B8" w:rsidRPr="00DC7A14">
        <w:rPr>
          <w:rFonts w:ascii="Times New Roman" w:hAnsi="Times New Roman" w:cs="Times New Roman"/>
          <w:sz w:val="19"/>
          <w:szCs w:val="19"/>
        </w:rPr>
        <w:instrText xml:space="preserve"> NOTEREF _Ref85809175 \h </w:instrText>
      </w:r>
      <w:r w:rsidR="008569E2" w:rsidRPr="00DC7A14">
        <w:rPr>
          <w:rFonts w:ascii="Times New Roman" w:hAnsi="Times New Roman" w:cs="Times New Roman"/>
          <w:sz w:val="19"/>
          <w:szCs w:val="19"/>
        </w:rPr>
        <w:instrText xml:space="preserve"> \* MERGEFORMAT </w:instrText>
      </w:r>
      <w:r w:rsidR="009550B8" w:rsidRPr="00DC7A14">
        <w:rPr>
          <w:rFonts w:ascii="Times New Roman" w:hAnsi="Times New Roman" w:cs="Times New Roman"/>
          <w:sz w:val="19"/>
          <w:szCs w:val="19"/>
        </w:rPr>
      </w:r>
      <w:r w:rsidR="009550B8"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9550B8" w:rsidRPr="00DC7A14">
        <w:rPr>
          <w:rFonts w:ascii="Times New Roman" w:hAnsi="Times New Roman" w:cs="Times New Roman"/>
          <w:sz w:val="19"/>
          <w:szCs w:val="19"/>
        </w:rPr>
        <w:fldChar w:fldCharType="end"/>
      </w:r>
      <w:r w:rsidRPr="00DC7A14">
        <w:rPr>
          <w:rFonts w:ascii="Times New Roman" w:hAnsi="Times New Roman" w:cs="Times New Roman"/>
          <w:sz w:val="19"/>
          <w:szCs w:val="19"/>
        </w:rPr>
        <w:t>) 44 (recommendation 17).</w:t>
      </w:r>
    </w:p>
  </w:footnote>
  <w:footnote w:id="156">
    <w:p w14:paraId="2FD8A502" w14:textId="7636D083" w:rsidR="00BA1070" w:rsidRPr="00DC7A14" w:rsidRDefault="00BA107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w:t>
      </w:r>
      <w:r w:rsidR="00F5684D" w:rsidRPr="00DC7A14">
        <w:rPr>
          <w:rFonts w:ascii="Times New Roman" w:hAnsi="Times New Roman" w:cs="Times New Roman"/>
          <w:sz w:val="19"/>
          <w:szCs w:val="19"/>
        </w:rPr>
        <w:t xml:space="preserve">e </w:t>
      </w:r>
      <w:r w:rsidRPr="00DC7A14">
        <w:rPr>
          <w:rFonts w:ascii="Times New Roman" w:hAnsi="Times New Roman" w:cs="Times New Roman"/>
          <w:sz w:val="19"/>
          <w:szCs w:val="19"/>
        </w:rPr>
        <w:t>term</w:t>
      </w:r>
      <w:r w:rsidR="00F5684D" w:rsidRPr="00DC7A14">
        <w:rPr>
          <w:rFonts w:ascii="Times New Roman" w:hAnsi="Times New Roman" w:cs="Times New Roman"/>
          <w:sz w:val="19"/>
          <w:szCs w:val="19"/>
        </w:rPr>
        <w:t>s ‘primary purpose’ and ‘secondary purpose’ do not expressly appear in the</w:t>
      </w:r>
      <w:r w:rsidR="00F5684D" w:rsidRPr="00DC7A14">
        <w:rPr>
          <w:rFonts w:ascii="Times New Roman" w:hAnsi="Times New Roman" w:cs="Times New Roman"/>
          <w:i/>
          <w:iCs/>
          <w:sz w:val="19"/>
          <w:szCs w:val="19"/>
        </w:rPr>
        <w:t xml:space="preserve"> </w:t>
      </w:r>
      <w:r w:rsidR="00F5684D" w:rsidRPr="00DC7A14">
        <w:rPr>
          <w:rFonts w:ascii="Times New Roman" w:hAnsi="Times New Roman" w:cs="Times New Roman"/>
          <w:sz w:val="19"/>
          <w:szCs w:val="19"/>
        </w:rPr>
        <w:t>PIPA and</w:t>
      </w:r>
      <w:r w:rsidR="00DB6233" w:rsidRPr="00DC7A14">
        <w:rPr>
          <w:rFonts w:ascii="Times New Roman" w:hAnsi="Times New Roman" w:cs="Times New Roman"/>
          <w:sz w:val="19"/>
          <w:szCs w:val="19"/>
        </w:rPr>
        <w:t>, for the purposes of this discussion,</w:t>
      </w:r>
      <w:r w:rsidR="00F5684D" w:rsidRPr="00DC7A14">
        <w:rPr>
          <w:rFonts w:ascii="Times New Roman" w:hAnsi="Times New Roman" w:cs="Times New Roman"/>
          <w:sz w:val="19"/>
          <w:szCs w:val="19"/>
        </w:rPr>
        <w:t xml:space="preserve"> are </w:t>
      </w:r>
      <w:r w:rsidR="008D3D76" w:rsidRPr="00DC7A14">
        <w:rPr>
          <w:rFonts w:ascii="Times New Roman" w:hAnsi="Times New Roman" w:cs="Times New Roman"/>
          <w:sz w:val="19"/>
          <w:szCs w:val="19"/>
        </w:rPr>
        <w:t xml:space="preserve">adopted </w:t>
      </w:r>
      <w:r w:rsidR="00DB6233" w:rsidRPr="00DC7A14">
        <w:rPr>
          <w:rFonts w:ascii="Times New Roman" w:hAnsi="Times New Roman" w:cs="Times New Roman"/>
          <w:sz w:val="19"/>
          <w:szCs w:val="19"/>
        </w:rPr>
        <w:t xml:space="preserve">from </w:t>
      </w:r>
      <w:r w:rsidR="00F5684D" w:rsidRPr="00DC7A14">
        <w:rPr>
          <w:rFonts w:ascii="Times New Roman" w:hAnsi="Times New Roman" w:cs="Times New Roman"/>
          <w:sz w:val="19"/>
          <w:szCs w:val="19"/>
        </w:rPr>
        <w:t>APP 6.1 under</w:t>
      </w:r>
      <w:r w:rsidR="008D3D76" w:rsidRPr="00DC7A14">
        <w:rPr>
          <w:rFonts w:ascii="Times New Roman" w:hAnsi="Times New Roman" w:cs="Times New Roman"/>
          <w:sz w:val="19"/>
          <w:szCs w:val="19"/>
        </w:rPr>
        <w:t xml:space="preserve"> the</w:t>
      </w:r>
      <w:r w:rsidR="00F5684D" w:rsidRPr="00DC7A14">
        <w:rPr>
          <w:rFonts w:ascii="Times New Roman" w:hAnsi="Times New Roman" w:cs="Times New Roman"/>
          <w:sz w:val="19"/>
          <w:szCs w:val="19"/>
        </w:rPr>
        <w:t xml:space="preserve"> </w:t>
      </w:r>
      <w:r w:rsidR="00F5684D" w:rsidRPr="00DC7A14">
        <w:rPr>
          <w:rFonts w:ascii="Times New Roman" w:hAnsi="Times New Roman" w:cs="Times New Roman"/>
          <w:i/>
          <w:iCs/>
          <w:sz w:val="19"/>
          <w:szCs w:val="19"/>
        </w:rPr>
        <w:t>Privacy Act 1988</w:t>
      </w:r>
      <w:r w:rsidR="00F5684D" w:rsidRPr="00DC7A14">
        <w:rPr>
          <w:rFonts w:ascii="Times New Roman" w:hAnsi="Times New Roman" w:cs="Times New Roman"/>
          <w:sz w:val="19"/>
          <w:szCs w:val="19"/>
        </w:rPr>
        <w:t xml:space="preserve"> (Cth)</w:t>
      </w:r>
      <w:r w:rsidR="00C742F7" w:rsidRPr="00DC7A14">
        <w:rPr>
          <w:rFonts w:ascii="Times New Roman" w:hAnsi="Times New Roman" w:cs="Times New Roman"/>
          <w:sz w:val="19"/>
          <w:szCs w:val="19"/>
        </w:rPr>
        <w:t>.</w:t>
      </w:r>
    </w:p>
  </w:footnote>
  <w:footnote w:id="157">
    <w:p w14:paraId="1B40D286" w14:textId="1A257337" w:rsidR="00D761C6" w:rsidRPr="00DC7A14" w:rsidRDefault="00D761C6" w:rsidP="004259D3">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permitted purposes under PIPP 2 include:</w:t>
      </w:r>
    </w:p>
    <w:p w14:paraId="24F29800" w14:textId="7B1212DD"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the purpose of the use or disclosure is related (or if sensitive information</w:t>
      </w:r>
      <w:r w:rsidR="009C0A4A">
        <w:rPr>
          <w:rFonts w:ascii="Times New Roman" w:hAnsi="Times New Roman" w:cs="Times New Roman"/>
          <w:sz w:val="19"/>
          <w:szCs w:val="19"/>
        </w:rPr>
        <w:t>—</w:t>
      </w:r>
      <w:r w:rsidRPr="00DC7A14">
        <w:rPr>
          <w:rFonts w:ascii="Times New Roman" w:hAnsi="Times New Roman" w:cs="Times New Roman"/>
          <w:sz w:val="19"/>
          <w:szCs w:val="19"/>
        </w:rPr>
        <w:t>directly related) to the primary purpose and the individual would reasonably expect use or disclosure for that purpose;</w:t>
      </w:r>
    </w:p>
    <w:p w14:paraId="2312523D" w14:textId="77777777"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 xml:space="preserve">the individual has consented; </w:t>
      </w:r>
    </w:p>
    <w:p w14:paraId="0C0206E0" w14:textId="40E05218"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 xml:space="preserve">the information is de-identified, use or disclosure is necessary for research or statistical analysis in the public interest, and it is impracticable to seek prior consent or the recipient is reasonably believed to be not likely to disclose the information; </w:t>
      </w:r>
    </w:p>
    <w:p w14:paraId="1E6E2695" w14:textId="77777777"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it is necessary to lessen or prevent a serious threat to life, health, safety or welfare or a serious threat to public health or public safety;</w:t>
      </w:r>
    </w:p>
    <w:p w14:paraId="3916ADEA" w14:textId="77777777"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it is a necessary part of an investigation by the custodian or report to relevant authorities of suspected unlawful activity;</w:t>
      </w:r>
    </w:p>
    <w:p w14:paraId="07137EAA" w14:textId="77777777"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it is required or authorised by or under law;</w:t>
      </w:r>
    </w:p>
    <w:p w14:paraId="2C5647B7" w14:textId="77777777" w:rsidR="00D761C6" w:rsidRPr="00DC7A14" w:rsidRDefault="00D761C6">
      <w:pPr>
        <w:pStyle w:val="FootnoteText"/>
        <w:numPr>
          <w:ilvl w:val="0"/>
          <w:numId w:val="10"/>
        </w:numPr>
        <w:ind w:left="720"/>
        <w:rPr>
          <w:rFonts w:ascii="Times New Roman" w:hAnsi="Times New Roman" w:cs="Times New Roman"/>
          <w:sz w:val="19"/>
          <w:szCs w:val="19"/>
        </w:rPr>
      </w:pPr>
      <w:r w:rsidRPr="00DC7A14">
        <w:rPr>
          <w:rFonts w:ascii="Times New Roman" w:hAnsi="Times New Roman" w:cs="Times New Roman"/>
          <w:sz w:val="19"/>
          <w:szCs w:val="19"/>
        </w:rPr>
        <w:t xml:space="preserve">believed to be reasonably necessary for various purposes on behalf of a law enforcement agency, including prevention of crime or breaches of the law, protection of the public revenue, seriously improper conduct, court or tribunal proceedings, investigations into missing persons or matter under the Coroners Act; </w:t>
      </w:r>
    </w:p>
    <w:p w14:paraId="3E8EF14E" w14:textId="7F6A9B72" w:rsidR="00D761C6" w:rsidRPr="00DC7A14" w:rsidRDefault="009C0A4A">
      <w:pPr>
        <w:pStyle w:val="FootnoteText"/>
        <w:numPr>
          <w:ilvl w:val="0"/>
          <w:numId w:val="10"/>
        </w:numPr>
        <w:ind w:left="720"/>
        <w:rPr>
          <w:rFonts w:ascii="Times New Roman" w:hAnsi="Times New Roman" w:cs="Times New Roman"/>
          <w:sz w:val="19"/>
          <w:szCs w:val="19"/>
        </w:rPr>
      </w:pPr>
      <w:r>
        <w:rPr>
          <w:rFonts w:ascii="Times New Roman" w:hAnsi="Times New Roman" w:cs="Times New Roman"/>
          <w:sz w:val="19"/>
          <w:szCs w:val="19"/>
        </w:rPr>
        <w:t>i</w:t>
      </w:r>
      <w:r w:rsidR="00D761C6" w:rsidRPr="00DC7A14">
        <w:rPr>
          <w:rFonts w:ascii="Times New Roman" w:hAnsi="Times New Roman" w:cs="Times New Roman"/>
          <w:sz w:val="19"/>
          <w:szCs w:val="19"/>
        </w:rPr>
        <w:t xml:space="preserve">t has been requested by Commonwealth security agencies; </w:t>
      </w:r>
      <w:r>
        <w:rPr>
          <w:rFonts w:ascii="Times New Roman" w:hAnsi="Times New Roman" w:cs="Times New Roman"/>
          <w:sz w:val="19"/>
          <w:szCs w:val="19"/>
        </w:rPr>
        <w:t>and</w:t>
      </w:r>
    </w:p>
    <w:p w14:paraId="7B9FC2D8" w14:textId="37DA6BA9" w:rsidR="00D761C6" w:rsidRPr="00DC7A14" w:rsidRDefault="009C0A4A">
      <w:pPr>
        <w:pStyle w:val="FootnoteText"/>
        <w:numPr>
          <w:ilvl w:val="0"/>
          <w:numId w:val="10"/>
        </w:numPr>
        <w:ind w:left="720"/>
        <w:rPr>
          <w:rFonts w:ascii="Times New Roman" w:hAnsi="Times New Roman" w:cs="Times New Roman"/>
          <w:sz w:val="19"/>
          <w:szCs w:val="19"/>
        </w:rPr>
      </w:pPr>
      <w:r>
        <w:rPr>
          <w:rFonts w:ascii="Times New Roman" w:hAnsi="Times New Roman" w:cs="Times New Roman"/>
          <w:sz w:val="19"/>
          <w:szCs w:val="19"/>
        </w:rPr>
        <w:t>i</w:t>
      </w:r>
      <w:r w:rsidR="00D761C6" w:rsidRPr="00DC7A14">
        <w:rPr>
          <w:rFonts w:ascii="Times New Roman" w:hAnsi="Times New Roman" w:cs="Times New Roman"/>
          <w:sz w:val="19"/>
          <w:szCs w:val="19"/>
        </w:rPr>
        <w:t>t is to be used as employee information or transferred to another custodian for such use.</w:t>
      </w:r>
    </w:p>
  </w:footnote>
  <w:footnote w:id="158">
    <w:p w14:paraId="65D5FD6A" w14:textId="274FDFCF" w:rsidR="000025E2" w:rsidRPr="00DC7A14" w:rsidRDefault="000025E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3D0F57" w:rsidRPr="00DC7A14">
        <w:rPr>
          <w:rFonts w:ascii="Times New Roman" w:hAnsi="Times New Roman" w:cs="Times New Roman"/>
          <w:sz w:val="19"/>
          <w:szCs w:val="19"/>
        </w:rPr>
        <w:t xml:space="preserve">sch 1, PIPP </w:t>
      </w:r>
      <w:r w:rsidRPr="00DC7A14">
        <w:rPr>
          <w:rFonts w:ascii="Times New Roman" w:hAnsi="Times New Roman" w:cs="Times New Roman"/>
          <w:sz w:val="19"/>
          <w:szCs w:val="19"/>
        </w:rPr>
        <w:t>2(1)(f).</w:t>
      </w:r>
    </w:p>
  </w:footnote>
  <w:footnote w:id="159">
    <w:p w14:paraId="75DEE27E" w14:textId="307D6D52" w:rsidR="00186E67" w:rsidRPr="00DC7A14" w:rsidRDefault="00186E67" w:rsidP="00186E6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5A7901"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Australian Privacy Principle </w:t>
      </w:r>
      <w:r w:rsidR="005A7901" w:rsidRPr="00DC7A14">
        <w:rPr>
          <w:rFonts w:ascii="Times New Roman" w:hAnsi="Times New Roman" w:cs="Times New Roman"/>
          <w:i/>
          <w:iCs/>
          <w:sz w:val="19"/>
          <w:szCs w:val="19"/>
        </w:rPr>
        <w:t>G</w:t>
      </w:r>
      <w:r w:rsidRPr="00DC7A14">
        <w:rPr>
          <w:rFonts w:ascii="Times New Roman" w:hAnsi="Times New Roman" w:cs="Times New Roman"/>
          <w:i/>
          <w:iCs/>
          <w:sz w:val="19"/>
          <w:szCs w:val="19"/>
        </w:rPr>
        <w:t>uidelines</w:t>
      </w:r>
      <w:r w:rsidR="005A7901" w:rsidRPr="00DC7A14">
        <w:rPr>
          <w:rFonts w:ascii="Times New Roman" w:hAnsi="Times New Roman" w:cs="Times New Roman"/>
          <w:sz w:val="19"/>
          <w:szCs w:val="19"/>
        </w:rPr>
        <w:t xml:space="preserve"> (n </w:t>
      </w:r>
      <w:r w:rsidR="005A7901" w:rsidRPr="00DC7A14">
        <w:rPr>
          <w:rFonts w:ascii="Times New Roman" w:hAnsi="Times New Roman" w:cs="Times New Roman"/>
          <w:sz w:val="19"/>
          <w:szCs w:val="19"/>
        </w:rPr>
        <w:fldChar w:fldCharType="begin"/>
      </w:r>
      <w:r w:rsidR="005A7901" w:rsidRPr="00DC7A14">
        <w:rPr>
          <w:rFonts w:ascii="Times New Roman" w:hAnsi="Times New Roman" w:cs="Times New Roman"/>
          <w:sz w:val="19"/>
          <w:szCs w:val="19"/>
        </w:rPr>
        <w:instrText xml:space="preserve"> NOTEREF _Ref91753014 \h </w:instrText>
      </w:r>
      <w:r w:rsidR="008569E2" w:rsidRPr="00DC7A14">
        <w:rPr>
          <w:rFonts w:ascii="Times New Roman" w:hAnsi="Times New Roman" w:cs="Times New Roman"/>
          <w:sz w:val="19"/>
          <w:szCs w:val="19"/>
        </w:rPr>
        <w:instrText xml:space="preserve"> \* MERGEFORMAT </w:instrText>
      </w:r>
      <w:r w:rsidR="005A7901" w:rsidRPr="00DC7A14">
        <w:rPr>
          <w:rFonts w:ascii="Times New Roman" w:hAnsi="Times New Roman" w:cs="Times New Roman"/>
          <w:sz w:val="19"/>
          <w:szCs w:val="19"/>
        </w:rPr>
      </w:r>
      <w:r w:rsidR="005A7901"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149</w:t>
      </w:r>
      <w:r w:rsidR="005A7901" w:rsidRPr="00DC7A14">
        <w:rPr>
          <w:rFonts w:ascii="Times New Roman" w:hAnsi="Times New Roman" w:cs="Times New Roman"/>
          <w:sz w:val="19"/>
          <w:szCs w:val="19"/>
        </w:rPr>
        <w:fldChar w:fldCharType="end"/>
      </w:r>
      <w:r w:rsidR="005A7901" w:rsidRPr="00DC7A14">
        <w:rPr>
          <w:rFonts w:ascii="Times New Roman" w:hAnsi="Times New Roman" w:cs="Times New Roman"/>
          <w:sz w:val="19"/>
          <w:szCs w:val="19"/>
        </w:rPr>
        <w:t xml:space="preserve">) ch </w:t>
      </w:r>
      <w:r w:rsidRPr="00DC7A14">
        <w:rPr>
          <w:rFonts w:ascii="Times New Roman" w:hAnsi="Times New Roman" w:cs="Times New Roman"/>
          <w:sz w:val="19"/>
          <w:szCs w:val="19"/>
        </w:rPr>
        <w:t>B</w:t>
      </w:r>
      <w:r w:rsidR="005A7901" w:rsidRPr="00DC7A14">
        <w:rPr>
          <w:rFonts w:ascii="Times New Roman" w:hAnsi="Times New Roman" w:cs="Times New Roman"/>
          <w:sz w:val="19"/>
          <w:szCs w:val="19"/>
        </w:rPr>
        <w:t xml:space="preserve">. </w:t>
      </w:r>
    </w:p>
  </w:footnote>
  <w:footnote w:id="160">
    <w:p w14:paraId="22440CE8" w14:textId="290E1078" w:rsidR="00871EE8" w:rsidRPr="00DC7A14" w:rsidRDefault="00871EE8" w:rsidP="00871EE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12.</w:t>
      </w:r>
    </w:p>
  </w:footnote>
  <w:footnote w:id="161">
    <w:p w14:paraId="21F131B5" w14:textId="3D376A9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PIPP 2(5)</w:t>
      </w:r>
      <w:r w:rsidR="006D672B" w:rsidRPr="00DC7A14">
        <w:rPr>
          <w:rFonts w:ascii="Times New Roman" w:hAnsi="Times New Roman" w:cs="Times New Roman"/>
          <w:sz w:val="19"/>
          <w:szCs w:val="19"/>
        </w:rPr>
        <w:t xml:space="preserve"> sets out when a person is responsible for another.</w:t>
      </w:r>
    </w:p>
  </w:footnote>
  <w:footnote w:id="162">
    <w:p w14:paraId="1BA59E91" w14:textId="3B077215" w:rsidR="002F62D7" w:rsidRPr="00DC7A14" w:rsidRDefault="002F62D7" w:rsidP="002F62D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Commonwealth </w:t>
      </w:r>
      <w:r w:rsidR="006D672B" w:rsidRPr="00DC7A14">
        <w:rPr>
          <w:rFonts w:ascii="Times New Roman" w:hAnsi="Times New Roman" w:cs="Times New Roman"/>
          <w:sz w:val="19"/>
          <w:szCs w:val="19"/>
        </w:rPr>
        <w:t xml:space="preserve">law </w:t>
      </w:r>
      <w:r w:rsidRPr="00DC7A14">
        <w:rPr>
          <w:rFonts w:ascii="Times New Roman" w:hAnsi="Times New Roman" w:cs="Times New Roman"/>
          <w:sz w:val="19"/>
          <w:szCs w:val="19"/>
        </w:rPr>
        <w:t xml:space="preserve">also permits </w:t>
      </w:r>
      <w:r w:rsidR="0000511A" w:rsidRPr="00DC7A14">
        <w:rPr>
          <w:rFonts w:ascii="Times New Roman" w:hAnsi="Times New Roman" w:cs="Times New Roman"/>
          <w:sz w:val="19"/>
          <w:szCs w:val="19"/>
        </w:rPr>
        <w:t xml:space="preserve">agencies to use and disclose information for </w:t>
      </w:r>
      <w:r w:rsidRPr="00DC7A14">
        <w:rPr>
          <w:rFonts w:ascii="Times New Roman" w:hAnsi="Times New Roman" w:cs="Times New Roman"/>
          <w:sz w:val="19"/>
          <w:szCs w:val="19"/>
        </w:rPr>
        <w:t xml:space="preserve">diplomatic or consular functions or activities, </w:t>
      </w:r>
      <w:r w:rsidR="0000511A" w:rsidRPr="00DC7A14">
        <w:rPr>
          <w:rFonts w:ascii="Times New Roman" w:hAnsi="Times New Roman" w:cs="Times New Roman"/>
          <w:sz w:val="19"/>
          <w:szCs w:val="19"/>
        </w:rPr>
        <w:t xml:space="preserve">and allows the Defence Force to use and disclose information for </w:t>
      </w:r>
      <w:r w:rsidRPr="00DC7A14">
        <w:rPr>
          <w:rFonts w:ascii="Times New Roman" w:hAnsi="Times New Roman" w:cs="Times New Roman"/>
          <w:sz w:val="19"/>
          <w:szCs w:val="19"/>
        </w:rPr>
        <w:t>various activities outside of Australia such as war</w:t>
      </w:r>
      <w:r w:rsidR="00F66082" w:rsidRPr="00DC7A14">
        <w:rPr>
          <w:rFonts w:ascii="Times New Roman" w:hAnsi="Times New Roman" w:cs="Times New Roman"/>
          <w:sz w:val="19"/>
          <w:szCs w:val="19"/>
        </w:rPr>
        <w:t xml:space="preserve"> or warlike operations</w:t>
      </w:r>
      <w:r w:rsidRPr="00DC7A14">
        <w:rPr>
          <w:rFonts w:ascii="Times New Roman" w:hAnsi="Times New Roman" w:cs="Times New Roman"/>
          <w:sz w:val="19"/>
          <w:szCs w:val="19"/>
        </w:rPr>
        <w:t xml:space="preserve">, peacekeeping </w:t>
      </w:r>
      <w:r w:rsidR="00F66082" w:rsidRPr="00DC7A14">
        <w:rPr>
          <w:rFonts w:ascii="Times New Roman" w:hAnsi="Times New Roman" w:cs="Times New Roman"/>
          <w:sz w:val="19"/>
          <w:szCs w:val="19"/>
        </w:rPr>
        <w:t xml:space="preserve">or peace enforcement </w:t>
      </w:r>
      <w:r w:rsidRPr="00DC7A14">
        <w:rPr>
          <w:rFonts w:ascii="Times New Roman" w:hAnsi="Times New Roman" w:cs="Times New Roman"/>
          <w:sz w:val="19"/>
          <w:szCs w:val="19"/>
        </w:rPr>
        <w:t xml:space="preserve">or </w:t>
      </w:r>
      <w:r w:rsidR="00F66082" w:rsidRPr="00DC7A14">
        <w:rPr>
          <w:rFonts w:ascii="Times New Roman" w:hAnsi="Times New Roman" w:cs="Times New Roman"/>
          <w:sz w:val="19"/>
          <w:szCs w:val="19"/>
        </w:rPr>
        <w:t xml:space="preserve">civil aid, </w:t>
      </w:r>
      <w:r w:rsidRPr="00DC7A14">
        <w:rPr>
          <w:rFonts w:ascii="Times New Roman" w:hAnsi="Times New Roman" w:cs="Times New Roman"/>
          <w:sz w:val="19"/>
          <w:szCs w:val="19"/>
        </w:rPr>
        <w:t>humanitarian assistance</w:t>
      </w:r>
      <w:r w:rsidR="00F66082" w:rsidRPr="00DC7A14">
        <w:rPr>
          <w:rFonts w:ascii="Times New Roman" w:hAnsi="Times New Roman" w:cs="Times New Roman"/>
          <w:sz w:val="19"/>
          <w:szCs w:val="19"/>
        </w:rPr>
        <w:t>, medical or civil emergency or disaster relief</w:t>
      </w:r>
      <w:r w:rsidR="006D672B" w:rsidRPr="00DC7A14">
        <w:rPr>
          <w:rFonts w:ascii="Times New Roman" w:hAnsi="Times New Roman" w:cs="Times New Roman"/>
          <w:sz w:val="19"/>
          <w:szCs w:val="19"/>
        </w:rPr>
        <w:t xml:space="preserve">: </w:t>
      </w:r>
      <w:r w:rsidR="006D672B" w:rsidRPr="00DC7A14">
        <w:rPr>
          <w:rFonts w:ascii="Times New Roman" w:hAnsi="Times New Roman" w:cs="Times New Roman"/>
          <w:i/>
          <w:iCs/>
          <w:sz w:val="19"/>
          <w:szCs w:val="19"/>
        </w:rPr>
        <w:t xml:space="preserve">Privacy Act 1988 </w:t>
      </w:r>
      <w:r w:rsidR="006D672B" w:rsidRPr="00DC7A14">
        <w:rPr>
          <w:rFonts w:ascii="Times New Roman" w:hAnsi="Times New Roman" w:cs="Times New Roman"/>
          <w:sz w:val="19"/>
          <w:szCs w:val="19"/>
        </w:rPr>
        <w:t>(Cth)</w:t>
      </w:r>
      <w:r w:rsidR="0000511A" w:rsidRPr="00DC7A14">
        <w:rPr>
          <w:rFonts w:ascii="Times New Roman" w:hAnsi="Times New Roman" w:cs="Times New Roman"/>
          <w:sz w:val="19"/>
          <w:szCs w:val="19"/>
        </w:rPr>
        <w:t xml:space="preserve"> s 16A.</w:t>
      </w:r>
    </w:p>
  </w:footnote>
  <w:footnote w:id="163">
    <w:p w14:paraId="3155EF34" w14:textId="4B44C46F" w:rsidR="00A77495" w:rsidRPr="00DC7A14" w:rsidRDefault="00A7749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A68D5">
        <w:rPr>
          <w:rFonts w:ascii="Times New Roman" w:hAnsi="Times New Roman" w:cs="Times New Roman"/>
          <w:sz w:val="19"/>
          <w:szCs w:val="19"/>
        </w:rPr>
        <w:t>This applies w</w:t>
      </w:r>
      <w:r w:rsidRPr="00DC7A14">
        <w:rPr>
          <w:rFonts w:ascii="Times New Roman" w:hAnsi="Times New Roman" w:cs="Times New Roman"/>
          <w:sz w:val="19"/>
          <w:szCs w:val="19"/>
        </w:rPr>
        <w:t>here it is impracticable to obtain an individual’s consent</w:t>
      </w:r>
      <w:r w:rsidR="00AA68D5">
        <w:rPr>
          <w:rFonts w:ascii="Times New Roman" w:hAnsi="Times New Roman" w:cs="Times New Roman"/>
          <w:sz w:val="19"/>
          <w:szCs w:val="19"/>
        </w:rPr>
        <w:t>,</w:t>
      </w:r>
      <w:r w:rsidRPr="00DC7A14">
        <w:rPr>
          <w:rFonts w:ascii="Times New Roman" w:hAnsi="Times New Roman" w:cs="Times New Roman"/>
          <w:sz w:val="19"/>
          <w:szCs w:val="19"/>
        </w:rPr>
        <w:t xml:space="preserve"> </w:t>
      </w:r>
      <w:r w:rsidR="00AA68D5">
        <w:rPr>
          <w:rFonts w:ascii="Times New Roman" w:hAnsi="Times New Roman" w:cs="Times New Roman"/>
          <w:sz w:val="19"/>
          <w:szCs w:val="19"/>
        </w:rPr>
        <w:t>use or disclosure is conducted</w:t>
      </w:r>
      <w:r w:rsidRPr="00DC7A14">
        <w:rPr>
          <w:rFonts w:ascii="Times New Roman" w:hAnsi="Times New Roman" w:cs="Times New Roman"/>
          <w:sz w:val="19"/>
          <w:szCs w:val="19"/>
        </w:rPr>
        <w:t xml:space="preserve"> in accordance with guidelines issued under the Act</w:t>
      </w:r>
      <w:r w:rsidR="00AA68D5">
        <w:rPr>
          <w:rFonts w:ascii="Times New Roman" w:hAnsi="Times New Roman" w:cs="Times New Roman"/>
          <w:sz w:val="19"/>
          <w:szCs w:val="19"/>
        </w:rPr>
        <w:t>,</w:t>
      </w:r>
      <w:r w:rsidRPr="00DC7A14">
        <w:rPr>
          <w:rFonts w:ascii="Times New Roman" w:hAnsi="Times New Roman" w:cs="Times New Roman"/>
          <w:sz w:val="19"/>
          <w:szCs w:val="19"/>
        </w:rPr>
        <w:t xml:space="preserve"> and there is reasonable belief that the recipient will not disclose the information: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16B.</w:t>
      </w:r>
    </w:p>
  </w:footnote>
  <w:footnote w:id="164">
    <w:p w14:paraId="7D114DB7" w14:textId="31210CE3" w:rsidR="00CC7B7D" w:rsidRPr="00DC7A14" w:rsidRDefault="00CC7B7D" w:rsidP="00CC7B7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Pr="00DC7A14">
        <w:rPr>
          <w:rFonts w:ascii="Times New Roman" w:hAnsi="Times New Roman" w:cs="Times New Roman"/>
          <w:i/>
          <w:iCs/>
          <w:sz w:val="19"/>
          <w:szCs w:val="19"/>
        </w:rPr>
        <w:t xml:space="preserve">, Privacy (Australian Government </w:t>
      </w:r>
      <w:r w:rsidR="00875735" w:rsidRPr="00DC7A14">
        <w:rPr>
          <w:rFonts w:ascii="Times New Roman" w:hAnsi="Times New Roman" w:cs="Times New Roman"/>
          <w:i/>
          <w:iCs/>
          <w:sz w:val="19"/>
          <w:szCs w:val="19"/>
        </w:rPr>
        <w:t xml:space="preserve">– </w:t>
      </w:r>
      <w:r w:rsidRPr="00DC7A14">
        <w:rPr>
          <w:rFonts w:ascii="Times New Roman" w:hAnsi="Times New Roman" w:cs="Times New Roman"/>
          <w:i/>
          <w:iCs/>
          <w:sz w:val="19"/>
          <w:szCs w:val="19"/>
        </w:rPr>
        <w:t>Agencies Governance) APP Code</w:t>
      </w:r>
      <w:r w:rsidRPr="00DC7A14">
        <w:rPr>
          <w:rFonts w:ascii="Times New Roman" w:hAnsi="Times New Roman" w:cs="Times New Roman"/>
          <w:sz w:val="19"/>
          <w:szCs w:val="19"/>
        </w:rPr>
        <w:t xml:space="preserve"> (2017) &lt;</w:t>
      </w:r>
      <w:hyperlink r:id="rId10" w:history="1">
        <w:r w:rsidRPr="00DC7A14">
          <w:rPr>
            <w:rStyle w:val="Hyperlink"/>
            <w:rFonts w:ascii="Times New Roman" w:hAnsi="Times New Roman" w:cs="Times New Roman"/>
            <w:sz w:val="19"/>
            <w:szCs w:val="19"/>
          </w:rPr>
          <w:t>https://www.oaic.gov.au/privacy/privacy-registers/privacy-codes-register/australian-government-agencies-privacy-code/</w:t>
        </w:r>
      </w:hyperlink>
      <w:r w:rsidRPr="00DC7A14">
        <w:rPr>
          <w:rFonts w:ascii="Times New Roman" w:hAnsi="Times New Roman" w:cs="Times New Roman"/>
          <w:sz w:val="19"/>
          <w:szCs w:val="19"/>
        </w:rPr>
        <w:t>&gt;</w:t>
      </w:r>
      <w:r w:rsidR="00C378DB" w:rsidRPr="00DC7A14">
        <w:rPr>
          <w:rFonts w:ascii="Times New Roman" w:hAnsi="Times New Roman" w:cs="Times New Roman"/>
          <w:sz w:val="19"/>
          <w:szCs w:val="19"/>
        </w:rPr>
        <w:t>.</w:t>
      </w:r>
    </w:p>
  </w:footnote>
  <w:footnote w:id="165">
    <w:p w14:paraId="61C83F8B" w14:textId="5720FAB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Under Part 3A, a person </w:t>
      </w:r>
      <w:r w:rsidR="00D147B2" w:rsidRPr="00DC7A14">
        <w:rPr>
          <w:rFonts w:ascii="Times New Roman" w:hAnsi="Times New Roman" w:cs="Times New Roman"/>
          <w:sz w:val="19"/>
          <w:szCs w:val="19"/>
        </w:rPr>
        <w:t>can</w:t>
      </w:r>
      <w:r w:rsidRPr="00DC7A14">
        <w:rPr>
          <w:rFonts w:ascii="Times New Roman" w:hAnsi="Times New Roman" w:cs="Times New Roman"/>
          <w:sz w:val="19"/>
          <w:szCs w:val="19"/>
        </w:rPr>
        <w:t xml:space="preserve"> request amendment of their personal information held by a custodian where it is incorrect, incomplete, out of date</w:t>
      </w:r>
      <w:r w:rsidR="00D147B2" w:rsidRPr="00DC7A14">
        <w:rPr>
          <w:rFonts w:ascii="Times New Roman" w:hAnsi="Times New Roman" w:cs="Times New Roman"/>
          <w:sz w:val="19"/>
          <w:szCs w:val="19"/>
        </w:rPr>
        <w:t>,</w:t>
      </w:r>
      <w:r w:rsidRPr="00DC7A14">
        <w:rPr>
          <w:rFonts w:ascii="Times New Roman" w:hAnsi="Times New Roman" w:cs="Times New Roman"/>
          <w:sz w:val="19"/>
          <w:szCs w:val="19"/>
        </w:rPr>
        <w:t xml:space="preserve"> or misleading. The custodian can either correct the information or add an appropriate notation, but any amendment must not delete information or destroy the document unless the State Archivist agrees. The custodian must decide on whether to correct the information within 20 working days, and provide reasons for any refusal. If correction is refused, the person can require a notification of the claimed errors be added and that any disclosure of the information includes a statement concerning the notation.</w:t>
      </w:r>
    </w:p>
  </w:footnote>
  <w:footnote w:id="166">
    <w:p w14:paraId="4376F1D8" w14:textId="157ED3DF" w:rsidR="00D35784" w:rsidRPr="00DC7A14" w:rsidRDefault="00D35784" w:rsidP="00D3578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17E.</w:t>
      </w:r>
    </w:p>
  </w:footnote>
  <w:footnote w:id="167">
    <w:p w14:paraId="6223C95E" w14:textId="11490D9D"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the </w:t>
      </w:r>
      <w:r w:rsidRPr="00DC7A14">
        <w:rPr>
          <w:rFonts w:ascii="Times New Roman" w:hAnsi="Times New Roman" w:cs="Times New Roman"/>
          <w:i/>
          <w:iCs/>
          <w:sz w:val="19"/>
          <w:szCs w:val="19"/>
        </w:rPr>
        <w:t>Freedom of Information Act 1982</w:t>
      </w:r>
      <w:r w:rsidRPr="00DC7A14">
        <w:rPr>
          <w:rFonts w:ascii="Times New Roman" w:hAnsi="Times New Roman" w:cs="Times New Roman"/>
          <w:sz w:val="19"/>
          <w:szCs w:val="19"/>
        </w:rPr>
        <w:t xml:space="preserve"> (Cth) also provides a right to access and correct personal information held by Commonwealth agencies and public authorities or official documents of Ministers, with internal and external review of decisions available.</w:t>
      </w:r>
    </w:p>
  </w:footnote>
  <w:footnote w:id="168">
    <w:p w14:paraId="458B5A5A" w14:textId="44B169EC" w:rsidR="007341C4" w:rsidRPr="00DC7A14" w:rsidRDefault="007341C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501356" w:rsidRPr="00DC7A14">
        <w:rPr>
          <w:rFonts w:ascii="Times New Roman" w:hAnsi="Times New Roman" w:cs="Times New Roman"/>
          <w:i/>
          <w:iCs/>
          <w:sz w:val="19"/>
          <w:szCs w:val="19"/>
        </w:rPr>
        <w:t xml:space="preserve">Privacy Act 1988 </w:t>
      </w:r>
      <w:r w:rsidR="00501356" w:rsidRPr="00DC7A14">
        <w:rPr>
          <w:rFonts w:ascii="Times New Roman" w:hAnsi="Times New Roman" w:cs="Times New Roman"/>
          <w:sz w:val="19"/>
          <w:szCs w:val="19"/>
        </w:rPr>
        <w:t xml:space="preserve">(Cth) sch 1, </w:t>
      </w:r>
      <w:r w:rsidRPr="00DC7A14">
        <w:rPr>
          <w:rFonts w:ascii="Times New Roman" w:hAnsi="Times New Roman" w:cs="Times New Roman"/>
          <w:sz w:val="19"/>
          <w:szCs w:val="19"/>
        </w:rPr>
        <w:t>APP 13.1(a).</w:t>
      </w:r>
    </w:p>
  </w:footnote>
  <w:footnote w:id="169">
    <w:p w14:paraId="2D2DFC59" w14:textId="6DA45260" w:rsidR="00C2745E" w:rsidRPr="00DC7A14" w:rsidRDefault="00C2745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FE5EA6" w:rsidRPr="00DC7A14">
        <w:rPr>
          <w:rFonts w:ascii="Times New Roman" w:hAnsi="Times New Roman" w:cs="Times New Roman"/>
          <w:sz w:val="19"/>
          <w:szCs w:val="19"/>
        </w:rPr>
        <w:t xml:space="preserve">Ibid sch 1, </w:t>
      </w:r>
      <w:r w:rsidRPr="00DC7A14">
        <w:rPr>
          <w:rFonts w:ascii="Times New Roman" w:hAnsi="Times New Roman" w:cs="Times New Roman"/>
          <w:sz w:val="19"/>
          <w:szCs w:val="19"/>
        </w:rPr>
        <w:t>APP 13.2.</w:t>
      </w:r>
    </w:p>
  </w:footnote>
  <w:footnote w:id="170">
    <w:p w14:paraId="4D7466C2" w14:textId="44A6277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FE5EA6" w:rsidRPr="00DC7A14">
        <w:rPr>
          <w:rFonts w:ascii="Times New Roman" w:hAnsi="Times New Roman" w:cs="Times New Roman"/>
          <w:sz w:val="19"/>
          <w:szCs w:val="19"/>
        </w:rPr>
        <w:t xml:space="preserve">, </w:t>
      </w:r>
      <w:r w:rsidR="00FE5EA6"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FE5EA6" w:rsidRPr="00DC7A14">
        <w:rPr>
          <w:rFonts w:ascii="Times New Roman" w:hAnsi="Times New Roman" w:cs="Times New Roman"/>
          <w:sz w:val="19"/>
          <w:szCs w:val="19"/>
        </w:rPr>
        <w:fldChar w:fldCharType="begin"/>
      </w:r>
      <w:r w:rsidR="00FE5EA6" w:rsidRPr="00DC7A14">
        <w:rPr>
          <w:rFonts w:ascii="Times New Roman" w:hAnsi="Times New Roman" w:cs="Times New Roman"/>
          <w:sz w:val="19"/>
          <w:szCs w:val="19"/>
        </w:rPr>
        <w:instrText xml:space="preserve"> NOTEREF _Ref85809175 \h </w:instrText>
      </w:r>
      <w:r w:rsidR="008569E2" w:rsidRPr="00DC7A14">
        <w:rPr>
          <w:rFonts w:ascii="Times New Roman" w:hAnsi="Times New Roman" w:cs="Times New Roman"/>
          <w:sz w:val="19"/>
          <w:szCs w:val="19"/>
        </w:rPr>
        <w:instrText xml:space="preserve"> \* MERGEFORMAT </w:instrText>
      </w:r>
      <w:r w:rsidR="00FE5EA6" w:rsidRPr="00DC7A14">
        <w:rPr>
          <w:rFonts w:ascii="Times New Roman" w:hAnsi="Times New Roman" w:cs="Times New Roman"/>
          <w:sz w:val="19"/>
          <w:szCs w:val="19"/>
        </w:rPr>
      </w:r>
      <w:r w:rsidR="00FE5EA6"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FE5EA6" w:rsidRPr="00DC7A14">
        <w:rPr>
          <w:rFonts w:ascii="Times New Roman" w:hAnsi="Times New Roman" w:cs="Times New Roman"/>
          <w:sz w:val="19"/>
          <w:szCs w:val="19"/>
        </w:rPr>
        <w:fldChar w:fldCharType="end"/>
      </w:r>
      <w:r w:rsidRPr="00DC7A14">
        <w:rPr>
          <w:rFonts w:ascii="Times New Roman" w:hAnsi="Times New Roman" w:cs="Times New Roman"/>
          <w:sz w:val="19"/>
          <w:szCs w:val="19"/>
        </w:rPr>
        <w:t>) 51.</w:t>
      </w:r>
    </w:p>
  </w:footnote>
  <w:footnote w:id="171">
    <w:p w14:paraId="3550CBC1" w14:textId="17869287" w:rsidR="0033146B" w:rsidRPr="00DC7A14" w:rsidRDefault="0033146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s 3. </w:t>
      </w:r>
    </w:p>
  </w:footnote>
  <w:footnote w:id="172">
    <w:p w14:paraId="7687CD4E" w14:textId="45232934" w:rsidR="00852DA1" w:rsidRPr="00DC7A14" w:rsidRDefault="00852DA1" w:rsidP="00852DA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discussion of how to identify a custodian’s functions</w:t>
      </w:r>
      <w:r w:rsidR="00776DDD"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see the discussion in relation to PIPP 1 above at </w:t>
      </w:r>
      <w:r w:rsidR="00D332F8" w:rsidRPr="00DC7A14">
        <w:rPr>
          <w:rFonts w:ascii="Times New Roman" w:hAnsi="Times New Roman" w:cs="Times New Roman"/>
          <w:sz w:val="19"/>
          <w:szCs w:val="19"/>
        </w:rPr>
        <w:t>[</w:t>
      </w:r>
      <w:r w:rsidR="00902CBC">
        <w:rPr>
          <w:rFonts w:ascii="Times New Roman" w:hAnsi="Times New Roman" w:cs="Times New Roman"/>
          <w:sz w:val="19"/>
          <w:szCs w:val="19"/>
        </w:rPr>
        <w:fldChar w:fldCharType="begin"/>
      </w:r>
      <w:r w:rsidR="00902CBC">
        <w:rPr>
          <w:rFonts w:ascii="Times New Roman" w:hAnsi="Times New Roman" w:cs="Times New Roman"/>
          <w:sz w:val="19"/>
          <w:szCs w:val="19"/>
        </w:rPr>
        <w:instrText xml:space="preserve"> REF _Ref90324529 \r \h </w:instrText>
      </w:r>
      <w:r w:rsidR="00902CBC">
        <w:rPr>
          <w:rFonts w:ascii="Times New Roman" w:hAnsi="Times New Roman" w:cs="Times New Roman"/>
          <w:sz w:val="19"/>
          <w:szCs w:val="19"/>
        </w:rPr>
      </w:r>
      <w:r w:rsidR="00902CBC">
        <w:rPr>
          <w:rFonts w:ascii="Times New Roman" w:hAnsi="Times New Roman" w:cs="Times New Roman"/>
          <w:sz w:val="19"/>
          <w:szCs w:val="19"/>
        </w:rPr>
        <w:fldChar w:fldCharType="separate"/>
      </w:r>
      <w:r w:rsidR="00E66B60">
        <w:rPr>
          <w:rFonts w:ascii="Times New Roman" w:hAnsi="Times New Roman" w:cs="Times New Roman"/>
          <w:sz w:val="19"/>
          <w:szCs w:val="19"/>
        </w:rPr>
        <w:t>2.3.2</w:t>
      </w:r>
      <w:r w:rsidR="00902CBC">
        <w:rPr>
          <w:rFonts w:ascii="Times New Roman" w:hAnsi="Times New Roman" w:cs="Times New Roman"/>
          <w:sz w:val="19"/>
          <w:szCs w:val="19"/>
        </w:rPr>
        <w:fldChar w:fldCharType="end"/>
      </w:r>
      <w:r w:rsidR="00D332F8" w:rsidRPr="00DC7A14">
        <w:rPr>
          <w:rFonts w:ascii="Times New Roman" w:hAnsi="Times New Roman" w:cs="Times New Roman"/>
          <w:sz w:val="19"/>
          <w:szCs w:val="19"/>
        </w:rPr>
        <w:t>]</w:t>
      </w:r>
      <w:r w:rsidR="00FE1920" w:rsidRPr="00DC7A14">
        <w:rPr>
          <w:rFonts w:ascii="Times New Roman" w:hAnsi="Times New Roman" w:cs="Times New Roman"/>
          <w:sz w:val="19"/>
          <w:szCs w:val="19"/>
        </w:rPr>
        <w:t>–</w:t>
      </w:r>
      <w:r w:rsidR="00D332F8" w:rsidRPr="00DC7A14">
        <w:rPr>
          <w:rFonts w:ascii="Times New Roman" w:hAnsi="Times New Roman" w:cs="Times New Roman"/>
          <w:sz w:val="19"/>
          <w:szCs w:val="19"/>
        </w:rPr>
        <w:t>[</w:t>
      </w:r>
      <w:r w:rsidR="00902CBC">
        <w:rPr>
          <w:rFonts w:ascii="Times New Roman" w:hAnsi="Times New Roman" w:cs="Times New Roman"/>
          <w:sz w:val="19"/>
          <w:szCs w:val="19"/>
        </w:rPr>
        <w:fldChar w:fldCharType="begin"/>
      </w:r>
      <w:r w:rsidR="00902CBC">
        <w:rPr>
          <w:rFonts w:ascii="Times New Roman" w:hAnsi="Times New Roman" w:cs="Times New Roman"/>
          <w:sz w:val="19"/>
          <w:szCs w:val="19"/>
        </w:rPr>
        <w:instrText xml:space="preserve"> REF _Ref129330681 \r \h </w:instrText>
      </w:r>
      <w:r w:rsidR="00902CBC">
        <w:rPr>
          <w:rFonts w:ascii="Times New Roman" w:hAnsi="Times New Roman" w:cs="Times New Roman"/>
          <w:sz w:val="19"/>
          <w:szCs w:val="19"/>
        </w:rPr>
      </w:r>
      <w:r w:rsidR="00902CBC">
        <w:rPr>
          <w:rFonts w:ascii="Times New Roman" w:hAnsi="Times New Roman" w:cs="Times New Roman"/>
          <w:sz w:val="19"/>
          <w:szCs w:val="19"/>
        </w:rPr>
        <w:fldChar w:fldCharType="separate"/>
      </w:r>
      <w:r w:rsidR="00E66B60">
        <w:rPr>
          <w:rFonts w:ascii="Times New Roman" w:hAnsi="Times New Roman" w:cs="Times New Roman"/>
          <w:sz w:val="19"/>
          <w:szCs w:val="19"/>
        </w:rPr>
        <w:t>2.3.10</w:t>
      </w:r>
      <w:r w:rsidR="00902CBC">
        <w:rPr>
          <w:rFonts w:ascii="Times New Roman" w:hAnsi="Times New Roman" w:cs="Times New Roman"/>
          <w:sz w:val="19"/>
          <w:szCs w:val="19"/>
        </w:rPr>
        <w:fldChar w:fldCharType="end"/>
      </w:r>
      <w:r w:rsidR="00902CBC">
        <w:rPr>
          <w:rFonts w:ascii="Times New Roman" w:hAnsi="Times New Roman" w:cs="Times New Roman"/>
          <w:sz w:val="19"/>
          <w:szCs w:val="19"/>
        </w:rPr>
        <w:t>].</w:t>
      </w:r>
    </w:p>
  </w:footnote>
  <w:footnote w:id="173">
    <w:p w14:paraId="0D243AEF" w14:textId="38650BCF"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discussion of this term</w:t>
      </w:r>
      <w:r w:rsidR="005734A9" w:rsidRPr="00DC7A14">
        <w:rPr>
          <w:rFonts w:ascii="Times New Roman" w:hAnsi="Times New Roman" w:cs="Times New Roman"/>
          <w:sz w:val="19"/>
          <w:szCs w:val="19"/>
        </w:rPr>
        <w:t>,</w:t>
      </w:r>
      <w:r w:rsidRPr="00DC7A14">
        <w:rPr>
          <w:rFonts w:ascii="Times New Roman" w:hAnsi="Times New Roman" w:cs="Times New Roman"/>
          <w:sz w:val="19"/>
          <w:szCs w:val="19"/>
        </w:rPr>
        <w:t xml:space="preserve"> see the discussion above in relation to PIPP 2 at </w:t>
      </w:r>
      <w:r w:rsidR="00D332F8" w:rsidRPr="00DC7A14">
        <w:rPr>
          <w:rFonts w:ascii="Times New Roman" w:hAnsi="Times New Roman" w:cs="Times New Roman"/>
          <w:sz w:val="19"/>
          <w:szCs w:val="19"/>
        </w:rPr>
        <w:t>[</w:t>
      </w:r>
      <w:r w:rsidR="00902CBC">
        <w:rPr>
          <w:rFonts w:ascii="Times New Roman" w:hAnsi="Times New Roman" w:cs="Times New Roman"/>
          <w:sz w:val="19"/>
          <w:szCs w:val="19"/>
        </w:rPr>
        <w:fldChar w:fldCharType="begin"/>
      </w:r>
      <w:r w:rsidR="00902CBC">
        <w:rPr>
          <w:rFonts w:ascii="Times New Roman" w:hAnsi="Times New Roman" w:cs="Times New Roman"/>
          <w:sz w:val="19"/>
          <w:szCs w:val="19"/>
        </w:rPr>
        <w:instrText xml:space="preserve"> REF _Ref129330749 \r \h </w:instrText>
      </w:r>
      <w:r w:rsidR="00902CBC">
        <w:rPr>
          <w:rFonts w:ascii="Times New Roman" w:hAnsi="Times New Roman" w:cs="Times New Roman"/>
          <w:sz w:val="19"/>
          <w:szCs w:val="19"/>
        </w:rPr>
      </w:r>
      <w:r w:rsidR="00902CBC">
        <w:rPr>
          <w:rFonts w:ascii="Times New Roman" w:hAnsi="Times New Roman" w:cs="Times New Roman"/>
          <w:sz w:val="19"/>
          <w:szCs w:val="19"/>
        </w:rPr>
        <w:fldChar w:fldCharType="separate"/>
      </w:r>
      <w:r w:rsidR="00E66B60">
        <w:rPr>
          <w:rFonts w:ascii="Times New Roman" w:hAnsi="Times New Roman" w:cs="Times New Roman"/>
          <w:sz w:val="19"/>
          <w:szCs w:val="19"/>
        </w:rPr>
        <w:t>2.3.11</w:t>
      </w:r>
      <w:r w:rsidR="00902CBC">
        <w:rPr>
          <w:rFonts w:ascii="Times New Roman" w:hAnsi="Times New Roman" w:cs="Times New Roman"/>
          <w:sz w:val="19"/>
          <w:szCs w:val="19"/>
        </w:rPr>
        <w:fldChar w:fldCharType="end"/>
      </w:r>
      <w:r w:rsidR="00D332F8" w:rsidRPr="00DC7A14">
        <w:rPr>
          <w:rFonts w:ascii="Times New Roman" w:hAnsi="Times New Roman" w:cs="Times New Roman"/>
          <w:sz w:val="19"/>
          <w:szCs w:val="19"/>
        </w:rPr>
        <w:t>]</w:t>
      </w:r>
      <w:r w:rsidR="00902CBC">
        <w:rPr>
          <w:rFonts w:ascii="Times New Roman" w:hAnsi="Times New Roman" w:cs="Times New Roman"/>
          <w:sz w:val="19"/>
          <w:szCs w:val="19"/>
        </w:rPr>
        <w:t>–[</w:t>
      </w:r>
      <w:r w:rsidR="00902CBC">
        <w:rPr>
          <w:rFonts w:ascii="Times New Roman" w:hAnsi="Times New Roman" w:cs="Times New Roman"/>
          <w:sz w:val="19"/>
          <w:szCs w:val="19"/>
        </w:rPr>
        <w:fldChar w:fldCharType="begin"/>
      </w:r>
      <w:r w:rsidR="00902CBC">
        <w:rPr>
          <w:rFonts w:ascii="Times New Roman" w:hAnsi="Times New Roman" w:cs="Times New Roman"/>
          <w:sz w:val="19"/>
          <w:szCs w:val="19"/>
        </w:rPr>
        <w:instrText xml:space="preserve"> REF _Ref129330768 \r \h </w:instrText>
      </w:r>
      <w:r w:rsidR="00902CBC">
        <w:rPr>
          <w:rFonts w:ascii="Times New Roman" w:hAnsi="Times New Roman" w:cs="Times New Roman"/>
          <w:sz w:val="19"/>
          <w:szCs w:val="19"/>
        </w:rPr>
      </w:r>
      <w:r w:rsidR="00902CBC">
        <w:rPr>
          <w:rFonts w:ascii="Times New Roman" w:hAnsi="Times New Roman" w:cs="Times New Roman"/>
          <w:sz w:val="19"/>
          <w:szCs w:val="19"/>
        </w:rPr>
        <w:fldChar w:fldCharType="separate"/>
      </w:r>
      <w:r w:rsidR="00E66B60">
        <w:rPr>
          <w:rFonts w:ascii="Times New Roman" w:hAnsi="Times New Roman" w:cs="Times New Roman"/>
          <w:sz w:val="19"/>
          <w:szCs w:val="19"/>
        </w:rPr>
        <w:t>2.3.18</w:t>
      </w:r>
      <w:r w:rsidR="00902CBC">
        <w:rPr>
          <w:rFonts w:ascii="Times New Roman" w:hAnsi="Times New Roman" w:cs="Times New Roman"/>
          <w:sz w:val="19"/>
          <w:szCs w:val="19"/>
        </w:rPr>
        <w:fldChar w:fldCharType="end"/>
      </w:r>
      <w:r w:rsidR="00902CBC">
        <w:rPr>
          <w:rFonts w:ascii="Times New Roman" w:hAnsi="Times New Roman" w:cs="Times New Roman"/>
          <w:sz w:val="19"/>
          <w:szCs w:val="19"/>
        </w:rPr>
        <w:t>]</w:t>
      </w:r>
      <w:r w:rsidR="005734A9" w:rsidRPr="00DC7A14">
        <w:rPr>
          <w:rFonts w:ascii="Times New Roman" w:hAnsi="Times New Roman" w:cs="Times New Roman"/>
          <w:sz w:val="19"/>
          <w:szCs w:val="19"/>
        </w:rPr>
        <w:t>.</w:t>
      </w:r>
    </w:p>
  </w:footnote>
  <w:footnote w:id="174">
    <w:p w14:paraId="744D1E43" w14:textId="19846327" w:rsidR="008F1540" w:rsidRPr="00DC7A14" w:rsidRDefault="008F154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example, where it is unreasonable or impracticable to obtain consent of the individual, and the use or disclosure is necessary to prevent a serious threat to life, health, or safety: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 xml:space="preserve">(Cth) </w:t>
      </w:r>
      <w:r w:rsidR="00753889" w:rsidRPr="00DC7A14">
        <w:rPr>
          <w:rFonts w:ascii="Times New Roman" w:hAnsi="Times New Roman" w:cs="Times New Roman"/>
          <w:sz w:val="19"/>
          <w:szCs w:val="19"/>
        </w:rPr>
        <w:t xml:space="preserve">s </w:t>
      </w:r>
      <w:r w:rsidRPr="00DC7A14">
        <w:rPr>
          <w:rFonts w:ascii="Times New Roman" w:hAnsi="Times New Roman" w:cs="Times New Roman"/>
          <w:sz w:val="19"/>
          <w:szCs w:val="19"/>
        </w:rPr>
        <w:t>16A.</w:t>
      </w:r>
    </w:p>
  </w:footnote>
  <w:footnote w:id="175">
    <w:p w14:paraId="794D592D" w14:textId="7777777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Disclosure is not permitted unless: </w:t>
      </w:r>
    </w:p>
    <w:p w14:paraId="6751E40F" w14:textId="4DAA1323" w:rsidR="00D761C6" w:rsidRPr="00DC7A14" w:rsidRDefault="00D761C6">
      <w:pPr>
        <w:pStyle w:val="FootnoteText"/>
        <w:numPr>
          <w:ilvl w:val="0"/>
          <w:numId w:val="13"/>
        </w:numPr>
        <w:rPr>
          <w:rFonts w:ascii="Times New Roman" w:hAnsi="Times New Roman" w:cs="Times New Roman"/>
          <w:sz w:val="19"/>
          <w:szCs w:val="19"/>
        </w:rPr>
      </w:pPr>
      <w:r w:rsidRPr="00DC7A14">
        <w:rPr>
          <w:rFonts w:ascii="Times New Roman" w:hAnsi="Times New Roman" w:cs="Times New Roman"/>
          <w:sz w:val="19"/>
          <w:szCs w:val="19"/>
        </w:rPr>
        <w:t xml:space="preserve">the custodian reasonably believes that the recipient is subject to binding principles substantially similar to the PIPPs; </w:t>
      </w:r>
    </w:p>
    <w:p w14:paraId="4A0829A1" w14:textId="10AD0DF2" w:rsidR="00D761C6" w:rsidRPr="00DC7A14" w:rsidRDefault="00D761C6">
      <w:pPr>
        <w:pStyle w:val="FootnoteText"/>
        <w:numPr>
          <w:ilvl w:val="0"/>
          <w:numId w:val="13"/>
        </w:numPr>
        <w:rPr>
          <w:rFonts w:ascii="Times New Roman" w:hAnsi="Times New Roman" w:cs="Times New Roman"/>
          <w:sz w:val="19"/>
          <w:szCs w:val="19"/>
        </w:rPr>
      </w:pPr>
      <w:r w:rsidRPr="00DC7A14">
        <w:rPr>
          <w:rFonts w:ascii="Times New Roman" w:hAnsi="Times New Roman" w:cs="Times New Roman"/>
          <w:sz w:val="19"/>
          <w:szCs w:val="19"/>
        </w:rPr>
        <w:t>the individual concerned consents or the disclosure is necessary for the performance of a contract with the individual or in their interest;</w:t>
      </w:r>
    </w:p>
    <w:p w14:paraId="417A4EDF" w14:textId="59FCBA6E" w:rsidR="00D761C6" w:rsidRPr="00DC7A14" w:rsidRDefault="00D761C6">
      <w:pPr>
        <w:pStyle w:val="FootnoteText"/>
        <w:numPr>
          <w:ilvl w:val="0"/>
          <w:numId w:val="13"/>
        </w:numPr>
        <w:rPr>
          <w:rFonts w:ascii="Times New Roman" w:hAnsi="Times New Roman" w:cs="Times New Roman"/>
          <w:sz w:val="19"/>
          <w:szCs w:val="19"/>
        </w:rPr>
      </w:pPr>
      <w:r w:rsidRPr="00DC7A14">
        <w:rPr>
          <w:rFonts w:ascii="Times New Roman" w:hAnsi="Times New Roman" w:cs="Times New Roman"/>
          <w:sz w:val="19"/>
          <w:szCs w:val="19"/>
        </w:rPr>
        <w:t xml:space="preserve">the custodian has taken reasonable steps to ensure the recipient deals with the information consistently with the PIPPs; or </w:t>
      </w:r>
    </w:p>
    <w:p w14:paraId="35E7A71E" w14:textId="4AE4AAD3" w:rsidR="00D761C6" w:rsidRPr="00DC7A14" w:rsidRDefault="00D761C6">
      <w:pPr>
        <w:pStyle w:val="FootnoteText"/>
        <w:numPr>
          <w:ilvl w:val="0"/>
          <w:numId w:val="13"/>
        </w:numPr>
        <w:rPr>
          <w:rFonts w:ascii="Times New Roman" w:hAnsi="Times New Roman" w:cs="Times New Roman"/>
          <w:sz w:val="19"/>
          <w:szCs w:val="19"/>
        </w:rPr>
      </w:pPr>
      <w:r w:rsidRPr="00DC7A14">
        <w:rPr>
          <w:rFonts w:ascii="Times New Roman" w:hAnsi="Times New Roman" w:cs="Times New Roman"/>
          <w:sz w:val="19"/>
          <w:szCs w:val="19"/>
        </w:rPr>
        <w:t>the disclosure is authorised or required by any other law.</w:t>
      </w:r>
    </w:p>
  </w:footnote>
  <w:footnote w:id="176">
    <w:p w14:paraId="31F023A5" w14:textId="557B5AE1"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B50B4" w:rsidRPr="00DC7A14">
        <w:rPr>
          <w:rFonts w:ascii="Times New Roman" w:hAnsi="Times New Roman" w:cs="Times New Roman"/>
          <w:sz w:val="19"/>
          <w:szCs w:val="19"/>
        </w:rPr>
        <w:t xml:space="preserve">For example, where it is necessary to prevent a serious </w:t>
      </w:r>
      <w:r w:rsidRPr="00DC7A14">
        <w:rPr>
          <w:rFonts w:ascii="Times New Roman" w:hAnsi="Times New Roman" w:cs="Times New Roman"/>
          <w:sz w:val="19"/>
          <w:szCs w:val="19"/>
        </w:rPr>
        <w:t>threat</w:t>
      </w:r>
      <w:r w:rsidR="00BB50B4" w:rsidRPr="00DC7A14">
        <w:rPr>
          <w:rFonts w:ascii="Times New Roman" w:hAnsi="Times New Roman" w:cs="Times New Roman"/>
          <w:sz w:val="19"/>
          <w:szCs w:val="19"/>
        </w:rPr>
        <w:t xml:space="preserve"> </w:t>
      </w:r>
      <w:r w:rsidRPr="00DC7A14">
        <w:rPr>
          <w:rFonts w:ascii="Times New Roman" w:hAnsi="Times New Roman" w:cs="Times New Roman"/>
          <w:sz w:val="19"/>
          <w:szCs w:val="19"/>
        </w:rPr>
        <w:t>to health and safety</w:t>
      </w:r>
      <w:r w:rsidR="00902CBC">
        <w:rPr>
          <w:rFonts w:ascii="Times New Roman" w:hAnsi="Times New Roman" w:cs="Times New Roman"/>
          <w:sz w:val="19"/>
          <w:szCs w:val="19"/>
        </w:rPr>
        <w:t>,</w:t>
      </w:r>
      <w:r w:rsidRPr="00DC7A14">
        <w:rPr>
          <w:rFonts w:ascii="Times New Roman" w:hAnsi="Times New Roman" w:cs="Times New Roman"/>
          <w:sz w:val="19"/>
          <w:szCs w:val="19"/>
        </w:rPr>
        <w:t xml:space="preserve"> </w:t>
      </w:r>
      <w:r w:rsidR="00BB50B4" w:rsidRPr="00DC7A14">
        <w:rPr>
          <w:rFonts w:ascii="Times New Roman" w:hAnsi="Times New Roman" w:cs="Times New Roman"/>
          <w:sz w:val="19"/>
          <w:szCs w:val="19"/>
        </w:rPr>
        <w:t xml:space="preserve">to </w:t>
      </w:r>
      <w:r w:rsidRPr="00DC7A14">
        <w:rPr>
          <w:rFonts w:ascii="Times New Roman" w:hAnsi="Times New Roman" w:cs="Times New Roman"/>
          <w:sz w:val="19"/>
          <w:szCs w:val="19"/>
        </w:rPr>
        <w:t>respond to suspected unlawful activity or misconduct</w:t>
      </w:r>
      <w:r w:rsidR="00BB50B4" w:rsidRPr="00DC7A14">
        <w:rPr>
          <w:rFonts w:ascii="Times New Roman" w:hAnsi="Times New Roman" w:cs="Times New Roman"/>
          <w:sz w:val="19"/>
          <w:szCs w:val="19"/>
        </w:rPr>
        <w:t>; to</w:t>
      </w:r>
      <w:r w:rsidRPr="00DC7A14">
        <w:rPr>
          <w:rFonts w:ascii="Times New Roman" w:hAnsi="Times New Roman" w:cs="Times New Roman"/>
          <w:sz w:val="19"/>
          <w:szCs w:val="19"/>
        </w:rPr>
        <w:t xml:space="preserve"> locate missing persons</w:t>
      </w:r>
      <w:r w:rsidR="00902CBC">
        <w:rPr>
          <w:rFonts w:ascii="Times New Roman" w:hAnsi="Times New Roman" w:cs="Times New Roman"/>
          <w:sz w:val="19"/>
          <w:szCs w:val="19"/>
        </w:rPr>
        <w:t>,</w:t>
      </w:r>
      <w:r w:rsidRPr="00DC7A14">
        <w:rPr>
          <w:rFonts w:ascii="Times New Roman" w:hAnsi="Times New Roman" w:cs="Times New Roman"/>
          <w:sz w:val="19"/>
          <w:szCs w:val="19"/>
        </w:rPr>
        <w:t xml:space="preserve"> or </w:t>
      </w:r>
      <w:r w:rsidR="00BB50B4" w:rsidRPr="00DC7A14">
        <w:rPr>
          <w:rFonts w:ascii="Times New Roman" w:hAnsi="Times New Roman" w:cs="Times New Roman"/>
          <w:sz w:val="19"/>
          <w:szCs w:val="19"/>
        </w:rPr>
        <w:t xml:space="preserve">it is </w:t>
      </w:r>
      <w:r w:rsidRPr="00DC7A14">
        <w:rPr>
          <w:rFonts w:ascii="Times New Roman" w:hAnsi="Times New Roman" w:cs="Times New Roman"/>
          <w:sz w:val="19"/>
          <w:szCs w:val="19"/>
        </w:rPr>
        <w:t>related to a legal claim or confidential alternative dispute resolution process</w:t>
      </w:r>
      <w:r w:rsidR="00BB50B4" w:rsidRPr="00DC7A14">
        <w:rPr>
          <w:rFonts w:ascii="Times New Roman" w:hAnsi="Times New Roman" w:cs="Times New Roman"/>
          <w:sz w:val="19"/>
          <w:szCs w:val="19"/>
        </w:rPr>
        <w:t xml:space="preserve">: </w:t>
      </w:r>
      <w:r w:rsidR="00BB50B4" w:rsidRPr="00DC7A14">
        <w:rPr>
          <w:rFonts w:ascii="Times New Roman" w:hAnsi="Times New Roman" w:cs="Times New Roman"/>
          <w:i/>
          <w:iCs/>
          <w:sz w:val="19"/>
          <w:szCs w:val="19"/>
        </w:rPr>
        <w:t xml:space="preserve">Privacy Act 1988 </w:t>
      </w:r>
      <w:r w:rsidR="00BB50B4" w:rsidRPr="00DC7A14">
        <w:rPr>
          <w:rFonts w:ascii="Times New Roman" w:hAnsi="Times New Roman" w:cs="Times New Roman"/>
          <w:sz w:val="19"/>
          <w:szCs w:val="19"/>
        </w:rPr>
        <w:t>(Cth) s 16A.</w:t>
      </w:r>
    </w:p>
  </w:footnote>
  <w:footnote w:id="177">
    <w:p w14:paraId="4C4BB7F8" w14:textId="6A313C1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Though there is allowance for authorisation under an international agreement relating to information sharing</w:t>
      </w:r>
      <w:r w:rsidR="004B237A"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see </w:t>
      </w:r>
      <w:r w:rsidR="004B237A" w:rsidRPr="00DC7A14">
        <w:rPr>
          <w:rFonts w:ascii="Times New Roman" w:hAnsi="Times New Roman" w:cs="Times New Roman"/>
          <w:sz w:val="19"/>
          <w:szCs w:val="19"/>
        </w:rPr>
        <w:t xml:space="preserve">ibid sch 1, </w:t>
      </w:r>
      <w:r w:rsidRPr="00DC7A14">
        <w:rPr>
          <w:rFonts w:ascii="Times New Roman" w:hAnsi="Times New Roman" w:cs="Times New Roman"/>
          <w:sz w:val="19"/>
          <w:szCs w:val="19"/>
        </w:rPr>
        <w:t>APP 8(2)(e)).</w:t>
      </w:r>
    </w:p>
  </w:footnote>
  <w:footnote w:id="178">
    <w:p w14:paraId="34956421" w14:textId="765261E3" w:rsidR="000E34C9" w:rsidRPr="00DC7A14" w:rsidRDefault="000E34C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16C.</w:t>
      </w:r>
    </w:p>
  </w:footnote>
  <w:footnote w:id="179">
    <w:p w14:paraId="7A7BC153" w14:textId="77777777" w:rsidR="00D761C6" w:rsidRPr="00DC7A14" w:rsidRDefault="00D761C6" w:rsidP="00247B2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permitted bases on which sensitive information can be collected are either: </w:t>
      </w:r>
    </w:p>
    <w:p w14:paraId="78B47A18" w14:textId="07EE3144"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 xml:space="preserve">the individual concerned has consented; </w:t>
      </w:r>
    </w:p>
    <w:p w14:paraId="5F224FF8" w14:textId="77777777"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 xml:space="preserve">the collection is required by law; </w:t>
      </w:r>
    </w:p>
    <w:p w14:paraId="3EBCEF1E" w14:textId="5CDF373C"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 xml:space="preserve">the collection is necessary for life and health of any individual and the individual concerned cannot consent, communicate consent or is subject to a guardianship or mental health order; </w:t>
      </w:r>
    </w:p>
    <w:p w14:paraId="712E2A3C" w14:textId="77777777"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 xml:space="preserve">the collection is necessary for a legal or equitable claim; </w:t>
      </w:r>
    </w:p>
    <w:p w14:paraId="131745EC" w14:textId="785A4659"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 xml:space="preserve">the sensitive information </w:t>
      </w:r>
      <w:r w:rsidR="00902CBC">
        <w:rPr>
          <w:rFonts w:ascii="Times New Roman" w:hAnsi="Times New Roman" w:cs="Times New Roman"/>
          <w:sz w:val="19"/>
          <w:szCs w:val="19"/>
        </w:rPr>
        <w:t>i</w:t>
      </w:r>
      <w:r w:rsidRPr="00DC7A14">
        <w:rPr>
          <w:rFonts w:ascii="Times New Roman" w:hAnsi="Times New Roman" w:cs="Times New Roman"/>
          <w:sz w:val="19"/>
          <w:szCs w:val="19"/>
        </w:rPr>
        <w:t xml:space="preserve">s collected from members of a non-profit custodians which have only racial, ethnic, political, religious, philosophical, professional, trade or trade union aims where the custodian has undertaken not to disclose that information without consent; </w:t>
      </w:r>
    </w:p>
    <w:p w14:paraId="7A3D8788" w14:textId="7DDB4719" w:rsidR="00D761C6" w:rsidRPr="00DC7A14" w:rsidRDefault="00D761C6">
      <w:pPr>
        <w:pStyle w:val="FootnoteText"/>
        <w:numPr>
          <w:ilvl w:val="0"/>
          <w:numId w:val="33"/>
        </w:numPr>
        <w:rPr>
          <w:rFonts w:ascii="Times New Roman" w:hAnsi="Times New Roman" w:cs="Times New Roman"/>
          <w:sz w:val="19"/>
          <w:szCs w:val="19"/>
        </w:rPr>
      </w:pPr>
      <w:r w:rsidRPr="00DC7A14">
        <w:rPr>
          <w:rFonts w:ascii="Times New Roman" w:hAnsi="Times New Roman" w:cs="Times New Roman"/>
          <w:sz w:val="19"/>
          <w:szCs w:val="19"/>
        </w:rPr>
        <w:t>the collection is necessary for research or statistical analysis in the public interest and any resulting publication is de-identified, or where racial or ethnic information is collected for the purpose of welfare or educational services funded by the government. There has to be no practical alternative to collecting the information for these purposes and it is impracticable to seek the individual’s consent.</w:t>
      </w:r>
    </w:p>
  </w:footnote>
  <w:footnote w:id="180">
    <w:p w14:paraId="2F77E52E" w14:textId="2D0F1E2A" w:rsidR="00D761C6" w:rsidRPr="00DC7A14" w:rsidRDefault="00D761C6" w:rsidP="00BD043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In addition to the circumstances in which sensitive information can be collected, health information can be collected either:</w:t>
      </w:r>
    </w:p>
    <w:p w14:paraId="259FDCF8" w14:textId="710BAEE5" w:rsidR="00D761C6" w:rsidRPr="00DC7A14" w:rsidRDefault="00D761C6">
      <w:pPr>
        <w:pStyle w:val="FootnoteText"/>
        <w:numPr>
          <w:ilvl w:val="0"/>
          <w:numId w:val="34"/>
        </w:numPr>
        <w:rPr>
          <w:rFonts w:ascii="Times New Roman" w:hAnsi="Times New Roman" w:cs="Times New Roman"/>
          <w:sz w:val="19"/>
          <w:szCs w:val="19"/>
        </w:rPr>
      </w:pPr>
      <w:r w:rsidRPr="00DC7A14">
        <w:rPr>
          <w:rFonts w:ascii="Times New Roman" w:hAnsi="Times New Roman" w:cs="Times New Roman"/>
          <w:sz w:val="19"/>
          <w:szCs w:val="19"/>
        </w:rPr>
        <w:t>where the collection is necessary to provide a health service to the individual concerned, and the information is collected as required by law or in accordance with professional obligations of confidentiality;</w:t>
      </w:r>
    </w:p>
    <w:p w14:paraId="00ECE5F9" w14:textId="51C2A4DD" w:rsidR="00D761C6" w:rsidRPr="00DC7A14" w:rsidRDefault="00D761C6">
      <w:pPr>
        <w:pStyle w:val="FootnoteText"/>
        <w:numPr>
          <w:ilvl w:val="0"/>
          <w:numId w:val="34"/>
        </w:numPr>
        <w:rPr>
          <w:rFonts w:ascii="Times New Roman" w:hAnsi="Times New Roman" w:cs="Times New Roman"/>
          <w:sz w:val="19"/>
          <w:szCs w:val="19"/>
        </w:rPr>
      </w:pPr>
      <w:r w:rsidRPr="00DC7A14">
        <w:rPr>
          <w:rFonts w:ascii="Times New Roman" w:hAnsi="Times New Roman" w:cs="Times New Roman"/>
          <w:sz w:val="19"/>
          <w:szCs w:val="19"/>
        </w:rPr>
        <w:t xml:space="preserve">where the collection is necessary for research or statistical analysis on public health or safety or running a health service, requires information which identifies the individual, it is impractical to seek consent and the information is collected as required by law or in accordance with professional obligations of confidentiality </w:t>
      </w:r>
      <w:r w:rsidR="00902CBC">
        <w:rPr>
          <w:rFonts w:ascii="Times New Roman" w:hAnsi="Times New Roman" w:cs="Times New Roman"/>
          <w:sz w:val="19"/>
          <w:szCs w:val="19"/>
        </w:rPr>
        <w:t>(such i</w:t>
      </w:r>
      <w:r w:rsidRPr="00DC7A14">
        <w:rPr>
          <w:rFonts w:ascii="Times New Roman" w:hAnsi="Times New Roman" w:cs="Times New Roman"/>
          <w:sz w:val="19"/>
          <w:szCs w:val="19"/>
        </w:rPr>
        <w:t xml:space="preserve">nformation collected for this purposes </w:t>
      </w:r>
      <w:r w:rsidR="00902CBC">
        <w:rPr>
          <w:rFonts w:ascii="Times New Roman" w:hAnsi="Times New Roman" w:cs="Times New Roman"/>
          <w:sz w:val="19"/>
          <w:szCs w:val="19"/>
        </w:rPr>
        <w:t>must</w:t>
      </w:r>
      <w:r w:rsidRPr="00DC7A14">
        <w:rPr>
          <w:rFonts w:ascii="Times New Roman" w:hAnsi="Times New Roman" w:cs="Times New Roman"/>
          <w:sz w:val="19"/>
          <w:szCs w:val="19"/>
        </w:rPr>
        <w:t xml:space="preserve"> be permanently de-identified before disclosure</w:t>
      </w:r>
      <w:r w:rsidR="00902CBC">
        <w:rPr>
          <w:rFonts w:ascii="Times New Roman" w:hAnsi="Times New Roman" w:cs="Times New Roman"/>
          <w:sz w:val="19"/>
          <w:szCs w:val="19"/>
        </w:rPr>
        <w:t>)</w:t>
      </w:r>
      <w:r w:rsidRPr="00DC7A14">
        <w:rPr>
          <w:rFonts w:ascii="Times New Roman" w:hAnsi="Times New Roman" w:cs="Times New Roman"/>
          <w:sz w:val="19"/>
          <w:szCs w:val="19"/>
        </w:rPr>
        <w:t>; or</w:t>
      </w:r>
    </w:p>
    <w:p w14:paraId="0B9032A8" w14:textId="604376E0" w:rsidR="00D761C6" w:rsidRPr="00DC7A14" w:rsidRDefault="00D761C6">
      <w:pPr>
        <w:pStyle w:val="FootnoteText"/>
        <w:numPr>
          <w:ilvl w:val="0"/>
          <w:numId w:val="6"/>
        </w:numPr>
        <w:rPr>
          <w:rFonts w:ascii="Times New Roman" w:hAnsi="Times New Roman" w:cs="Times New Roman"/>
          <w:sz w:val="19"/>
          <w:szCs w:val="19"/>
        </w:rPr>
      </w:pPr>
      <w:r w:rsidRPr="00DC7A14">
        <w:rPr>
          <w:rFonts w:ascii="Times New Roman" w:hAnsi="Times New Roman" w:cs="Times New Roman"/>
          <w:sz w:val="19"/>
          <w:szCs w:val="19"/>
        </w:rPr>
        <w:t>where the health information is collected from another person and the collection is necessary to provide a health service to that other person and the information is relevant to their social or family history.</w:t>
      </w:r>
    </w:p>
  </w:footnote>
  <w:footnote w:id="181">
    <w:p w14:paraId="5EC8D7B3" w14:textId="1436642B" w:rsidR="006C2BA5" w:rsidRPr="00DC7A14" w:rsidRDefault="006C2BA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0C44DC" w:rsidRPr="00DC7A14">
        <w:rPr>
          <w:rFonts w:ascii="Times New Roman" w:hAnsi="Times New Roman" w:cs="Times New Roman"/>
          <w:sz w:val="19"/>
          <w:szCs w:val="19"/>
        </w:rPr>
        <w:t xml:space="preserve">sch 1, </w:t>
      </w:r>
      <w:r w:rsidRPr="00DC7A14">
        <w:rPr>
          <w:rFonts w:ascii="Times New Roman" w:hAnsi="Times New Roman" w:cs="Times New Roman"/>
          <w:sz w:val="19"/>
          <w:szCs w:val="19"/>
        </w:rPr>
        <w:t>PIPP 2(1)(a).</w:t>
      </w:r>
    </w:p>
  </w:footnote>
  <w:footnote w:id="182">
    <w:p w14:paraId="71A27338" w14:textId="323B720A" w:rsidR="00765F86" w:rsidRPr="00DC7A14" w:rsidRDefault="00765F8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 xml:space="preserve">(Cth) </w:t>
      </w:r>
      <w:r w:rsidR="00E75FF5" w:rsidRPr="00DC7A14">
        <w:rPr>
          <w:rFonts w:ascii="Times New Roman" w:hAnsi="Times New Roman" w:cs="Times New Roman"/>
          <w:sz w:val="19"/>
          <w:szCs w:val="19"/>
        </w:rPr>
        <w:t>ss 16B(2)</w:t>
      </w:r>
      <w:r w:rsidR="00D466BC" w:rsidRPr="00DC7A14">
        <w:rPr>
          <w:rFonts w:ascii="Times New Roman" w:hAnsi="Times New Roman" w:cs="Times New Roman"/>
          <w:sz w:val="19"/>
          <w:szCs w:val="19"/>
        </w:rPr>
        <w:t>(a), (d)</w:t>
      </w:r>
      <w:r w:rsidR="00E75FF5" w:rsidRPr="00DC7A14">
        <w:rPr>
          <w:rFonts w:ascii="Times New Roman" w:hAnsi="Times New Roman" w:cs="Times New Roman"/>
          <w:sz w:val="19"/>
          <w:szCs w:val="19"/>
        </w:rPr>
        <w:t>(i)–(iii)</w:t>
      </w:r>
      <w:r w:rsidR="00CC5D66" w:rsidRPr="00DC7A14">
        <w:rPr>
          <w:rFonts w:ascii="Times New Roman" w:hAnsi="Times New Roman" w:cs="Times New Roman"/>
          <w:sz w:val="19"/>
          <w:szCs w:val="19"/>
        </w:rPr>
        <w:t xml:space="preserve">. See also s </w:t>
      </w:r>
      <w:r w:rsidRPr="00DC7A14">
        <w:rPr>
          <w:rFonts w:ascii="Times New Roman" w:hAnsi="Times New Roman" w:cs="Times New Roman"/>
          <w:sz w:val="19"/>
          <w:szCs w:val="19"/>
        </w:rPr>
        <w:t>95A</w:t>
      </w:r>
      <w:r w:rsidR="00CC5D66" w:rsidRPr="00DC7A14">
        <w:rPr>
          <w:rFonts w:ascii="Times New Roman" w:hAnsi="Times New Roman" w:cs="Times New Roman"/>
          <w:sz w:val="19"/>
          <w:szCs w:val="19"/>
        </w:rPr>
        <w:t xml:space="preserve">, which provides </w:t>
      </w:r>
      <w:r w:rsidRPr="00DC7A14">
        <w:rPr>
          <w:rFonts w:ascii="Times New Roman" w:hAnsi="Times New Roman" w:cs="Times New Roman"/>
          <w:sz w:val="19"/>
          <w:szCs w:val="19"/>
        </w:rPr>
        <w:t>rules around these guidelines</w:t>
      </w:r>
      <w:r w:rsidR="00CC5D66" w:rsidRPr="00DC7A14">
        <w:rPr>
          <w:rFonts w:ascii="Times New Roman" w:hAnsi="Times New Roman" w:cs="Times New Roman"/>
          <w:sz w:val="19"/>
          <w:szCs w:val="19"/>
        </w:rPr>
        <w:t>.</w:t>
      </w:r>
    </w:p>
  </w:footnote>
  <w:footnote w:id="183">
    <w:p w14:paraId="17DD2B11" w14:textId="5D7BFE68" w:rsidR="00726921" w:rsidRPr="00DC7A14" w:rsidRDefault="00726921" w:rsidP="0072692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w:t>
      </w:r>
      <w:r w:rsidR="00BE3102" w:rsidRPr="00DC7A14">
        <w:rPr>
          <w:rFonts w:ascii="Times New Roman" w:hAnsi="Times New Roman" w:cs="Times New Roman"/>
          <w:sz w:val="19"/>
          <w:szCs w:val="19"/>
        </w:rPr>
        <w:t xml:space="preserve"> ibid</w:t>
      </w:r>
      <w:r w:rsidRPr="00DC7A14">
        <w:rPr>
          <w:rFonts w:ascii="Times New Roman" w:hAnsi="Times New Roman" w:cs="Times New Roman"/>
          <w:sz w:val="19"/>
          <w:szCs w:val="19"/>
        </w:rPr>
        <w:t xml:space="preserve"> s 16A</w:t>
      </w:r>
      <w:r w:rsidR="00875735" w:rsidRPr="00DC7A14">
        <w:rPr>
          <w:rFonts w:ascii="Times New Roman" w:hAnsi="Times New Roman" w:cs="Times New Roman"/>
          <w:sz w:val="19"/>
          <w:szCs w:val="19"/>
        </w:rPr>
        <w:t>, sch 1 pt 2 APP 3</w:t>
      </w:r>
      <w:r w:rsidR="00BE3102" w:rsidRPr="00DC7A14">
        <w:rPr>
          <w:rFonts w:ascii="Times New Roman" w:hAnsi="Times New Roman" w:cs="Times New Roman"/>
          <w:sz w:val="19"/>
          <w:szCs w:val="19"/>
        </w:rPr>
        <w:t>.</w:t>
      </w:r>
      <w:r w:rsidR="00875735" w:rsidRPr="00DC7A14">
        <w:rPr>
          <w:rFonts w:ascii="Times New Roman" w:hAnsi="Times New Roman" w:cs="Times New Roman"/>
          <w:sz w:val="19"/>
          <w:szCs w:val="19"/>
        </w:rPr>
        <w:t xml:space="preserve"> </w:t>
      </w:r>
    </w:p>
  </w:footnote>
  <w:footnote w:id="184">
    <w:p w14:paraId="6C689516" w14:textId="0C7D8A7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BE3102" w:rsidRPr="00DC7A14">
        <w:rPr>
          <w:rFonts w:ascii="Times New Roman" w:hAnsi="Times New Roman" w:cs="Times New Roman"/>
          <w:sz w:val="19"/>
          <w:szCs w:val="19"/>
        </w:rPr>
        <w:t xml:space="preserve">sch 1, </w:t>
      </w:r>
      <w:r w:rsidRPr="00DC7A14">
        <w:rPr>
          <w:rFonts w:ascii="Times New Roman" w:hAnsi="Times New Roman" w:cs="Times New Roman"/>
          <w:sz w:val="19"/>
          <w:szCs w:val="19"/>
        </w:rPr>
        <w:t>PIPP 1(2), 7(4)(a), 9(e). For a discussion of the meaning of required or authorised</w:t>
      </w:r>
      <w:r w:rsidR="00BE3102" w:rsidRPr="00DC7A14">
        <w:rPr>
          <w:rFonts w:ascii="Times New Roman" w:hAnsi="Times New Roman" w:cs="Times New Roman"/>
          <w:sz w:val="19"/>
          <w:szCs w:val="19"/>
        </w:rPr>
        <w:t xml:space="preserve">, see above at </w:t>
      </w:r>
      <w:r w:rsidR="00D332F8" w:rsidRPr="00DC7A14">
        <w:rPr>
          <w:rFonts w:ascii="Times New Roman" w:hAnsi="Times New Roman" w:cs="Times New Roman"/>
          <w:sz w:val="19"/>
          <w:szCs w:val="19"/>
        </w:rPr>
        <w:t>[</w:t>
      </w:r>
      <w:r w:rsidR="005F57C5">
        <w:rPr>
          <w:rFonts w:ascii="Times New Roman" w:hAnsi="Times New Roman" w:cs="Times New Roman"/>
          <w:sz w:val="19"/>
          <w:szCs w:val="19"/>
        </w:rPr>
        <w:fldChar w:fldCharType="begin"/>
      </w:r>
      <w:r w:rsidR="005F57C5">
        <w:rPr>
          <w:rFonts w:ascii="Times New Roman" w:hAnsi="Times New Roman" w:cs="Times New Roman"/>
          <w:sz w:val="19"/>
          <w:szCs w:val="19"/>
        </w:rPr>
        <w:instrText xml:space="preserve"> REF _Ref91757031 \r \h </w:instrText>
      </w:r>
      <w:r w:rsidR="005F57C5">
        <w:rPr>
          <w:rFonts w:ascii="Times New Roman" w:hAnsi="Times New Roman" w:cs="Times New Roman"/>
          <w:sz w:val="19"/>
          <w:szCs w:val="19"/>
        </w:rPr>
      </w:r>
      <w:r w:rsidR="005F57C5">
        <w:rPr>
          <w:rFonts w:ascii="Times New Roman" w:hAnsi="Times New Roman" w:cs="Times New Roman"/>
          <w:sz w:val="19"/>
          <w:szCs w:val="19"/>
        </w:rPr>
        <w:fldChar w:fldCharType="separate"/>
      </w:r>
      <w:r w:rsidR="00E66B60">
        <w:rPr>
          <w:rFonts w:ascii="Times New Roman" w:hAnsi="Times New Roman" w:cs="Times New Roman"/>
          <w:sz w:val="19"/>
          <w:szCs w:val="19"/>
        </w:rPr>
        <w:t>2.3.12</w:t>
      </w:r>
      <w:r w:rsidR="005F57C5">
        <w:rPr>
          <w:rFonts w:ascii="Times New Roman" w:hAnsi="Times New Roman" w:cs="Times New Roman"/>
          <w:sz w:val="19"/>
          <w:szCs w:val="19"/>
        </w:rPr>
        <w:fldChar w:fldCharType="end"/>
      </w:r>
      <w:r w:rsidR="00D332F8" w:rsidRPr="00DC7A14">
        <w:rPr>
          <w:rFonts w:ascii="Times New Roman" w:hAnsi="Times New Roman" w:cs="Times New Roman"/>
          <w:sz w:val="19"/>
          <w:szCs w:val="19"/>
        </w:rPr>
        <w:t>]</w:t>
      </w:r>
      <w:r w:rsidR="00BE3102" w:rsidRPr="00DC7A14">
        <w:rPr>
          <w:rFonts w:ascii="Times New Roman" w:hAnsi="Times New Roman" w:cs="Times New Roman"/>
          <w:sz w:val="19"/>
          <w:szCs w:val="19"/>
        </w:rPr>
        <w:t>.</w:t>
      </w:r>
    </w:p>
  </w:footnote>
  <w:footnote w:id="185">
    <w:p w14:paraId="4CF17D92" w14:textId="7501AEB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C4129A" w:rsidRPr="00DC7A14">
        <w:rPr>
          <w:rFonts w:ascii="Times New Roman" w:hAnsi="Times New Roman" w:cs="Times New Roman"/>
          <w:sz w:val="19"/>
          <w:szCs w:val="19"/>
        </w:rPr>
        <w:t xml:space="preserve">Ibid sch 1, PIPP </w:t>
      </w:r>
      <w:r w:rsidRPr="00DC7A14">
        <w:rPr>
          <w:rFonts w:ascii="Times New Roman" w:hAnsi="Times New Roman" w:cs="Times New Roman"/>
          <w:sz w:val="19"/>
          <w:szCs w:val="19"/>
        </w:rPr>
        <w:t>2(1)(f)</w:t>
      </w:r>
      <w:r w:rsidR="00C4129A" w:rsidRPr="00DC7A14">
        <w:rPr>
          <w:rFonts w:ascii="Times New Roman" w:hAnsi="Times New Roman" w:cs="Times New Roman"/>
          <w:sz w:val="19"/>
          <w:szCs w:val="19"/>
        </w:rPr>
        <w:t>.</w:t>
      </w:r>
    </w:p>
  </w:footnote>
  <w:footnote w:id="186">
    <w:p w14:paraId="58EF3497" w14:textId="3D80CD2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APP 3 includes requirements that the information is reasonably necessary for, or directly related to, one or more of the entity’s functions, and that any individual whose sensitive information is included in the information provided has consented or an exception applies.</w:t>
      </w:r>
    </w:p>
  </w:footnote>
  <w:footnote w:id="187">
    <w:p w14:paraId="07414C92" w14:textId="1C87DCBD" w:rsidR="0037510B" w:rsidRPr="00DC7A14" w:rsidRDefault="0037510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w:t>
      </w:r>
      <w:r w:rsidRPr="00DC7A14">
        <w:rPr>
          <w:rFonts w:ascii="Times New Roman" w:hAnsi="Times New Roman" w:cs="Times New Roman"/>
          <w:sz w:val="19"/>
          <w:szCs w:val="19"/>
        </w:rPr>
        <w:t xml:space="preserve"> s 11.</w:t>
      </w:r>
    </w:p>
  </w:footnote>
  <w:footnote w:id="188">
    <w:p w14:paraId="755B8316" w14:textId="6A7BBD4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PIPP 4 provides for destruction or de-identification only where the information is no longer needed for any purpose</w:t>
      </w:r>
      <w:r w:rsidR="00FB2F0F"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00FB2F0F" w:rsidRPr="00DC7A14">
        <w:rPr>
          <w:rFonts w:ascii="Times New Roman" w:hAnsi="Times New Roman" w:cs="Times New Roman"/>
          <w:sz w:val="19"/>
          <w:szCs w:val="19"/>
        </w:rPr>
        <w:t>sch 1.</w:t>
      </w:r>
    </w:p>
  </w:footnote>
  <w:footnote w:id="189">
    <w:p w14:paraId="1E4D78A4" w14:textId="013301A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Note that s 7A of the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provides for</w:t>
      </w:r>
      <w:r w:rsidR="000D525B" w:rsidRPr="00DC7A14">
        <w:rPr>
          <w:rFonts w:ascii="Times New Roman" w:hAnsi="Times New Roman" w:cs="Times New Roman"/>
          <w:sz w:val="19"/>
          <w:szCs w:val="19"/>
        </w:rPr>
        <w:t xml:space="preserve"> government</w:t>
      </w:r>
      <w:r w:rsidRPr="00DC7A14">
        <w:rPr>
          <w:rFonts w:ascii="Times New Roman" w:hAnsi="Times New Roman" w:cs="Times New Roman"/>
          <w:sz w:val="19"/>
          <w:szCs w:val="19"/>
        </w:rPr>
        <w:t xml:space="preserve"> agencies to act as</w:t>
      </w:r>
      <w:r w:rsidR="000D525B" w:rsidRPr="00DC7A14">
        <w:rPr>
          <w:rFonts w:ascii="Times New Roman" w:hAnsi="Times New Roman" w:cs="Times New Roman"/>
          <w:sz w:val="19"/>
          <w:szCs w:val="19"/>
        </w:rPr>
        <w:t xml:space="preserve"> non-government</w:t>
      </w:r>
      <w:r w:rsidRPr="00DC7A14">
        <w:rPr>
          <w:rFonts w:ascii="Times New Roman" w:hAnsi="Times New Roman" w:cs="Times New Roman"/>
          <w:sz w:val="19"/>
          <w:szCs w:val="19"/>
        </w:rPr>
        <w:t xml:space="preserve"> organisations where they are prescribed for this purpose or they are exempted from the </w:t>
      </w:r>
      <w:r w:rsidRPr="00DC7A14">
        <w:rPr>
          <w:rFonts w:ascii="Times New Roman" w:hAnsi="Times New Roman" w:cs="Times New Roman"/>
          <w:i/>
          <w:iCs/>
          <w:sz w:val="19"/>
          <w:szCs w:val="19"/>
        </w:rPr>
        <w:t>Freedom of Information Act 1982</w:t>
      </w:r>
      <w:r w:rsidRPr="00DC7A14">
        <w:rPr>
          <w:rFonts w:ascii="Times New Roman" w:hAnsi="Times New Roman" w:cs="Times New Roman"/>
          <w:sz w:val="19"/>
          <w:szCs w:val="19"/>
        </w:rPr>
        <w:t xml:space="preserve"> (Cth) in relation to commercial activities. </w:t>
      </w:r>
    </w:p>
  </w:footnote>
  <w:footnote w:id="190">
    <w:p w14:paraId="0CCFA978" w14:textId="781FCBE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6F03D9" w:rsidRPr="00DC7A14">
        <w:rPr>
          <w:rFonts w:ascii="Times New Roman" w:hAnsi="Times New Roman" w:cs="Times New Roman"/>
          <w:sz w:val="19"/>
          <w:szCs w:val="19"/>
        </w:rPr>
        <w:t xml:space="preserve">, </w:t>
      </w:r>
      <w:r w:rsidR="006F03D9" w:rsidRPr="00DC7A14">
        <w:rPr>
          <w:rFonts w:ascii="Times New Roman" w:hAnsi="Times New Roman" w:cs="Times New Roman"/>
          <w:i/>
          <w:sz w:val="19"/>
          <w:szCs w:val="19"/>
        </w:rPr>
        <w:t>Submission to Privacy Act Review</w:t>
      </w:r>
      <w:r w:rsidRPr="00DC7A14">
        <w:rPr>
          <w:rFonts w:ascii="Times New Roman" w:hAnsi="Times New Roman" w:cs="Times New Roman"/>
          <w:sz w:val="19"/>
          <w:szCs w:val="19"/>
        </w:rPr>
        <w:t xml:space="preserve"> (n </w:t>
      </w:r>
      <w:r w:rsidR="006F03D9" w:rsidRPr="00DC7A14">
        <w:rPr>
          <w:rFonts w:ascii="Times New Roman" w:hAnsi="Times New Roman" w:cs="Times New Roman"/>
          <w:sz w:val="19"/>
          <w:szCs w:val="19"/>
        </w:rPr>
        <w:fldChar w:fldCharType="begin"/>
      </w:r>
      <w:r w:rsidR="006F03D9" w:rsidRPr="00DC7A14">
        <w:rPr>
          <w:rFonts w:ascii="Times New Roman" w:hAnsi="Times New Roman" w:cs="Times New Roman"/>
          <w:sz w:val="19"/>
          <w:szCs w:val="19"/>
        </w:rPr>
        <w:instrText xml:space="preserve"> NOTEREF _Ref85809175 \h  \* MERGEFORMAT </w:instrText>
      </w:r>
      <w:r w:rsidR="006F03D9" w:rsidRPr="00DC7A14">
        <w:rPr>
          <w:rFonts w:ascii="Times New Roman" w:hAnsi="Times New Roman" w:cs="Times New Roman"/>
          <w:sz w:val="19"/>
          <w:szCs w:val="19"/>
        </w:rPr>
      </w:r>
      <w:r w:rsidR="006F03D9"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6F03D9" w:rsidRPr="00DC7A14">
        <w:rPr>
          <w:rFonts w:ascii="Times New Roman" w:hAnsi="Times New Roman" w:cs="Times New Roman"/>
          <w:sz w:val="19"/>
          <w:szCs w:val="19"/>
        </w:rPr>
        <w:fldChar w:fldCharType="end"/>
      </w:r>
      <w:r w:rsidRPr="00DC7A14">
        <w:rPr>
          <w:rFonts w:ascii="Times New Roman" w:hAnsi="Times New Roman" w:cs="Times New Roman"/>
          <w:sz w:val="19"/>
          <w:szCs w:val="19"/>
        </w:rPr>
        <w:t>) 46 (recommendations 18 and 19).</w:t>
      </w:r>
    </w:p>
  </w:footnote>
  <w:footnote w:id="191">
    <w:p w14:paraId="3080C751" w14:textId="2F6D0DA4" w:rsidR="008E1661" w:rsidRPr="00DC7A14" w:rsidRDefault="008E166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5B7835" w:rsidRPr="00DC7A14">
        <w:rPr>
          <w:rFonts w:ascii="Times New Roman" w:hAnsi="Times New Roman" w:cs="Times New Roman"/>
          <w:i/>
          <w:iCs/>
          <w:sz w:val="19"/>
          <w:szCs w:val="19"/>
        </w:rPr>
        <w:t xml:space="preserve">Privacy Act 1988 </w:t>
      </w:r>
      <w:r w:rsidR="005B7835" w:rsidRPr="00DC7A14">
        <w:rPr>
          <w:rFonts w:ascii="Times New Roman" w:hAnsi="Times New Roman" w:cs="Times New Roman"/>
          <w:sz w:val="19"/>
          <w:szCs w:val="19"/>
        </w:rPr>
        <w:t>(Cth) s 6(1).</w:t>
      </w:r>
    </w:p>
  </w:footnote>
  <w:footnote w:id="192">
    <w:p w14:paraId="6DA069A4" w14:textId="4B87A15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iCs/>
          <w:sz w:val="19"/>
          <w:szCs w:val="19"/>
        </w:rPr>
        <w:t>Australian Privacy Principles Guidelines</w:t>
      </w:r>
      <w:r w:rsidR="004E2763"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w:t>
      </w:r>
      <w:r w:rsidR="004E2763" w:rsidRPr="00DC7A14">
        <w:rPr>
          <w:rFonts w:ascii="Times New Roman" w:hAnsi="Times New Roman" w:cs="Times New Roman"/>
          <w:sz w:val="19"/>
          <w:szCs w:val="19"/>
        </w:rPr>
        <w:t xml:space="preserve">n </w:t>
      </w:r>
      <w:r w:rsidR="004E2763" w:rsidRPr="00DC7A14">
        <w:rPr>
          <w:rFonts w:ascii="Times New Roman" w:hAnsi="Times New Roman" w:cs="Times New Roman"/>
          <w:sz w:val="19"/>
          <w:szCs w:val="19"/>
        </w:rPr>
        <w:fldChar w:fldCharType="begin"/>
      </w:r>
      <w:r w:rsidR="004E2763" w:rsidRPr="00DC7A14">
        <w:rPr>
          <w:rFonts w:ascii="Times New Roman" w:hAnsi="Times New Roman" w:cs="Times New Roman"/>
          <w:sz w:val="19"/>
          <w:szCs w:val="19"/>
        </w:rPr>
        <w:instrText xml:space="preserve"> NOTEREF _Ref91753014 \h </w:instrText>
      </w:r>
      <w:r w:rsidR="003236D1" w:rsidRPr="00DC7A14">
        <w:rPr>
          <w:rFonts w:ascii="Times New Roman" w:hAnsi="Times New Roman" w:cs="Times New Roman"/>
          <w:sz w:val="19"/>
          <w:szCs w:val="19"/>
        </w:rPr>
        <w:instrText xml:space="preserve"> \* MERGEFORMAT </w:instrText>
      </w:r>
      <w:r w:rsidR="004E2763" w:rsidRPr="00DC7A14">
        <w:rPr>
          <w:rFonts w:ascii="Times New Roman" w:hAnsi="Times New Roman" w:cs="Times New Roman"/>
          <w:sz w:val="19"/>
          <w:szCs w:val="19"/>
        </w:rPr>
      </w:r>
      <w:r w:rsidR="004E276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149</w:t>
      </w:r>
      <w:r w:rsidR="004E2763" w:rsidRPr="00DC7A14">
        <w:rPr>
          <w:rFonts w:ascii="Times New Roman" w:hAnsi="Times New Roman" w:cs="Times New Roman"/>
          <w:sz w:val="19"/>
          <w:szCs w:val="19"/>
        </w:rPr>
        <w:fldChar w:fldCharType="end"/>
      </w:r>
      <w:r w:rsidRPr="00DC7A14">
        <w:rPr>
          <w:rFonts w:ascii="Times New Roman" w:hAnsi="Times New Roman" w:cs="Times New Roman"/>
          <w:sz w:val="19"/>
          <w:szCs w:val="19"/>
        </w:rPr>
        <w:t xml:space="preserve">) </w:t>
      </w:r>
      <w:r w:rsidR="004E2763" w:rsidRPr="00DC7A14">
        <w:rPr>
          <w:rFonts w:ascii="Times New Roman" w:hAnsi="Times New Roman" w:cs="Times New Roman"/>
          <w:sz w:val="19"/>
          <w:szCs w:val="19"/>
        </w:rPr>
        <w:t>ch B</w:t>
      </w:r>
      <w:r w:rsidR="000C6667" w:rsidRPr="00DC7A14">
        <w:rPr>
          <w:rFonts w:ascii="Times New Roman" w:hAnsi="Times New Roman" w:cs="Times New Roman"/>
          <w:sz w:val="19"/>
          <w:szCs w:val="19"/>
        </w:rPr>
        <w:t>, [B.48]–[B.51].</w:t>
      </w:r>
    </w:p>
  </w:footnote>
  <w:footnote w:id="193">
    <w:p w14:paraId="73CB5768" w14:textId="718DB2D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ACCC</w:t>
      </w:r>
      <w:r w:rsidR="009045F7">
        <w:rPr>
          <w:rFonts w:ascii="Times New Roman" w:hAnsi="Times New Roman" w:cs="Times New Roman"/>
          <w:sz w:val="19"/>
          <w:szCs w:val="19"/>
        </w:rPr>
        <w:t xml:space="preserve">, </w:t>
      </w:r>
      <w:r w:rsidR="009045F7" w:rsidRPr="00DC7A14">
        <w:rPr>
          <w:rFonts w:ascii="Times New Roman" w:hAnsi="Times New Roman" w:cs="Times New Roman"/>
          <w:i/>
          <w:iCs/>
          <w:sz w:val="19"/>
          <w:szCs w:val="19"/>
        </w:rPr>
        <w:t>Digital Platforms Inquiry</w:t>
      </w:r>
      <w:r w:rsidR="003236D1" w:rsidRPr="00DC7A14">
        <w:rPr>
          <w:rFonts w:ascii="Times New Roman" w:hAnsi="Times New Roman" w:cs="Times New Roman"/>
          <w:sz w:val="19"/>
          <w:szCs w:val="19"/>
        </w:rPr>
        <w:t xml:space="preserve"> (</w:t>
      </w:r>
      <w:r w:rsidRPr="00DC7A14">
        <w:rPr>
          <w:rFonts w:ascii="Times New Roman" w:hAnsi="Times New Roman" w:cs="Times New Roman"/>
          <w:sz w:val="19"/>
          <w:szCs w:val="19"/>
        </w:rPr>
        <w:t>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Pr="00DC7A14">
        <w:rPr>
          <w:rFonts w:ascii="Times New Roman" w:hAnsi="Times New Roman" w:cs="Times New Roman"/>
          <w:sz w:val="19"/>
          <w:szCs w:val="19"/>
        </w:rPr>
        <w:t>) 24.</w:t>
      </w:r>
    </w:p>
  </w:footnote>
  <w:footnote w:id="194">
    <w:p w14:paraId="23D5549A" w14:textId="46945F03" w:rsidR="009C201F" w:rsidRPr="00DC7A14" w:rsidRDefault="009C201F" w:rsidP="009C201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3236D1" w:rsidRPr="00164EF9">
        <w:rPr>
          <w:rFonts w:ascii="Times New Roman" w:hAnsi="Times New Roman" w:cs="Times New Roman"/>
          <w:sz w:val="19"/>
          <w:szCs w:val="19"/>
        </w:rPr>
        <w:t>GDPR</w:t>
      </w:r>
      <w:r w:rsidR="003236D1" w:rsidRPr="00DC7A14">
        <w:rPr>
          <w:rFonts w:ascii="Times New Roman" w:hAnsi="Times New Roman" w:cs="Times New Roman"/>
          <w:i/>
          <w:iCs/>
          <w:sz w:val="19"/>
          <w:szCs w:val="19"/>
        </w:rPr>
        <w:t xml:space="preserve"> </w:t>
      </w:r>
      <w:r w:rsidR="003236D1" w:rsidRPr="00DC7A14">
        <w:rPr>
          <w:rFonts w:ascii="Times New Roman" w:hAnsi="Times New Roman" w:cs="Times New Roman"/>
          <w:sz w:val="19"/>
          <w:szCs w:val="19"/>
        </w:rPr>
        <w:t xml:space="preserve">(n </w:t>
      </w:r>
      <w:r w:rsidR="003236D1" w:rsidRPr="00DC7A14">
        <w:rPr>
          <w:rFonts w:ascii="Times New Roman" w:hAnsi="Times New Roman" w:cs="Times New Roman"/>
          <w:sz w:val="19"/>
          <w:szCs w:val="19"/>
        </w:rPr>
        <w:fldChar w:fldCharType="begin"/>
      </w:r>
      <w:r w:rsidR="003236D1" w:rsidRPr="00DC7A14">
        <w:rPr>
          <w:rFonts w:ascii="Times New Roman" w:hAnsi="Times New Roman" w:cs="Times New Roman"/>
          <w:sz w:val="19"/>
          <w:szCs w:val="19"/>
        </w:rPr>
        <w:instrText xml:space="preserve"> NOTEREF _Ref91746333 \h  \* MERGEFORMAT </w:instrText>
      </w:r>
      <w:r w:rsidR="003236D1" w:rsidRPr="00DC7A14">
        <w:rPr>
          <w:rFonts w:ascii="Times New Roman" w:hAnsi="Times New Roman" w:cs="Times New Roman"/>
          <w:sz w:val="19"/>
          <w:szCs w:val="19"/>
        </w:rPr>
      </w:r>
      <w:r w:rsidR="003236D1"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3236D1" w:rsidRPr="00DC7A14">
        <w:rPr>
          <w:rFonts w:ascii="Times New Roman" w:hAnsi="Times New Roman" w:cs="Times New Roman"/>
          <w:sz w:val="19"/>
          <w:szCs w:val="19"/>
        </w:rPr>
        <w:fldChar w:fldCharType="end"/>
      </w:r>
      <w:r w:rsidR="003236D1" w:rsidRPr="00DC7A14">
        <w:rPr>
          <w:rFonts w:ascii="Times New Roman" w:hAnsi="Times New Roman" w:cs="Times New Roman"/>
          <w:sz w:val="19"/>
          <w:szCs w:val="19"/>
        </w:rPr>
        <w:t xml:space="preserve">) arts </w:t>
      </w:r>
      <w:r w:rsidRPr="00DC7A14">
        <w:rPr>
          <w:rFonts w:ascii="Times New Roman" w:hAnsi="Times New Roman" w:cs="Times New Roman"/>
          <w:sz w:val="19"/>
          <w:szCs w:val="19"/>
        </w:rPr>
        <w:t>4(11)</w:t>
      </w:r>
      <w:r w:rsidR="003236D1" w:rsidRPr="00DC7A14">
        <w:rPr>
          <w:rFonts w:ascii="Times New Roman" w:hAnsi="Times New Roman" w:cs="Times New Roman"/>
          <w:sz w:val="19"/>
          <w:szCs w:val="19"/>
        </w:rPr>
        <w:t>, 7. Article 7 stipu</w:t>
      </w:r>
      <w:r w:rsidR="00866A6E" w:rsidRPr="00DC7A14">
        <w:rPr>
          <w:rFonts w:ascii="Times New Roman" w:hAnsi="Times New Roman" w:cs="Times New Roman"/>
          <w:sz w:val="19"/>
          <w:szCs w:val="19"/>
        </w:rPr>
        <w:t>l</w:t>
      </w:r>
      <w:r w:rsidR="003236D1" w:rsidRPr="00DC7A14">
        <w:rPr>
          <w:rFonts w:ascii="Times New Roman" w:hAnsi="Times New Roman" w:cs="Times New Roman"/>
          <w:sz w:val="19"/>
          <w:szCs w:val="19"/>
        </w:rPr>
        <w:t xml:space="preserve">ates </w:t>
      </w:r>
      <w:r w:rsidRPr="00DC7A14">
        <w:rPr>
          <w:rFonts w:ascii="Times New Roman" w:hAnsi="Times New Roman" w:cs="Times New Roman"/>
          <w:sz w:val="19"/>
          <w:szCs w:val="19"/>
        </w:rPr>
        <w:t xml:space="preserve">the </w:t>
      </w:r>
      <w:r w:rsidR="003236D1" w:rsidRPr="00DC7A14">
        <w:rPr>
          <w:rFonts w:ascii="Times New Roman" w:hAnsi="Times New Roman" w:cs="Times New Roman"/>
          <w:sz w:val="19"/>
          <w:szCs w:val="19"/>
        </w:rPr>
        <w:t>‘</w:t>
      </w:r>
      <w:r w:rsidRPr="00DC7A14">
        <w:rPr>
          <w:rFonts w:ascii="Times New Roman" w:hAnsi="Times New Roman" w:cs="Times New Roman"/>
          <w:sz w:val="19"/>
          <w:szCs w:val="19"/>
        </w:rPr>
        <w:t>conditions for consent</w:t>
      </w:r>
      <w:r w:rsidR="003236D1"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195">
    <w:p w14:paraId="4A1B681E" w14:textId="3C6AA098" w:rsidR="009C201F" w:rsidRPr="00DC7A14" w:rsidRDefault="009C201F" w:rsidP="009C201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236D1" w:rsidRPr="00DC7A14">
        <w:rPr>
          <w:rFonts w:ascii="Times New Roman" w:hAnsi="Times New Roman" w:cs="Times New Roman"/>
          <w:sz w:val="19"/>
          <w:szCs w:val="19"/>
        </w:rPr>
        <w:t>ACCC</w:t>
      </w:r>
      <w:r w:rsidR="009045F7">
        <w:rPr>
          <w:rFonts w:ascii="Times New Roman" w:hAnsi="Times New Roman" w:cs="Times New Roman"/>
          <w:sz w:val="19"/>
          <w:szCs w:val="19"/>
        </w:rPr>
        <w:t xml:space="preserve">, </w:t>
      </w:r>
      <w:r w:rsidR="009045F7" w:rsidRPr="00DC7A14">
        <w:rPr>
          <w:rFonts w:ascii="Times New Roman" w:hAnsi="Times New Roman" w:cs="Times New Roman"/>
          <w:i/>
          <w:iCs/>
          <w:sz w:val="19"/>
          <w:szCs w:val="19"/>
        </w:rPr>
        <w:t>Digital Platforms Inquiry</w:t>
      </w:r>
      <w:r w:rsidR="003236D1" w:rsidRPr="00DC7A14">
        <w:rPr>
          <w:rFonts w:ascii="Times New Roman" w:hAnsi="Times New Roman" w:cs="Times New Roman"/>
          <w:sz w:val="19"/>
          <w:szCs w:val="19"/>
        </w:rPr>
        <w:t xml:space="preserve"> (n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003236D1" w:rsidRPr="00DC7A14">
        <w:rPr>
          <w:rFonts w:ascii="Times New Roman" w:hAnsi="Times New Roman" w:cs="Times New Roman"/>
          <w:sz w:val="19"/>
          <w:szCs w:val="19"/>
        </w:rPr>
        <w:t xml:space="preserve">) </w:t>
      </w:r>
      <w:r w:rsidRPr="00DC7A14">
        <w:rPr>
          <w:rFonts w:ascii="Times New Roman" w:hAnsi="Times New Roman" w:cs="Times New Roman"/>
          <w:sz w:val="19"/>
          <w:szCs w:val="19"/>
        </w:rPr>
        <w:t>465.</w:t>
      </w:r>
    </w:p>
  </w:footnote>
  <w:footnote w:id="196">
    <w:p w14:paraId="780D99CF" w14:textId="45CFEFE0" w:rsidR="00AA244F" w:rsidRPr="00DC7A14" w:rsidRDefault="00AA244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3236D1" w:rsidRPr="00DC7A14">
        <w:rPr>
          <w:rFonts w:ascii="Times New Roman" w:hAnsi="Times New Roman" w:cs="Times New Roman"/>
          <w:sz w:val="19"/>
          <w:szCs w:val="19"/>
        </w:rPr>
        <w:t xml:space="preserve">, </w:t>
      </w:r>
      <w:r w:rsidR="003236D1" w:rsidRPr="00DC7A14">
        <w:rPr>
          <w:rFonts w:ascii="Times New Roman" w:hAnsi="Times New Roman" w:cs="Times New Roman"/>
          <w:i/>
          <w:sz w:val="19"/>
          <w:szCs w:val="19"/>
        </w:rPr>
        <w:t>Submission to Privacy Act Review</w:t>
      </w:r>
      <w:r w:rsidR="003236D1" w:rsidRPr="00DC7A14">
        <w:rPr>
          <w:rFonts w:ascii="Times New Roman" w:hAnsi="Times New Roman" w:cs="Times New Roman"/>
          <w:sz w:val="19"/>
          <w:szCs w:val="19"/>
        </w:rPr>
        <w:t xml:space="preserve"> (n </w:t>
      </w:r>
      <w:r w:rsidR="003236D1" w:rsidRPr="00DC7A14">
        <w:rPr>
          <w:rFonts w:ascii="Times New Roman" w:hAnsi="Times New Roman" w:cs="Times New Roman"/>
          <w:sz w:val="19"/>
          <w:szCs w:val="19"/>
        </w:rPr>
        <w:fldChar w:fldCharType="begin"/>
      </w:r>
      <w:r w:rsidR="003236D1" w:rsidRPr="00DC7A14">
        <w:rPr>
          <w:rFonts w:ascii="Times New Roman" w:hAnsi="Times New Roman" w:cs="Times New Roman"/>
          <w:sz w:val="19"/>
          <w:szCs w:val="19"/>
        </w:rPr>
        <w:instrText xml:space="preserve"> NOTEREF _Ref85809175 \h  \* MERGEFORMAT </w:instrText>
      </w:r>
      <w:r w:rsidR="003236D1" w:rsidRPr="00DC7A14">
        <w:rPr>
          <w:rFonts w:ascii="Times New Roman" w:hAnsi="Times New Roman" w:cs="Times New Roman"/>
          <w:sz w:val="19"/>
          <w:szCs w:val="19"/>
        </w:rPr>
      </w:r>
      <w:r w:rsidR="003236D1"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3236D1" w:rsidRPr="00DC7A14">
        <w:rPr>
          <w:rFonts w:ascii="Times New Roman" w:hAnsi="Times New Roman" w:cs="Times New Roman"/>
          <w:sz w:val="19"/>
          <w:szCs w:val="19"/>
        </w:rPr>
        <w:fldChar w:fldCharType="end"/>
      </w:r>
      <w:r w:rsidR="003236D1" w:rsidRPr="00DC7A14">
        <w:rPr>
          <w:rFonts w:ascii="Times New Roman" w:hAnsi="Times New Roman" w:cs="Times New Roman"/>
          <w:sz w:val="19"/>
          <w:szCs w:val="19"/>
        </w:rPr>
        <w:t>) 77 (</w:t>
      </w:r>
      <w:r w:rsidRPr="00DC7A14">
        <w:rPr>
          <w:rFonts w:ascii="Times New Roman" w:hAnsi="Times New Roman" w:cs="Times New Roman"/>
          <w:sz w:val="19"/>
          <w:szCs w:val="19"/>
        </w:rPr>
        <w:t>rec</w:t>
      </w:r>
      <w:r w:rsidR="003236D1" w:rsidRPr="00DC7A14">
        <w:rPr>
          <w:rFonts w:ascii="Times New Roman" w:hAnsi="Times New Roman" w:cs="Times New Roman"/>
          <w:sz w:val="19"/>
          <w:szCs w:val="19"/>
        </w:rPr>
        <w:t xml:space="preserve">ommendation </w:t>
      </w:r>
      <w:r w:rsidRPr="00DC7A14">
        <w:rPr>
          <w:rFonts w:ascii="Times New Roman" w:hAnsi="Times New Roman" w:cs="Times New Roman"/>
          <w:sz w:val="19"/>
          <w:szCs w:val="19"/>
        </w:rPr>
        <w:t>32</w:t>
      </w:r>
      <w:r w:rsidR="003236D1"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197">
    <w:p w14:paraId="14A5817E" w14:textId="2859CF79" w:rsidR="00AA244F" w:rsidRPr="00DC7A14" w:rsidRDefault="00AA244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236D1" w:rsidRPr="00DC7A14">
        <w:rPr>
          <w:rFonts w:ascii="Times New Roman" w:hAnsi="Times New Roman" w:cs="Times New Roman"/>
          <w:sz w:val="19"/>
          <w:szCs w:val="19"/>
        </w:rPr>
        <w:t>Ibid 75 (</w:t>
      </w:r>
      <w:r w:rsidRPr="00DC7A14">
        <w:rPr>
          <w:rFonts w:ascii="Times New Roman" w:hAnsi="Times New Roman" w:cs="Times New Roman"/>
          <w:sz w:val="19"/>
          <w:szCs w:val="19"/>
        </w:rPr>
        <w:t>rec</w:t>
      </w:r>
      <w:r w:rsidR="003236D1" w:rsidRPr="00DC7A14">
        <w:rPr>
          <w:rFonts w:ascii="Times New Roman" w:hAnsi="Times New Roman" w:cs="Times New Roman"/>
          <w:sz w:val="19"/>
          <w:szCs w:val="19"/>
        </w:rPr>
        <w:t xml:space="preserve">ommendation </w:t>
      </w:r>
      <w:r w:rsidRPr="00DC7A14">
        <w:rPr>
          <w:rFonts w:ascii="Times New Roman" w:hAnsi="Times New Roman" w:cs="Times New Roman"/>
          <w:sz w:val="19"/>
          <w:szCs w:val="19"/>
        </w:rPr>
        <w:t>33).</w:t>
      </w:r>
    </w:p>
  </w:footnote>
  <w:footnote w:id="198">
    <w:p w14:paraId="56847F77" w14:textId="654C469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236D1" w:rsidRPr="00DC7A14">
        <w:rPr>
          <w:rFonts w:ascii="Times New Roman" w:hAnsi="Times New Roman" w:cs="Times New Roman"/>
          <w:sz w:val="19"/>
          <w:szCs w:val="19"/>
        </w:rPr>
        <w:t xml:space="preserve">Ibid </w:t>
      </w:r>
      <w:r w:rsidR="003236D1" w:rsidRPr="00DC7A14">
        <w:rPr>
          <w:rFonts w:ascii="Times New Roman" w:hAnsi="Times New Roman" w:cs="Times New Roman"/>
          <w:iCs/>
          <w:sz w:val="19"/>
          <w:szCs w:val="19"/>
        </w:rPr>
        <w:t>80 (</w:t>
      </w:r>
      <w:r w:rsidRPr="00DC7A14">
        <w:rPr>
          <w:rFonts w:ascii="Times New Roman" w:hAnsi="Times New Roman" w:cs="Times New Roman"/>
          <w:sz w:val="19"/>
          <w:szCs w:val="19"/>
        </w:rPr>
        <w:t>rec</w:t>
      </w:r>
      <w:r w:rsidR="003236D1" w:rsidRPr="00DC7A14">
        <w:rPr>
          <w:rFonts w:ascii="Times New Roman" w:hAnsi="Times New Roman" w:cs="Times New Roman"/>
          <w:sz w:val="19"/>
          <w:szCs w:val="19"/>
        </w:rPr>
        <w:t>ommendation</w:t>
      </w:r>
      <w:r w:rsidRPr="00DC7A14">
        <w:rPr>
          <w:rFonts w:ascii="Times New Roman" w:hAnsi="Times New Roman" w:cs="Times New Roman"/>
          <w:sz w:val="19"/>
          <w:szCs w:val="19"/>
        </w:rPr>
        <w:t xml:space="preserve"> 36).</w:t>
      </w:r>
    </w:p>
  </w:footnote>
  <w:footnote w:id="199">
    <w:p w14:paraId="18995F69" w14:textId="53A84F87" w:rsidR="00851A85" w:rsidRPr="00DC7A14" w:rsidRDefault="00851A85" w:rsidP="00851A8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9940AB"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69</w:t>
      </w:r>
      <w:r w:rsidR="009940AB" w:rsidRPr="00DC7A14">
        <w:rPr>
          <w:rFonts w:ascii="Times New Roman" w:hAnsi="Times New Roman" w:cs="Times New Roman"/>
          <w:sz w:val="19"/>
          <w:szCs w:val="19"/>
        </w:rPr>
        <w:t>.</w:t>
      </w:r>
    </w:p>
  </w:footnote>
  <w:footnote w:id="200">
    <w:p w14:paraId="68045C32" w14:textId="7777777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1988</w:t>
      </w:r>
      <w:r w:rsidRPr="00DC7A14">
        <w:rPr>
          <w:rFonts w:ascii="Times New Roman" w:hAnsi="Times New Roman" w:cs="Times New Roman"/>
          <w:sz w:val="19"/>
          <w:szCs w:val="19"/>
        </w:rPr>
        <w:t xml:space="preserve"> (NSW) s 9.</w:t>
      </w:r>
    </w:p>
  </w:footnote>
  <w:footnote w:id="201">
    <w:p w14:paraId="0A51DD7B" w14:textId="03AEF3FA"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145F2" w:rsidRPr="00DC7A14">
        <w:rPr>
          <w:rFonts w:ascii="Times New Roman" w:hAnsi="Times New Roman" w:cs="Times New Roman"/>
          <w:sz w:val="19"/>
          <w:szCs w:val="19"/>
        </w:rPr>
        <w:t>ACCC</w:t>
      </w:r>
      <w:r w:rsidR="009045F7">
        <w:rPr>
          <w:rFonts w:ascii="Times New Roman" w:hAnsi="Times New Roman" w:cs="Times New Roman"/>
          <w:sz w:val="19"/>
          <w:szCs w:val="19"/>
        </w:rPr>
        <w:t xml:space="preserve">, </w:t>
      </w:r>
      <w:r w:rsidR="009045F7" w:rsidRPr="00DC7A14">
        <w:rPr>
          <w:rFonts w:ascii="Times New Roman" w:hAnsi="Times New Roman" w:cs="Times New Roman"/>
          <w:i/>
          <w:iCs/>
          <w:sz w:val="19"/>
          <w:szCs w:val="19"/>
        </w:rPr>
        <w:t>Digital Platforms Inquiry</w:t>
      </w:r>
      <w:r w:rsidR="00D145F2" w:rsidRPr="00DC7A14">
        <w:rPr>
          <w:rFonts w:ascii="Times New Roman" w:hAnsi="Times New Roman" w:cs="Times New Roman"/>
          <w:sz w:val="19"/>
          <w:szCs w:val="19"/>
        </w:rPr>
        <w:t xml:space="preserve"> (n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00D145F2"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468. The ACCC drew on </w:t>
      </w:r>
      <w:r w:rsidR="00DE7E2A" w:rsidRPr="00DC7A14">
        <w:rPr>
          <w:rFonts w:ascii="Times New Roman" w:hAnsi="Times New Roman" w:cs="Times New Roman"/>
          <w:sz w:val="19"/>
          <w:szCs w:val="19"/>
        </w:rPr>
        <w:t xml:space="preserve">article 8 of the </w:t>
      </w:r>
      <w:r w:rsidRPr="00DC7A14">
        <w:rPr>
          <w:rFonts w:ascii="Times New Roman" w:hAnsi="Times New Roman" w:cs="Times New Roman"/>
          <w:sz w:val="19"/>
          <w:szCs w:val="19"/>
        </w:rPr>
        <w:t xml:space="preserve">GDPR </w:t>
      </w:r>
      <w:r w:rsidR="00DE7E2A" w:rsidRPr="00DC7A14">
        <w:rPr>
          <w:rFonts w:ascii="Times New Roman" w:hAnsi="Times New Roman" w:cs="Times New Roman"/>
          <w:sz w:val="19"/>
          <w:szCs w:val="19"/>
        </w:rPr>
        <w:t xml:space="preserve">and also </w:t>
      </w:r>
      <w:r w:rsidRPr="00DC7A14">
        <w:rPr>
          <w:rFonts w:ascii="Times New Roman" w:hAnsi="Times New Roman" w:cs="Times New Roman"/>
          <w:sz w:val="19"/>
          <w:szCs w:val="19"/>
        </w:rPr>
        <w:t>the</w:t>
      </w:r>
      <w:r w:rsidR="00DE7E2A" w:rsidRPr="00DC7A14">
        <w:rPr>
          <w:rFonts w:ascii="Times New Roman" w:hAnsi="Times New Roman" w:cs="Times New Roman"/>
          <w:sz w:val="19"/>
          <w:szCs w:val="19"/>
        </w:rPr>
        <w:t xml:space="preserve"> United States’ </w:t>
      </w:r>
      <w:r w:rsidRPr="00DC7A14">
        <w:rPr>
          <w:rFonts w:ascii="Times New Roman" w:hAnsi="Times New Roman" w:cs="Times New Roman"/>
          <w:i/>
          <w:iCs/>
          <w:sz w:val="19"/>
          <w:szCs w:val="19"/>
        </w:rPr>
        <w:t>Children’s Online Privacy Protection Act 1998</w:t>
      </w:r>
      <w:r w:rsidR="00F60CDC"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15 USC </w:t>
      </w:r>
      <w:hyperlink r:id="rId11" w:history="1">
        <w:r w:rsidRPr="00DC7A14">
          <w:rPr>
            <w:rStyle w:val="Hyperlink"/>
            <w:rFonts w:ascii="Times New Roman" w:hAnsi="Times New Roman" w:cs="Times New Roman"/>
            <w:sz w:val="19"/>
            <w:szCs w:val="19"/>
          </w:rPr>
          <w:t>§§ 6501</w:t>
        </w:r>
      </w:hyperlink>
      <w:r w:rsidRPr="00DC7A14">
        <w:rPr>
          <w:rFonts w:ascii="Times New Roman" w:hAnsi="Times New Roman" w:cs="Times New Roman"/>
          <w:sz w:val="19"/>
          <w:szCs w:val="19"/>
        </w:rPr>
        <w:t>–</w:t>
      </w:r>
      <w:hyperlink r:id="rId12" w:history="1">
        <w:r w:rsidRPr="00DC7A14">
          <w:rPr>
            <w:rStyle w:val="Hyperlink"/>
            <w:rFonts w:ascii="Times New Roman" w:hAnsi="Times New Roman" w:cs="Times New Roman"/>
            <w:sz w:val="19"/>
            <w:szCs w:val="19"/>
          </w:rPr>
          <w:t>6506</w:t>
        </w:r>
      </w:hyperlink>
      <w:r w:rsidRPr="00DC7A14">
        <w:rPr>
          <w:rFonts w:ascii="Times New Roman" w:hAnsi="Times New Roman" w:cs="Times New Roman"/>
          <w:sz w:val="19"/>
          <w:szCs w:val="19"/>
        </w:rPr>
        <w:t xml:space="preserve"> (1998).</w:t>
      </w:r>
    </w:p>
  </w:footnote>
  <w:footnote w:id="202">
    <w:p w14:paraId="3579B465" w14:textId="46F87D4F" w:rsidR="00A31D04" w:rsidRPr="00DC7A14" w:rsidRDefault="00A31D0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C921CB" w:rsidRPr="00DC7A14">
        <w:rPr>
          <w:rFonts w:ascii="Times New Roman" w:hAnsi="Times New Roman" w:cs="Times New Roman"/>
          <w:sz w:val="19"/>
          <w:szCs w:val="19"/>
        </w:rPr>
        <w:t>ACCC</w:t>
      </w:r>
      <w:r w:rsidR="009045F7">
        <w:rPr>
          <w:rFonts w:ascii="Times New Roman" w:hAnsi="Times New Roman" w:cs="Times New Roman"/>
          <w:sz w:val="19"/>
          <w:szCs w:val="19"/>
        </w:rPr>
        <w:t xml:space="preserve">, </w:t>
      </w:r>
      <w:r w:rsidR="009045F7" w:rsidRPr="00DC7A14">
        <w:rPr>
          <w:rFonts w:ascii="Times New Roman" w:hAnsi="Times New Roman" w:cs="Times New Roman"/>
          <w:i/>
          <w:iCs/>
          <w:sz w:val="19"/>
          <w:szCs w:val="19"/>
        </w:rPr>
        <w:t>Digital Platforms Inquiry</w:t>
      </w:r>
      <w:r w:rsidR="00C921CB" w:rsidRPr="00DC7A14">
        <w:rPr>
          <w:rFonts w:ascii="Times New Roman" w:hAnsi="Times New Roman" w:cs="Times New Roman"/>
          <w:sz w:val="19"/>
          <w:szCs w:val="19"/>
        </w:rPr>
        <w:t xml:space="preserve"> (n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00C921CB" w:rsidRPr="00DC7A14">
        <w:rPr>
          <w:rFonts w:ascii="Times New Roman" w:hAnsi="Times New Roman" w:cs="Times New Roman"/>
          <w:sz w:val="19"/>
          <w:szCs w:val="19"/>
        </w:rPr>
        <w:t xml:space="preserve">) </w:t>
      </w:r>
      <w:r w:rsidR="008111FE" w:rsidRPr="00DC7A14">
        <w:rPr>
          <w:rFonts w:ascii="Times New Roman" w:hAnsi="Times New Roman" w:cs="Times New Roman"/>
          <w:sz w:val="19"/>
          <w:szCs w:val="19"/>
        </w:rPr>
        <w:t>468.</w:t>
      </w:r>
    </w:p>
  </w:footnote>
  <w:footnote w:id="203">
    <w:p w14:paraId="668845E8" w14:textId="724A8F15"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This recommendation reflects article 5(1)(a)</w:t>
      </w:r>
      <w:r w:rsidR="00C921CB" w:rsidRPr="00DC7A14">
        <w:rPr>
          <w:rFonts w:ascii="Times New Roman" w:hAnsi="Times New Roman" w:cs="Times New Roman"/>
          <w:sz w:val="19"/>
          <w:szCs w:val="19"/>
        </w:rPr>
        <w:t xml:space="preserve"> of the GDPR, which</w:t>
      </w:r>
      <w:r w:rsidRPr="00DC7A14">
        <w:rPr>
          <w:rFonts w:ascii="Times New Roman" w:hAnsi="Times New Roman" w:cs="Times New Roman"/>
          <w:sz w:val="19"/>
          <w:szCs w:val="19"/>
        </w:rPr>
        <w:t xml:space="preserve"> </w:t>
      </w:r>
      <w:r w:rsidR="00C921CB" w:rsidRPr="00DC7A14">
        <w:rPr>
          <w:rFonts w:ascii="Times New Roman" w:hAnsi="Times New Roman" w:cs="Times New Roman"/>
          <w:sz w:val="19"/>
          <w:szCs w:val="19"/>
        </w:rPr>
        <w:t xml:space="preserve">provides </w:t>
      </w:r>
      <w:r w:rsidRPr="00DC7A14">
        <w:rPr>
          <w:rFonts w:ascii="Times New Roman" w:hAnsi="Times New Roman" w:cs="Times New Roman"/>
          <w:sz w:val="19"/>
          <w:szCs w:val="19"/>
        </w:rPr>
        <w:t>for the fairness principle alongside</w:t>
      </w:r>
      <w:r w:rsidR="004555EA" w:rsidRPr="00DC7A14">
        <w:rPr>
          <w:rFonts w:ascii="Times New Roman" w:hAnsi="Times New Roman" w:cs="Times New Roman"/>
          <w:sz w:val="19"/>
          <w:szCs w:val="19"/>
        </w:rPr>
        <w:t xml:space="preserve"> principles </w:t>
      </w:r>
      <w:r w:rsidRPr="00DC7A14">
        <w:rPr>
          <w:rFonts w:ascii="Times New Roman" w:hAnsi="Times New Roman" w:cs="Times New Roman"/>
          <w:sz w:val="19"/>
          <w:szCs w:val="19"/>
        </w:rPr>
        <w:t>of lawfulness and transparency.</w:t>
      </w:r>
    </w:p>
  </w:footnote>
  <w:footnote w:id="204">
    <w:p w14:paraId="50A3A8E3" w14:textId="102357B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B46081" w:rsidRPr="00DC7A14">
        <w:rPr>
          <w:rFonts w:ascii="Times New Roman" w:hAnsi="Times New Roman" w:cs="Times New Roman"/>
          <w:sz w:val="19"/>
          <w:szCs w:val="19"/>
        </w:rPr>
        <w:t xml:space="preserve">, </w:t>
      </w:r>
      <w:r w:rsidR="00B46081"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B46081" w:rsidRPr="00DC7A14">
        <w:rPr>
          <w:rFonts w:ascii="Times New Roman" w:hAnsi="Times New Roman" w:cs="Times New Roman"/>
          <w:sz w:val="19"/>
          <w:szCs w:val="19"/>
        </w:rPr>
        <w:fldChar w:fldCharType="begin"/>
      </w:r>
      <w:r w:rsidR="00B46081" w:rsidRPr="00DC7A14">
        <w:rPr>
          <w:rFonts w:ascii="Times New Roman" w:hAnsi="Times New Roman" w:cs="Times New Roman"/>
          <w:sz w:val="19"/>
          <w:szCs w:val="19"/>
        </w:rPr>
        <w:instrText xml:space="preserve"> NOTEREF _Ref85809175 \h  \* MERGEFORMAT </w:instrText>
      </w:r>
      <w:r w:rsidR="00B46081" w:rsidRPr="00DC7A14">
        <w:rPr>
          <w:rFonts w:ascii="Times New Roman" w:hAnsi="Times New Roman" w:cs="Times New Roman"/>
          <w:sz w:val="19"/>
          <w:szCs w:val="19"/>
        </w:rPr>
      </w:r>
      <w:r w:rsidR="00B46081"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B46081" w:rsidRPr="00DC7A14">
        <w:rPr>
          <w:rFonts w:ascii="Times New Roman" w:hAnsi="Times New Roman" w:cs="Times New Roman"/>
          <w:sz w:val="19"/>
          <w:szCs w:val="19"/>
        </w:rPr>
        <w:fldChar w:fldCharType="end"/>
      </w:r>
      <w:r w:rsidRPr="00DC7A14">
        <w:rPr>
          <w:rFonts w:ascii="Times New Roman" w:hAnsi="Times New Roman" w:cs="Times New Roman"/>
          <w:sz w:val="19"/>
          <w:szCs w:val="19"/>
        </w:rPr>
        <w:t>) 86</w:t>
      </w:r>
      <w:r w:rsidR="00B46081" w:rsidRPr="00DC7A14">
        <w:rPr>
          <w:rFonts w:ascii="Times New Roman" w:hAnsi="Times New Roman" w:cs="Times New Roman"/>
          <w:sz w:val="19"/>
          <w:szCs w:val="19"/>
        </w:rPr>
        <w:t>–</w:t>
      </w:r>
      <w:r w:rsidRPr="00DC7A14">
        <w:rPr>
          <w:rFonts w:ascii="Times New Roman" w:hAnsi="Times New Roman" w:cs="Times New Roman"/>
          <w:sz w:val="19"/>
          <w:szCs w:val="19"/>
        </w:rPr>
        <w:t xml:space="preserve">7. </w:t>
      </w:r>
    </w:p>
  </w:footnote>
  <w:footnote w:id="205">
    <w:p w14:paraId="290D661D" w14:textId="3FC683C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C0F9D"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54</w:t>
      </w:r>
      <w:r w:rsidR="003C0F9D" w:rsidRPr="00DC7A14">
        <w:rPr>
          <w:rFonts w:ascii="Times New Roman" w:hAnsi="Times New Roman" w:cs="Times New Roman"/>
          <w:sz w:val="19"/>
          <w:szCs w:val="19"/>
        </w:rPr>
        <w:t>–</w:t>
      </w:r>
      <w:r w:rsidRPr="00DC7A14">
        <w:rPr>
          <w:rFonts w:ascii="Times New Roman" w:hAnsi="Times New Roman" w:cs="Times New Roman"/>
          <w:sz w:val="19"/>
          <w:szCs w:val="19"/>
        </w:rPr>
        <w:t>5 (recommendation 25).</w:t>
      </w:r>
    </w:p>
  </w:footnote>
  <w:footnote w:id="206">
    <w:p w14:paraId="11B86DA1" w14:textId="128E08E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164EF9">
        <w:rPr>
          <w:rFonts w:ascii="Times New Roman" w:hAnsi="Times New Roman" w:cs="Times New Roman"/>
          <w:sz w:val="19"/>
          <w:szCs w:val="19"/>
        </w:rPr>
        <w:t>GDPR</w:t>
      </w:r>
      <w:r w:rsidRPr="00DC7A14">
        <w:rPr>
          <w:rFonts w:ascii="Times New Roman" w:hAnsi="Times New Roman" w:cs="Times New Roman"/>
          <w:sz w:val="19"/>
          <w:szCs w:val="19"/>
        </w:rPr>
        <w:t xml:space="preserve"> </w:t>
      </w:r>
      <w:r w:rsidR="00D42CDB" w:rsidRPr="00DC7A14">
        <w:rPr>
          <w:rFonts w:ascii="Times New Roman" w:hAnsi="Times New Roman" w:cs="Times New Roman"/>
          <w:sz w:val="19"/>
          <w:szCs w:val="19"/>
        </w:rPr>
        <w:t xml:space="preserve">(n </w:t>
      </w:r>
      <w:r w:rsidR="00D42CDB" w:rsidRPr="00DC7A14">
        <w:rPr>
          <w:rFonts w:ascii="Times New Roman" w:hAnsi="Times New Roman" w:cs="Times New Roman"/>
          <w:sz w:val="19"/>
          <w:szCs w:val="19"/>
        </w:rPr>
        <w:fldChar w:fldCharType="begin"/>
      </w:r>
      <w:r w:rsidR="00D42CDB" w:rsidRPr="00DC7A14">
        <w:rPr>
          <w:rFonts w:ascii="Times New Roman" w:hAnsi="Times New Roman" w:cs="Times New Roman"/>
          <w:sz w:val="19"/>
          <w:szCs w:val="19"/>
        </w:rPr>
        <w:instrText xml:space="preserve"> NOTEREF _Ref91746333 \h  \* MERGEFORMAT </w:instrText>
      </w:r>
      <w:r w:rsidR="00D42CDB" w:rsidRPr="00DC7A14">
        <w:rPr>
          <w:rFonts w:ascii="Times New Roman" w:hAnsi="Times New Roman" w:cs="Times New Roman"/>
          <w:sz w:val="19"/>
          <w:szCs w:val="19"/>
        </w:rPr>
      </w:r>
      <w:r w:rsidR="00D42CDB"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D42CDB" w:rsidRPr="00DC7A14">
        <w:rPr>
          <w:rFonts w:ascii="Times New Roman" w:hAnsi="Times New Roman" w:cs="Times New Roman"/>
          <w:sz w:val="19"/>
          <w:szCs w:val="19"/>
        </w:rPr>
        <w:fldChar w:fldCharType="end"/>
      </w:r>
      <w:r w:rsidR="00D42CDB" w:rsidRPr="00DC7A14">
        <w:rPr>
          <w:rFonts w:ascii="Times New Roman" w:hAnsi="Times New Roman" w:cs="Times New Roman"/>
          <w:sz w:val="19"/>
          <w:szCs w:val="19"/>
        </w:rPr>
        <w:t>) a</w:t>
      </w:r>
      <w:r w:rsidRPr="00DC7A14">
        <w:rPr>
          <w:rFonts w:ascii="Times New Roman" w:hAnsi="Times New Roman" w:cs="Times New Roman"/>
          <w:sz w:val="19"/>
          <w:szCs w:val="19"/>
        </w:rPr>
        <w:t xml:space="preserve">rt 89 in relation to the requirements for archiving purposes. </w:t>
      </w:r>
    </w:p>
  </w:footnote>
  <w:footnote w:id="207">
    <w:p w14:paraId="738324E4" w14:textId="035DBFB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ACCC</w:t>
      </w:r>
      <w:r w:rsidR="009045F7">
        <w:rPr>
          <w:rFonts w:ascii="Times New Roman" w:hAnsi="Times New Roman" w:cs="Times New Roman"/>
          <w:sz w:val="19"/>
          <w:szCs w:val="19"/>
        </w:rPr>
        <w:t xml:space="preserve">, </w:t>
      </w:r>
      <w:r w:rsidR="009045F7" w:rsidRPr="00DC7A14">
        <w:rPr>
          <w:rFonts w:ascii="Times New Roman" w:hAnsi="Times New Roman" w:cs="Times New Roman"/>
          <w:i/>
          <w:iCs/>
          <w:sz w:val="19"/>
          <w:szCs w:val="19"/>
        </w:rPr>
        <w:t>Digital Platforms Inquiry</w:t>
      </w:r>
      <w:r w:rsidRPr="00DC7A14">
        <w:rPr>
          <w:rFonts w:ascii="Times New Roman" w:hAnsi="Times New Roman" w:cs="Times New Roman"/>
          <w:sz w:val="19"/>
          <w:szCs w:val="19"/>
        </w:rPr>
        <w:t xml:space="preserve"> (n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Pr="00DC7A14">
        <w:rPr>
          <w:rFonts w:ascii="Times New Roman" w:hAnsi="Times New Roman" w:cs="Times New Roman"/>
          <w:sz w:val="19"/>
          <w:szCs w:val="19"/>
        </w:rPr>
        <w:t>) 473.</w:t>
      </w:r>
    </w:p>
  </w:footnote>
  <w:footnote w:id="208">
    <w:p w14:paraId="092B3CB6" w14:textId="49F9B74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7F4E49"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7F4E49" w:rsidRPr="00DC7A14">
        <w:rPr>
          <w:rFonts w:ascii="Times New Roman" w:hAnsi="Times New Roman" w:cs="Times New Roman"/>
          <w:i/>
          <w:iCs/>
          <w:sz w:val="19"/>
          <w:szCs w:val="19"/>
        </w:rPr>
        <w:t>Submission to Privacy Act Review</w:t>
      </w:r>
      <w:r w:rsidR="007F4E49" w:rsidRPr="00DC7A14">
        <w:rPr>
          <w:rFonts w:ascii="Times New Roman" w:hAnsi="Times New Roman" w:cs="Times New Roman"/>
          <w:sz w:val="19"/>
          <w:szCs w:val="19"/>
        </w:rPr>
        <w:t xml:space="preserve"> (n </w:t>
      </w:r>
      <w:r w:rsidR="007F4E49" w:rsidRPr="00DC7A14">
        <w:rPr>
          <w:rFonts w:ascii="Times New Roman" w:hAnsi="Times New Roman" w:cs="Times New Roman"/>
          <w:sz w:val="19"/>
          <w:szCs w:val="19"/>
        </w:rPr>
        <w:fldChar w:fldCharType="begin"/>
      </w:r>
      <w:r w:rsidR="007F4E49" w:rsidRPr="00DC7A14">
        <w:rPr>
          <w:rFonts w:ascii="Times New Roman" w:hAnsi="Times New Roman" w:cs="Times New Roman"/>
          <w:sz w:val="19"/>
          <w:szCs w:val="19"/>
        </w:rPr>
        <w:instrText xml:space="preserve"> NOTEREF _Ref85809175 \h  \* MERGEFORMAT </w:instrText>
      </w:r>
      <w:r w:rsidR="007F4E49" w:rsidRPr="00DC7A14">
        <w:rPr>
          <w:rFonts w:ascii="Times New Roman" w:hAnsi="Times New Roman" w:cs="Times New Roman"/>
          <w:sz w:val="19"/>
          <w:szCs w:val="19"/>
        </w:rPr>
      </w:r>
      <w:r w:rsidR="007F4E49"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7F4E49" w:rsidRPr="00DC7A14">
        <w:rPr>
          <w:rFonts w:ascii="Times New Roman" w:hAnsi="Times New Roman" w:cs="Times New Roman"/>
          <w:sz w:val="19"/>
          <w:szCs w:val="19"/>
        </w:rPr>
        <w:fldChar w:fldCharType="end"/>
      </w:r>
      <w:r w:rsidR="00803EBC" w:rsidRPr="00DC7A14">
        <w:rPr>
          <w:rFonts w:ascii="Times New Roman" w:hAnsi="Times New Roman" w:cs="Times New Roman"/>
          <w:sz w:val="19"/>
          <w:szCs w:val="19"/>
        </w:rPr>
        <w:t>)</w:t>
      </w:r>
      <w:r w:rsidR="007F4E49" w:rsidRPr="00DC7A14">
        <w:rPr>
          <w:rFonts w:ascii="Times New Roman" w:hAnsi="Times New Roman" w:cs="Times New Roman"/>
          <w:sz w:val="19"/>
          <w:szCs w:val="19"/>
        </w:rPr>
        <w:t xml:space="preserve"> </w:t>
      </w:r>
      <w:r w:rsidRPr="00DC7A14">
        <w:rPr>
          <w:rFonts w:ascii="Times New Roman" w:hAnsi="Times New Roman" w:cs="Times New Roman"/>
          <w:sz w:val="19"/>
          <w:szCs w:val="19"/>
        </w:rPr>
        <w:t>52</w:t>
      </w:r>
      <w:r w:rsidR="007F4E49" w:rsidRPr="00DC7A14">
        <w:rPr>
          <w:rFonts w:ascii="Times New Roman" w:hAnsi="Times New Roman" w:cs="Times New Roman"/>
          <w:sz w:val="19"/>
          <w:szCs w:val="19"/>
        </w:rPr>
        <w:t>–</w:t>
      </w:r>
      <w:r w:rsidRPr="00DC7A14">
        <w:rPr>
          <w:rFonts w:ascii="Times New Roman" w:hAnsi="Times New Roman" w:cs="Times New Roman"/>
          <w:sz w:val="19"/>
          <w:szCs w:val="19"/>
        </w:rPr>
        <w:t>4.</w:t>
      </w:r>
    </w:p>
  </w:footnote>
  <w:footnote w:id="209">
    <w:p w14:paraId="3F93F9F7" w14:textId="0379C43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A2410D"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00A2410D" w:rsidRPr="00164EF9">
        <w:rPr>
          <w:rFonts w:ascii="Times New Roman" w:hAnsi="Times New Roman" w:cs="Times New Roman"/>
          <w:sz w:val="19"/>
          <w:szCs w:val="19"/>
        </w:rPr>
        <w:t>GDPR</w:t>
      </w:r>
      <w:r w:rsidR="00A2410D" w:rsidRPr="00DC7A14">
        <w:rPr>
          <w:rFonts w:ascii="Times New Roman" w:hAnsi="Times New Roman" w:cs="Times New Roman"/>
          <w:i/>
          <w:iCs/>
          <w:sz w:val="19"/>
          <w:szCs w:val="19"/>
        </w:rPr>
        <w:t xml:space="preserve"> </w:t>
      </w:r>
      <w:r w:rsidR="00A2410D" w:rsidRPr="00DC7A14">
        <w:rPr>
          <w:rFonts w:ascii="Times New Roman" w:hAnsi="Times New Roman" w:cs="Times New Roman"/>
          <w:sz w:val="19"/>
          <w:szCs w:val="19"/>
        </w:rPr>
        <w:t xml:space="preserve">(n </w:t>
      </w:r>
      <w:r w:rsidR="00A2410D" w:rsidRPr="00DC7A14">
        <w:rPr>
          <w:rFonts w:ascii="Times New Roman" w:hAnsi="Times New Roman" w:cs="Times New Roman"/>
          <w:sz w:val="19"/>
          <w:szCs w:val="19"/>
        </w:rPr>
        <w:fldChar w:fldCharType="begin"/>
      </w:r>
      <w:r w:rsidR="00A2410D" w:rsidRPr="00DC7A14">
        <w:rPr>
          <w:rFonts w:ascii="Times New Roman" w:hAnsi="Times New Roman" w:cs="Times New Roman"/>
          <w:sz w:val="19"/>
          <w:szCs w:val="19"/>
        </w:rPr>
        <w:instrText xml:space="preserve"> NOTEREF _Ref91746333 \h </w:instrText>
      </w:r>
      <w:r w:rsidR="008569E2" w:rsidRPr="00DC7A14">
        <w:rPr>
          <w:rFonts w:ascii="Times New Roman" w:hAnsi="Times New Roman" w:cs="Times New Roman"/>
          <w:sz w:val="19"/>
          <w:szCs w:val="19"/>
        </w:rPr>
        <w:instrText xml:space="preserve"> \* MERGEFORMAT </w:instrText>
      </w:r>
      <w:r w:rsidR="00A2410D" w:rsidRPr="00DC7A14">
        <w:rPr>
          <w:rFonts w:ascii="Times New Roman" w:hAnsi="Times New Roman" w:cs="Times New Roman"/>
          <w:sz w:val="19"/>
          <w:szCs w:val="19"/>
        </w:rPr>
      </w:r>
      <w:r w:rsidR="00A2410D"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A2410D" w:rsidRPr="00DC7A14">
        <w:rPr>
          <w:rFonts w:ascii="Times New Roman" w:hAnsi="Times New Roman" w:cs="Times New Roman"/>
          <w:sz w:val="19"/>
          <w:szCs w:val="19"/>
        </w:rPr>
        <w:fldChar w:fldCharType="end"/>
      </w:r>
      <w:r w:rsidR="00A2410D" w:rsidRPr="00DC7A14">
        <w:rPr>
          <w:rFonts w:ascii="Times New Roman" w:hAnsi="Times New Roman" w:cs="Times New Roman"/>
          <w:sz w:val="19"/>
          <w:szCs w:val="19"/>
        </w:rPr>
        <w:t>) art 4 (</w:t>
      </w:r>
      <w:r w:rsidRPr="00DC7A14">
        <w:rPr>
          <w:rFonts w:ascii="Times New Roman" w:hAnsi="Times New Roman" w:cs="Times New Roman"/>
          <w:sz w:val="19"/>
          <w:szCs w:val="19"/>
        </w:rPr>
        <w:t>definition of ‘profiling’</w:t>
      </w:r>
      <w:r w:rsidR="00A2410D"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210">
    <w:p w14:paraId="44183790" w14:textId="0B31AA7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AHRC</w:t>
      </w:r>
      <w:r w:rsidR="0073778A" w:rsidRPr="00DC7A14">
        <w:rPr>
          <w:rFonts w:ascii="Times New Roman" w:hAnsi="Times New Roman" w:cs="Times New Roman"/>
          <w:sz w:val="19"/>
          <w:szCs w:val="19"/>
        </w:rPr>
        <w:t xml:space="preserve">, </w:t>
      </w:r>
      <w:r w:rsidR="0073778A" w:rsidRPr="00DC7A14">
        <w:rPr>
          <w:rFonts w:ascii="Times New Roman" w:hAnsi="Times New Roman" w:cs="Times New Roman"/>
          <w:i/>
          <w:iCs/>
          <w:sz w:val="19"/>
          <w:szCs w:val="19"/>
        </w:rPr>
        <w:t>Human Rights and Technology Final Report</w:t>
      </w:r>
      <w:r w:rsidRPr="00DC7A14">
        <w:rPr>
          <w:rFonts w:ascii="Times New Roman" w:hAnsi="Times New Roman" w:cs="Times New Roman"/>
          <w:sz w:val="19"/>
          <w:szCs w:val="19"/>
        </w:rPr>
        <w:t xml:space="preserve"> (n </w:t>
      </w:r>
      <w:r w:rsidR="0073778A" w:rsidRPr="00DC7A14">
        <w:rPr>
          <w:rFonts w:ascii="Times New Roman" w:hAnsi="Times New Roman" w:cs="Times New Roman"/>
          <w:sz w:val="19"/>
          <w:szCs w:val="19"/>
        </w:rPr>
        <w:t>143</w:t>
      </w:r>
      <w:r w:rsidRPr="00DC7A14">
        <w:rPr>
          <w:rFonts w:ascii="Times New Roman" w:hAnsi="Times New Roman" w:cs="Times New Roman"/>
          <w:sz w:val="19"/>
          <w:szCs w:val="19"/>
        </w:rPr>
        <w:t>) ch 5.</w:t>
      </w:r>
    </w:p>
  </w:footnote>
  <w:footnote w:id="211">
    <w:p w14:paraId="16F8BD66" w14:textId="6CBCB36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73778A" w:rsidRPr="00DC7A14">
        <w:rPr>
          <w:rFonts w:ascii="Times New Roman" w:hAnsi="Times New Roman" w:cs="Times New Roman"/>
          <w:sz w:val="19"/>
          <w:szCs w:val="19"/>
        </w:rPr>
        <w:t>Ibid</w:t>
      </w:r>
      <w:r w:rsidR="00E67076" w:rsidRPr="00DC7A14">
        <w:rPr>
          <w:rFonts w:ascii="Times New Roman" w:hAnsi="Times New Roman" w:cs="Times New Roman"/>
          <w:sz w:val="19"/>
          <w:szCs w:val="19"/>
        </w:rPr>
        <w:t xml:space="preserve"> 55 (</w:t>
      </w:r>
      <w:r w:rsidRPr="00DC7A14">
        <w:rPr>
          <w:rFonts w:ascii="Times New Roman" w:hAnsi="Times New Roman" w:cs="Times New Roman"/>
          <w:sz w:val="19"/>
          <w:szCs w:val="19"/>
        </w:rPr>
        <w:t>recommendation 2</w:t>
      </w:r>
      <w:r w:rsidR="00E67076"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212">
    <w:p w14:paraId="50600723" w14:textId="65C330BF"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75E69" w:rsidRPr="00DC7A14">
        <w:rPr>
          <w:rFonts w:ascii="Times New Roman" w:hAnsi="Times New Roman" w:cs="Times New Roman"/>
          <w:sz w:val="19"/>
          <w:szCs w:val="19"/>
        </w:rPr>
        <w:t>Ibid 68 (</w:t>
      </w:r>
      <w:r w:rsidRPr="00DC7A14">
        <w:rPr>
          <w:rFonts w:ascii="Times New Roman" w:hAnsi="Times New Roman" w:cs="Times New Roman"/>
          <w:sz w:val="19"/>
          <w:szCs w:val="19"/>
        </w:rPr>
        <w:t>recommendation 8</w:t>
      </w:r>
      <w:r w:rsidR="00B75E69"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213">
    <w:p w14:paraId="16A13B36" w14:textId="71F565E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75E69" w:rsidRPr="00DC7A14">
        <w:rPr>
          <w:rFonts w:ascii="Times New Roman" w:hAnsi="Times New Roman" w:cs="Times New Roman"/>
          <w:sz w:val="19"/>
          <w:szCs w:val="19"/>
        </w:rPr>
        <w:t>Ibid 60</w:t>
      </w:r>
      <w:r w:rsidRPr="00DC7A14">
        <w:rPr>
          <w:rFonts w:ascii="Times New Roman" w:hAnsi="Times New Roman" w:cs="Times New Roman"/>
          <w:sz w:val="19"/>
          <w:szCs w:val="19"/>
        </w:rPr>
        <w:t xml:space="preserve"> </w:t>
      </w:r>
      <w:r w:rsidR="00B75E69" w:rsidRPr="00DC7A14">
        <w:rPr>
          <w:rFonts w:ascii="Times New Roman" w:hAnsi="Times New Roman" w:cs="Times New Roman"/>
          <w:sz w:val="19"/>
          <w:szCs w:val="19"/>
        </w:rPr>
        <w:t>(</w:t>
      </w:r>
      <w:r w:rsidRPr="00DC7A14">
        <w:rPr>
          <w:rFonts w:ascii="Times New Roman" w:hAnsi="Times New Roman" w:cs="Times New Roman"/>
          <w:sz w:val="19"/>
          <w:szCs w:val="19"/>
        </w:rPr>
        <w:t>recommendation 3</w:t>
      </w:r>
      <w:r w:rsidR="00B75E69"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214">
    <w:p w14:paraId="09832D94" w14:textId="32567CA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75E69"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w:t>
      </w:r>
      <w:r w:rsidR="00B75E69" w:rsidRPr="00DC7A14">
        <w:rPr>
          <w:rFonts w:ascii="Times New Roman" w:hAnsi="Times New Roman" w:cs="Times New Roman"/>
          <w:sz w:val="19"/>
          <w:szCs w:val="19"/>
        </w:rPr>
        <w:t>62 (</w:t>
      </w:r>
      <w:r w:rsidRPr="00DC7A14">
        <w:rPr>
          <w:rFonts w:ascii="Times New Roman" w:hAnsi="Times New Roman" w:cs="Times New Roman"/>
          <w:sz w:val="19"/>
          <w:szCs w:val="19"/>
        </w:rPr>
        <w:t>recommendation 5</w:t>
      </w:r>
      <w:r w:rsidR="00B75E69"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215">
    <w:p w14:paraId="4078F1AC" w14:textId="03FE1D9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18.</w:t>
      </w:r>
    </w:p>
  </w:footnote>
  <w:footnote w:id="216">
    <w:p w14:paraId="2BB57528" w14:textId="5BC083DA" w:rsidR="00073ED4" w:rsidRPr="00DC7A14" w:rsidRDefault="00073E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If the complaint is about the custodian refusing a request to amend personal information, the complainant only has 20 working days of them being notified of the refusal:</w:t>
      </w:r>
      <w:r w:rsidR="000C0779" w:rsidRPr="00DC7A14">
        <w:rPr>
          <w:rFonts w:ascii="Times New Roman" w:hAnsi="Times New Roman" w:cs="Times New Roman"/>
          <w:sz w:val="19"/>
          <w:szCs w:val="19"/>
        </w:rPr>
        <w:t xml:space="preserve"> ibid</w:t>
      </w:r>
      <w:r w:rsidRPr="00DC7A14">
        <w:rPr>
          <w:rFonts w:ascii="Times New Roman" w:hAnsi="Times New Roman" w:cs="Times New Roman"/>
          <w:sz w:val="19"/>
          <w:szCs w:val="19"/>
        </w:rPr>
        <w:t xml:space="preserve"> s 18(5).</w:t>
      </w:r>
    </w:p>
  </w:footnote>
  <w:footnote w:id="217">
    <w:p w14:paraId="1A8E1FC1" w14:textId="58BD9705" w:rsidR="00073ED4" w:rsidRPr="00DC7A14" w:rsidRDefault="00073E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18(1)–(2).</w:t>
      </w:r>
    </w:p>
  </w:footnote>
  <w:footnote w:id="218">
    <w:p w14:paraId="74821B5D" w14:textId="3AF8B42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19.</w:t>
      </w:r>
    </w:p>
  </w:footnote>
  <w:footnote w:id="219">
    <w:p w14:paraId="0B7DC4C3" w14:textId="290D3A03" w:rsidR="00073ED4" w:rsidRPr="00DC7A14" w:rsidRDefault="00073E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19(1A).</w:t>
      </w:r>
    </w:p>
  </w:footnote>
  <w:footnote w:id="220">
    <w:p w14:paraId="5BC4B668" w14:textId="00FD4FE3" w:rsidR="00073ED4" w:rsidRPr="00DC7A14" w:rsidRDefault="00073E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19(2).</w:t>
      </w:r>
    </w:p>
  </w:footnote>
  <w:footnote w:id="221">
    <w:p w14:paraId="2893C52F" w14:textId="72246A2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20.</w:t>
      </w:r>
    </w:p>
  </w:footnote>
  <w:footnote w:id="222">
    <w:p w14:paraId="251A6D4E" w14:textId="7A092B2A"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21.</w:t>
      </w:r>
    </w:p>
  </w:footnote>
  <w:footnote w:id="223">
    <w:p w14:paraId="17C0C7B5" w14:textId="4122CD8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Ombudsman Act 1978</w:t>
      </w:r>
      <w:r w:rsidRPr="00DC7A14">
        <w:rPr>
          <w:rFonts w:ascii="Times New Roman" w:hAnsi="Times New Roman" w:cs="Times New Roman"/>
          <w:sz w:val="19"/>
          <w:szCs w:val="19"/>
        </w:rPr>
        <w:t xml:space="preserve"> (Tas) s 23A.</w:t>
      </w:r>
    </w:p>
  </w:footnote>
  <w:footnote w:id="224">
    <w:p w14:paraId="0A3A13E9" w14:textId="47BF217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iCs/>
          <w:sz w:val="19"/>
          <w:szCs w:val="19"/>
        </w:rPr>
        <w:t xml:space="preserve">Ibid </w:t>
      </w:r>
      <w:r w:rsidRPr="00DC7A14">
        <w:rPr>
          <w:rFonts w:ascii="Times New Roman" w:hAnsi="Times New Roman" w:cs="Times New Roman"/>
          <w:sz w:val="19"/>
          <w:szCs w:val="19"/>
        </w:rPr>
        <w:t>s 25</w:t>
      </w:r>
    </w:p>
  </w:footnote>
  <w:footnote w:id="225">
    <w:p w14:paraId="6180FB6F" w14:textId="417B447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iCs/>
          <w:sz w:val="19"/>
          <w:szCs w:val="19"/>
        </w:rPr>
        <w:t>Ibid</w:t>
      </w:r>
      <w:r w:rsidRPr="00DC7A14">
        <w:rPr>
          <w:rFonts w:ascii="Times New Roman" w:hAnsi="Times New Roman" w:cs="Times New Roman"/>
          <w:sz w:val="19"/>
          <w:szCs w:val="19"/>
        </w:rPr>
        <w:t xml:space="preserve"> s 24</w:t>
      </w:r>
    </w:p>
  </w:footnote>
  <w:footnote w:id="226">
    <w:p w14:paraId="1A60BE51" w14:textId="4FBAAA9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19E4" w:rsidRPr="00DC7A14">
        <w:rPr>
          <w:rFonts w:ascii="Times New Roman" w:hAnsi="Times New Roman" w:cs="Times New Roman"/>
          <w:iCs/>
          <w:sz w:val="19"/>
          <w:szCs w:val="19"/>
        </w:rPr>
        <w:t xml:space="preserve">Ibid </w:t>
      </w:r>
      <w:r w:rsidRPr="00DC7A14">
        <w:rPr>
          <w:rFonts w:ascii="Times New Roman" w:hAnsi="Times New Roman" w:cs="Times New Roman"/>
          <w:iCs/>
          <w:sz w:val="19"/>
          <w:szCs w:val="19"/>
        </w:rPr>
        <w:t>s</w:t>
      </w:r>
      <w:r w:rsidRPr="00DC7A14">
        <w:rPr>
          <w:rFonts w:ascii="Times New Roman" w:hAnsi="Times New Roman" w:cs="Times New Roman"/>
          <w:sz w:val="19"/>
          <w:szCs w:val="19"/>
        </w:rPr>
        <w:t xml:space="preserve"> 23A(3).</w:t>
      </w:r>
    </w:p>
  </w:footnote>
  <w:footnote w:id="227">
    <w:p w14:paraId="4247B05F" w14:textId="191DB77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22.</w:t>
      </w:r>
    </w:p>
  </w:footnote>
  <w:footnote w:id="228">
    <w:p w14:paraId="054B209C" w14:textId="2D08880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F2B76" w:rsidRPr="008F2B76">
        <w:rPr>
          <w:rFonts w:ascii="Times New Roman" w:hAnsi="Times New Roman" w:cs="Times New Roman"/>
          <w:sz w:val="19"/>
          <w:szCs w:val="19"/>
        </w:rPr>
        <w:t xml:space="preserve">Ombudsman Tasmania, </w:t>
      </w:r>
      <w:r w:rsidR="008F2B76" w:rsidRPr="00164EF9">
        <w:rPr>
          <w:rFonts w:ascii="Times New Roman" w:hAnsi="Times New Roman" w:cs="Times New Roman"/>
          <w:i/>
          <w:iCs/>
          <w:sz w:val="19"/>
          <w:szCs w:val="19"/>
        </w:rPr>
        <w:t>Annual Report 2021–2022</w:t>
      </w:r>
      <w:r w:rsidR="008F2B76" w:rsidRPr="008F2B76">
        <w:rPr>
          <w:rFonts w:ascii="Times New Roman" w:hAnsi="Times New Roman" w:cs="Times New Roman"/>
          <w:sz w:val="19"/>
          <w:szCs w:val="19"/>
        </w:rPr>
        <w:t xml:space="preserve"> (Report, 202</w:t>
      </w:r>
      <w:r w:rsidR="008F2B76">
        <w:rPr>
          <w:rFonts w:ascii="Times New Roman" w:hAnsi="Times New Roman" w:cs="Times New Roman"/>
          <w:sz w:val="19"/>
          <w:szCs w:val="19"/>
        </w:rPr>
        <w:t>2</w:t>
      </w:r>
      <w:r w:rsidR="008F2B76" w:rsidRPr="008F2B76">
        <w:rPr>
          <w:rFonts w:ascii="Times New Roman" w:hAnsi="Times New Roman" w:cs="Times New Roman"/>
          <w:sz w:val="19"/>
          <w:szCs w:val="19"/>
        </w:rPr>
        <w:t xml:space="preserve">) &lt;https://www.ombudsman.tas.gov.au/__data/assets/pdf_file/0007/683251/Final-signed-Ombudsman-Annual-Report-2021-2022.PDF&gt; </w:t>
      </w:r>
      <w:r w:rsidRPr="00DC7A14">
        <w:rPr>
          <w:rFonts w:ascii="Times New Roman" w:hAnsi="Times New Roman" w:cs="Times New Roman"/>
          <w:sz w:val="19"/>
          <w:szCs w:val="19"/>
        </w:rPr>
        <w:t>1</w:t>
      </w:r>
      <w:r w:rsidR="008F2B76">
        <w:rPr>
          <w:rFonts w:ascii="Times New Roman" w:hAnsi="Times New Roman" w:cs="Times New Roman"/>
          <w:sz w:val="19"/>
          <w:szCs w:val="19"/>
        </w:rPr>
        <w:t>2</w:t>
      </w:r>
      <w:r w:rsidR="00AE19E4" w:rsidRPr="00DC7A14">
        <w:rPr>
          <w:rFonts w:ascii="Times New Roman" w:hAnsi="Times New Roman" w:cs="Times New Roman"/>
          <w:sz w:val="19"/>
          <w:szCs w:val="19"/>
        </w:rPr>
        <w:t>.</w:t>
      </w:r>
    </w:p>
  </w:footnote>
  <w:footnote w:id="229">
    <w:p w14:paraId="760D3CEB" w14:textId="67800152"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C3FB9" w:rsidRPr="00DC7A14">
        <w:rPr>
          <w:rFonts w:ascii="Times New Roman" w:hAnsi="Times New Roman" w:cs="Times New Roman"/>
          <w:sz w:val="19"/>
          <w:szCs w:val="19"/>
        </w:rPr>
        <w:t xml:space="preserve">See </w:t>
      </w:r>
      <w:r w:rsidRPr="00DC7A14">
        <w:rPr>
          <w:rFonts w:ascii="Times New Roman" w:hAnsi="Times New Roman" w:cs="Times New Roman"/>
          <w:sz w:val="19"/>
          <w:szCs w:val="19"/>
        </w:rPr>
        <w:t>PIPA s 21</w:t>
      </w:r>
      <w:r w:rsidR="002C3FB9" w:rsidRPr="00DC7A14">
        <w:rPr>
          <w:rFonts w:ascii="Times New Roman" w:hAnsi="Times New Roman" w:cs="Times New Roman"/>
          <w:sz w:val="19"/>
          <w:szCs w:val="19"/>
        </w:rPr>
        <w:t>, which</w:t>
      </w:r>
      <w:r w:rsidRPr="00DC7A14">
        <w:rPr>
          <w:rFonts w:ascii="Times New Roman" w:hAnsi="Times New Roman" w:cs="Times New Roman"/>
          <w:sz w:val="19"/>
          <w:szCs w:val="19"/>
        </w:rPr>
        <w:t xml:space="preserve"> provides for the Ombudsman to conduct an investigation into any general issue or matter under this Act</w:t>
      </w:r>
      <w:r w:rsidR="002C3FB9" w:rsidRPr="00DC7A14">
        <w:rPr>
          <w:rFonts w:ascii="Times New Roman" w:hAnsi="Times New Roman" w:cs="Times New Roman"/>
          <w:sz w:val="19"/>
          <w:szCs w:val="19"/>
        </w:rPr>
        <w:t>; however,</w:t>
      </w:r>
      <w:r w:rsidRPr="00DC7A14">
        <w:rPr>
          <w:rFonts w:ascii="Times New Roman" w:hAnsi="Times New Roman" w:cs="Times New Roman"/>
          <w:sz w:val="19"/>
          <w:szCs w:val="19"/>
        </w:rPr>
        <w:t xml:space="preserve"> there is no indication that this provision, </w:t>
      </w:r>
      <w:r w:rsidR="002C3FB9" w:rsidRPr="00DC7A14">
        <w:rPr>
          <w:rFonts w:ascii="Times New Roman" w:hAnsi="Times New Roman" w:cs="Times New Roman"/>
          <w:sz w:val="19"/>
          <w:szCs w:val="19"/>
        </w:rPr>
        <w:t>entitled</w:t>
      </w:r>
      <w:r w:rsidRPr="00DC7A14">
        <w:rPr>
          <w:rFonts w:ascii="Times New Roman" w:hAnsi="Times New Roman" w:cs="Times New Roman"/>
          <w:sz w:val="19"/>
          <w:szCs w:val="19"/>
        </w:rPr>
        <w:t xml:space="preserve"> ‘Dealing with complaints’, is intended to authorise investigations in the absence of a complaint. </w:t>
      </w:r>
      <w:r w:rsidR="00CC1FB3" w:rsidRPr="00DC7A14">
        <w:rPr>
          <w:rFonts w:ascii="Times New Roman" w:hAnsi="Times New Roman" w:cs="Times New Roman"/>
          <w:sz w:val="19"/>
          <w:szCs w:val="19"/>
        </w:rPr>
        <w:t>Cf</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Privacy Act 1988</w:t>
      </w:r>
      <w:r w:rsidRPr="00DC7A14">
        <w:rPr>
          <w:rFonts w:ascii="Times New Roman" w:hAnsi="Times New Roman" w:cs="Times New Roman"/>
          <w:sz w:val="19"/>
          <w:szCs w:val="19"/>
        </w:rPr>
        <w:t xml:space="preserve"> (Cth) s 40(2). </w:t>
      </w:r>
    </w:p>
  </w:footnote>
  <w:footnote w:id="230">
    <w:p w14:paraId="6BA52322" w14:textId="0F479B9C" w:rsidR="00D761C6" w:rsidRPr="00DC7A14" w:rsidRDefault="00D761C6" w:rsidP="00B2786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i/>
          <w:iCs/>
          <w:sz w:val="19"/>
          <w:szCs w:val="19"/>
        </w:rPr>
        <w:t>Ombudsman Act 1978</w:t>
      </w:r>
      <w:r w:rsidR="00757B45" w:rsidRPr="00DC7A14">
        <w:rPr>
          <w:rFonts w:ascii="Times New Roman" w:hAnsi="Times New Roman" w:cs="Times New Roman"/>
          <w:sz w:val="19"/>
          <w:szCs w:val="19"/>
        </w:rPr>
        <w:t xml:space="preserve"> (Tas) s 12</w:t>
      </w:r>
      <w:r w:rsidRPr="00DC7A14">
        <w:rPr>
          <w:rFonts w:ascii="Times New Roman" w:hAnsi="Times New Roman" w:cs="Times New Roman"/>
          <w:sz w:val="19"/>
          <w:szCs w:val="19"/>
        </w:rPr>
        <w:t>.</w:t>
      </w:r>
    </w:p>
  </w:footnote>
  <w:footnote w:id="231">
    <w:p w14:paraId="40DAE62E" w14:textId="49296C9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Under s 33(3) of the </w:t>
      </w:r>
      <w:r w:rsidRPr="00DC7A14">
        <w:rPr>
          <w:rFonts w:ascii="Times New Roman" w:hAnsi="Times New Roman" w:cs="Times New Roman"/>
          <w:i/>
          <w:iCs/>
          <w:sz w:val="19"/>
          <w:szCs w:val="19"/>
        </w:rPr>
        <w:t>Ombudsman Act 1978</w:t>
      </w:r>
      <w:r w:rsidRPr="00DC7A14">
        <w:rPr>
          <w:rFonts w:ascii="Times New Roman" w:hAnsi="Times New Roman" w:cs="Times New Roman"/>
          <w:sz w:val="19"/>
          <w:szCs w:val="19"/>
        </w:rPr>
        <w:t xml:space="preserve"> (Tas), an injunction is not to be issued, and an order of review is not to be made under the </w:t>
      </w:r>
      <w:r w:rsidRPr="00DC7A14">
        <w:rPr>
          <w:rFonts w:ascii="Times New Roman" w:hAnsi="Times New Roman" w:cs="Times New Roman"/>
          <w:i/>
          <w:iCs/>
          <w:sz w:val="19"/>
          <w:szCs w:val="19"/>
        </w:rPr>
        <w:t>Judicial Review Act 2000</w:t>
      </w:r>
      <w:r w:rsidRPr="00DC7A14">
        <w:rPr>
          <w:rFonts w:ascii="Times New Roman" w:hAnsi="Times New Roman" w:cs="Times New Roman"/>
          <w:sz w:val="19"/>
          <w:szCs w:val="19"/>
        </w:rPr>
        <w:t xml:space="preserve"> (Tas),</w:t>
      </w:r>
      <w:r w:rsidR="000769AB" w:rsidRPr="00DC7A14">
        <w:rPr>
          <w:rFonts w:ascii="Times New Roman" w:hAnsi="Times New Roman" w:cs="Times New Roman"/>
          <w:sz w:val="19"/>
          <w:szCs w:val="19"/>
        </w:rPr>
        <w:t xml:space="preserve"> if these would restrain </w:t>
      </w:r>
      <w:r w:rsidRPr="00DC7A14">
        <w:rPr>
          <w:rFonts w:ascii="Times New Roman" w:hAnsi="Times New Roman" w:cs="Times New Roman"/>
          <w:sz w:val="19"/>
          <w:szCs w:val="19"/>
        </w:rPr>
        <w:t>the Ombudsman from carrying out, or compelling the Ombudsman to carry out, any investigation under this or any other Act.</w:t>
      </w:r>
    </w:p>
  </w:footnote>
  <w:footnote w:id="232">
    <w:p w14:paraId="0D45F82B" w14:textId="77777777" w:rsidR="00F47751" w:rsidRPr="00DC7A14" w:rsidRDefault="00F47751" w:rsidP="00F4775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eg, </w:t>
      </w:r>
      <w:r w:rsidRPr="00DC7A14">
        <w:rPr>
          <w:rFonts w:ascii="Times New Roman" w:hAnsi="Times New Roman" w:cs="Times New Roman"/>
          <w:i/>
          <w:sz w:val="19"/>
          <w:szCs w:val="19"/>
        </w:rPr>
        <w:t>Privacy Act 1988</w:t>
      </w:r>
      <w:r w:rsidRPr="00DC7A14">
        <w:rPr>
          <w:rFonts w:ascii="Times New Roman" w:hAnsi="Times New Roman" w:cs="Times New Roman"/>
          <w:sz w:val="19"/>
          <w:szCs w:val="19"/>
        </w:rPr>
        <w:t xml:space="preserve"> (Cth) s 96; </w:t>
      </w:r>
      <w:r w:rsidRPr="00DC7A14">
        <w:rPr>
          <w:rFonts w:ascii="Times New Roman" w:hAnsi="Times New Roman" w:cs="Times New Roman"/>
          <w:i/>
          <w:sz w:val="19"/>
          <w:szCs w:val="19"/>
        </w:rPr>
        <w:t>Privacy and Personal Information Protection Act 1988</w:t>
      </w:r>
      <w:r w:rsidRPr="00DC7A14">
        <w:rPr>
          <w:rFonts w:ascii="Times New Roman" w:hAnsi="Times New Roman" w:cs="Times New Roman"/>
          <w:sz w:val="19"/>
          <w:szCs w:val="19"/>
        </w:rPr>
        <w:t xml:space="preserve"> (NSW) s 3; </w:t>
      </w:r>
      <w:r w:rsidRPr="00DC7A14">
        <w:rPr>
          <w:rFonts w:ascii="Times New Roman" w:hAnsi="Times New Roman" w:cs="Times New Roman"/>
          <w:i/>
          <w:sz w:val="19"/>
          <w:szCs w:val="19"/>
        </w:rPr>
        <w:t>Privacy and Data Protection Act 2014</w:t>
      </w:r>
      <w:r w:rsidRPr="00DC7A14">
        <w:rPr>
          <w:rFonts w:ascii="Times New Roman" w:hAnsi="Times New Roman" w:cs="Times New Roman"/>
          <w:sz w:val="19"/>
          <w:szCs w:val="19"/>
        </w:rPr>
        <w:t xml:space="preserve"> (Vic) pt 3 div 8.5.</w:t>
      </w:r>
    </w:p>
  </w:footnote>
  <w:footnote w:id="233">
    <w:p w14:paraId="052D9967" w14:textId="3B56AAD0"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Protection Act 1988</w:t>
      </w:r>
      <w:r w:rsidRPr="00DC7A14">
        <w:rPr>
          <w:rFonts w:ascii="Times New Roman" w:hAnsi="Times New Roman" w:cs="Times New Roman"/>
          <w:sz w:val="19"/>
          <w:szCs w:val="19"/>
        </w:rPr>
        <w:t xml:space="preserve"> (NSW) s 53(7)(c) provides for internal review by the agency in question</w:t>
      </w:r>
      <w:r w:rsidR="00144795" w:rsidRPr="00DC7A14">
        <w:rPr>
          <w:rFonts w:ascii="Times New Roman" w:hAnsi="Times New Roman" w:cs="Times New Roman"/>
          <w:sz w:val="19"/>
          <w:szCs w:val="19"/>
        </w:rPr>
        <w:t>. This review</w:t>
      </w:r>
      <w:r w:rsidRPr="00DC7A14">
        <w:rPr>
          <w:rFonts w:ascii="Times New Roman" w:hAnsi="Times New Roman" w:cs="Times New Roman"/>
          <w:sz w:val="19"/>
          <w:szCs w:val="19"/>
        </w:rPr>
        <w:t xml:space="preserve"> may </w:t>
      </w:r>
      <w:r w:rsidR="00144795" w:rsidRPr="00DC7A14">
        <w:rPr>
          <w:rFonts w:ascii="Times New Roman" w:hAnsi="Times New Roman" w:cs="Times New Roman"/>
          <w:sz w:val="19"/>
          <w:szCs w:val="19"/>
        </w:rPr>
        <w:t xml:space="preserve">in turn </w:t>
      </w:r>
      <w:r w:rsidRPr="00DC7A14">
        <w:rPr>
          <w:rFonts w:ascii="Times New Roman" w:hAnsi="Times New Roman" w:cs="Times New Roman"/>
          <w:sz w:val="19"/>
          <w:szCs w:val="19"/>
        </w:rPr>
        <w:t>be reviewed by the NSW Civil and Administrative Tribunal (NCAT)</w:t>
      </w:r>
      <w:r w:rsidR="00144795"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2F0048" w:rsidRPr="00DC7A14">
        <w:rPr>
          <w:rFonts w:ascii="Times New Roman" w:hAnsi="Times New Roman" w:cs="Times New Roman"/>
          <w:i/>
          <w:iCs/>
          <w:sz w:val="19"/>
          <w:szCs w:val="19"/>
        </w:rPr>
        <w:t>Privacy and Personal Protection Act 1988</w:t>
      </w:r>
      <w:r w:rsidR="002F0048" w:rsidRPr="00DC7A14">
        <w:rPr>
          <w:rFonts w:ascii="Times New Roman" w:hAnsi="Times New Roman" w:cs="Times New Roman"/>
          <w:sz w:val="19"/>
          <w:szCs w:val="19"/>
        </w:rPr>
        <w:t xml:space="preserve"> (NSW) </w:t>
      </w:r>
      <w:r w:rsidRPr="00DC7A14">
        <w:rPr>
          <w:rFonts w:ascii="Times New Roman" w:hAnsi="Times New Roman" w:cs="Times New Roman"/>
          <w:sz w:val="19"/>
          <w:szCs w:val="19"/>
        </w:rPr>
        <w:t>s 55. NCAT is able to make an order of up to $40,000 by way of compensation for any loss or damage suffered because of the conduct.</w:t>
      </w:r>
    </w:p>
  </w:footnote>
  <w:footnote w:id="234">
    <w:p w14:paraId="3296D669" w14:textId="395354E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77(1)(a) allows the Victorian Civil and Administrative Tribunal, after reference by the Information Commissioner where a complaint about a breach of privacy has not been able to be conciliated, to make an order not exceeding $100,000 </w:t>
      </w:r>
      <w:r w:rsidR="001D12D5" w:rsidRPr="00DC7A14">
        <w:rPr>
          <w:rFonts w:ascii="Times New Roman" w:hAnsi="Times New Roman" w:cs="Times New Roman"/>
          <w:sz w:val="19"/>
          <w:szCs w:val="19"/>
        </w:rPr>
        <w:t>‘</w:t>
      </w:r>
      <w:r w:rsidRPr="00DC7A14">
        <w:rPr>
          <w:rFonts w:ascii="Times New Roman" w:hAnsi="Times New Roman" w:cs="Times New Roman"/>
          <w:sz w:val="19"/>
          <w:szCs w:val="19"/>
        </w:rPr>
        <w:t>by way of compensation for any loss or damage suffered by the complainant, including injury to the complainant's feelings or humiliation suffered by the complainant, by reason of the act or practice the subject of the complaint</w:t>
      </w:r>
      <w:r w:rsidR="001D12D5" w:rsidRPr="00DC7A14">
        <w:rPr>
          <w:rFonts w:ascii="Times New Roman" w:hAnsi="Times New Roman" w:cs="Times New Roman"/>
          <w:sz w:val="19"/>
          <w:szCs w:val="19"/>
        </w:rPr>
        <w:t>’.</w:t>
      </w:r>
    </w:p>
  </w:footnote>
  <w:footnote w:id="235">
    <w:p w14:paraId="2B682B28" w14:textId="29A5956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s 178(a)(v) allows the Queensland Civil and Administrative Tribunal, after a complaint has been referred by the Information Commissioner after mediation was not achieved, to award up to $100,000 </w:t>
      </w:r>
      <w:r w:rsidR="001D12D5" w:rsidRPr="00DC7A14">
        <w:rPr>
          <w:rFonts w:ascii="Times New Roman" w:hAnsi="Times New Roman" w:cs="Times New Roman"/>
          <w:sz w:val="19"/>
          <w:szCs w:val="19"/>
        </w:rPr>
        <w:t>‘</w:t>
      </w:r>
      <w:r w:rsidRPr="00DC7A14">
        <w:rPr>
          <w:rFonts w:ascii="Times New Roman" w:hAnsi="Times New Roman" w:cs="Times New Roman"/>
          <w:sz w:val="19"/>
          <w:szCs w:val="19"/>
        </w:rPr>
        <w:t>to compensate the complainant for loss or damage suffered by the complainant because of the act or practice complained of, including for any injury to the complainant’s feelings or humiliation suffered by the complainant</w:t>
      </w:r>
      <w:r w:rsidR="001D12D5" w:rsidRPr="00DC7A14">
        <w:rPr>
          <w:rFonts w:ascii="Times New Roman" w:hAnsi="Times New Roman" w:cs="Times New Roman"/>
          <w:sz w:val="19"/>
          <w:szCs w:val="19"/>
        </w:rPr>
        <w:t>’.</w:t>
      </w:r>
    </w:p>
  </w:footnote>
  <w:footnote w:id="236">
    <w:p w14:paraId="4C205251" w14:textId="77777777" w:rsidR="00BF3A90" w:rsidRPr="00DC7A14" w:rsidRDefault="00BF3A9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52(1)(b)(iii).</w:t>
      </w:r>
    </w:p>
  </w:footnote>
  <w:footnote w:id="237">
    <w:p w14:paraId="59EE2A26" w14:textId="2F464BC8" w:rsidR="00CF51C7" w:rsidRPr="00DC7A14" w:rsidRDefault="00CF51C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1D12D5"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52(1AB).</w:t>
      </w:r>
    </w:p>
  </w:footnote>
  <w:footnote w:id="238">
    <w:p w14:paraId="2137602E" w14:textId="6C9623E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60.</w:t>
      </w:r>
    </w:p>
  </w:footnote>
  <w:footnote w:id="239">
    <w:p w14:paraId="2187D59F" w14:textId="06E3D19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iCs/>
          <w:sz w:val="19"/>
          <w:szCs w:val="19"/>
        </w:rPr>
        <w:t>Annual Report 2018</w:t>
      </w:r>
      <w:r w:rsidR="00CB2D1A">
        <w:rPr>
          <w:rFonts w:ascii="Times New Roman" w:hAnsi="Times New Roman" w:cs="Times New Roman"/>
          <w:i/>
          <w:iCs/>
          <w:sz w:val="19"/>
          <w:szCs w:val="19"/>
        </w:rPr>
        <w:t>–</w:t>
      </w:r>
      <w:r w:rsidRPr="00DC7A14">
        <w:rPr>
          <w:rFonts w:ascii="Times New Roman" w:hAnsi="Times New Roman" w:cs="Times New Roman"/>
          <w:i/>
          <w:iCs/>
          <w:sz w:val="19"/>
          <w:szCs w:val="19"/>
        </w:rPr>
        <w:t>19</w:t>
      </w:r>
      <w:r w:rsidRPr="00DC7A14">
        <w:rPr>
          <w:rFonts w:ascii="Times New Roman" w:hAnsi="Times New Roman" w:cs="Times New Roman"/>
          <w:sz w:val="19"/>
          <w:szCs w:val="19"/>
        </w:rPr>
        <w:t xml:space="preserve"> (Report, September 2019) 161.</w:t>
      </w:r>
    </w:p>
  </w:footnote>
  <w:footnote w:id="240">
    <w:p w14:paraId="04E063C1" w14:textId="28DFDE6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13G. The remaining civil penalty provisions relate to the Credit Reporting protections in Part IIIA.</w:t>
      </w:r>
    </w:p>
  </w:footnote>
  <w:footnote w:id="241">
    <w:p w14:paraId="34B98883" w14:textId="4669768A" w:rsidR="00AA5D2C" w:rsidRPr="00DC7A14" w:rsidRDefault="00AA5D2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80U.</w:t>
      </w:r>
    </w:p>
  </w:footnote>
  <w:footnote w:id="242">
    <w:p w14:paraId="4759602D" w14:textId="3EA0A150" w:rsidR="00D3413B" w:rsidRPr="00DC7A14" w:rsidRDefault="00D3413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iCs/>
          <w:sz w:val="19"/>
          <w:szCs w:val="19"/>
        </w:rPr>
        <w:t xml:space="preserve">Guide to Privacy Regulatory Action </w:t>
      </w:r>
      <w:r w:rsidRPr="00DC7A14">
        <w:rPr>
          <w:rFonts w:ascii="Times New Roman" w:hAnsi="Times New Roman" w:cs="Times New Roman"/>
          <w:sz w:val="19"/>
          <w:szCs w:val="19"/>
        </w:rPr>
        <w:t>(</w:t>
      </w:r>
      <w:r w:rsidR="00D86AAC" w:rsidRPr="00DC7A14">
        <w:rPr>
          <w:rFonts w:ascii="Times New Roman" w:hAnsi="Times New Roman" w:cs="Times New Roman"/>
          <w:sz w:val="19"/>
          <w:szCs w:val="19"/>
        </w:rPr>
        <w:t>Guidance Document</w:t>
      </w:r>
      <w:r w:rsidRPr="00DC7A14">
        <w:rPr>
          <w:rFonts w:ascii="Times New Roman" w:hAnsi="Times New Roman" w:cs="Times New Roman"/>
          <w:sz w:val="19"/>
          <w:szCs w:val="19"/>
        </w:rPr>
        <w:t>, June 2020) ch 6 [6.17].</w:t>
      </w:r>
    </w:p>
  </w:footnote>
  <w:footnote w:id="243">
    <w:p w14:paraId="70539AAB" w14:textId="2A7B4AF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color w:val="000000" w:themeColor="text1"/>
          <w:sz w:val="19"/>
          <w:szCs w:val="19"/>
        </w:rPr>
        <w:t xml:space="preserve">Ibid s </w:t>
      </w:r>
      <w:r w:rsidR="007E175F" w:rsidRPr="00DC7A14">
        <w:rPr>
          <w:rFonts w:ascii="Times New Roman" w:hAnsi="Times New Roman" w:cs="Times New Roman"/>
          <w:color w:val="000000" w:themeColor="text1"/>
          <w:sz w:val="19"/>
          <w:szCs w:val="19"/>
        </w:rPr>
        <w:t>80W</w:t>
      </w:r>
      <w:r w:rsidRPr="00DC7A14">
        <w:rPr>
          <w:rFonts w:ascii="Times New Roman" w:hAnsi="Times New Roman" w:cs="Times New Roman"/>
          <w:sz w:val="19"/>
          <w:szCs w:val="19"/>
        </w:rPr>
        <w:t>.</w:t>
      </w:r>
    </w:p>
  </w:footnote>
  <w:footnote w:id="244">
    <w:p w14:paraId="5ADA2B54" w14:textId="2BB41A50"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80V.</w:t>
      </w:r>
    </w:p>
  </w:footnote>
  <w:footnote w:id="245">
    <w:p w14:paraId="104E0AB9" w14:textId="47DDA88C" w:rsidR="0020508B" w:rsidRPr="00DC7A14" w:rsidRDefault="002050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iCs/>
          <w:sz w:val="19"/>
          <w:szCs w:val="19"/>
        </w:rPr>
        <w:t xml:space="preserve">Guide to Privacy Regulatory Action </w:t>
      </w:r>
      <w:r w:rsidRPr="00DC7A14">
        <w:rPr>
          <w:rFonts w:ascii="Times New Roman" w:hAnsi="Times New Roman" w:cs="Times New Roman"/>
          <w:sz w:val="19"/>
          <w:szCs w:val="19"/>
        </w:rPr>
        <w:t>(</w:t>
      </w:r>
      <w:r w:rsidR="00D86AAC" w:rsidRPr="00DC7A14">
        <w:rPr>
          <w:rFonts w:ascii="Times New Roman" w:hAnsi="Times New Roman" w:cs="Times New Roman"/>
          <w:sz w:val="19"/>
          <w:szCs w:val="19"/>
        </w:rPr>
        <w:t xml:space="preserve">n </w:t>
      </w:r>
      <w:r w:rsidR="00A13273" w:rsidRPr="00DC7A14">
        <w:rPr>
          <w:rFonts w:ascii="Times New Roman" w:hAnsi="Times New Roman" w:cs="Times New Roman"/>
          <w:sz w:val="19"/>
          <w:szCs w:val="19"/>
        </w:rPr>
        <w:fldChar w:fldCharType="begin"/>
      </w:r>
      <w:r w:rsidR="00A13273" w:rsidRPr="00DC7A14">
        <w:rPr>
          <w:rFonts w:ascii="Times New Roman" w:hAnsi="Times New Roman" w:cs="Times New Roman"/>
          <w:sz w:val="19"/>
          <w:szCs w:val="19"/>
        </w:rPr>
        <w:instrText xml:space="preserve"> NOTEREF _Ref91831571 \h </w:instrText>
      </w:r>
      <w:r w:rsidR="008569E2" w:rsidRPr="00DC7A14">
        <w:rPr>
          <w:rFonts w:ascii="Times New Roman" w:hAnsi="Times New Roman" w:cs="Times New Roman"/>
          <w:sz w:val="19"/>
          <w:szCs w:val="19"/>
        </w:rPr>
        <w:instrText xml:space="preserve"> \* MERGEFORMAT </w:instrText>
      </w:r>
      <w:r w:rsidR="00A13273" w:rsidRPr="00DC7A14">
        <w:rPr>
          <w:rFonts w:ascii="Times New Roman" w:hAnsi="Times New Roman" w:cs="Times New Roman"/>
          <w:sz w:val="19"/>
          <w:szCs w:val="19"/>
        </w:rPr>
      </w:r>
      <w:r w:rsidR="00A1327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241</w:t>
      </w:r>
      <w:r w:rsidR="00A13273" w:rsidRPr="00DC7A14">
        <w:rPr>
          <w:rFonts w:ascii="Times New Roman" w:hAnsi="Times New Roman" w:cs="Times New Roman"/>
          <w:sz w:val="19"/>
          <w:szCs w:val="19"/>
        </w:rPr>
        <w:fldChar w:fldCharType="end"/>
      </w:r>
      <w:r w:rsidRPr="00DC7A14">
        <w:rPr>
          <w:rFonts w:ascii="Times New Roman" w:hAnsi="Times New Roman" w:cs="Times New Roman"/>
          <w:sz w:val="19"/>
          <w:szCs w:val="19"/>
        </w:rPr>
        <w:t xml:space="preserve">) ch 3. </w:t>
      </w:r>
    </w:p>
  </w:footnote>
  <w:footnote w:id="246">
    <w:p w14:paraId="1FB3F955" w14:textId="6537197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w:t>
      </w:r>
      <w:r w:rsidR="00D86AAC" w:rsidRPr="00DC7A14">
        <w:rPr>
          <w:rFonts w:ascii="Times New Roman" w:hAnsi="Times New Roman" w:cs="Times New Roman"/>
          <w:sz w:val="19"/>
          <w:szCs w:val="19"/>
        </w:rPr>
        <w:t xml:space="preserve">, </w:t>
      </w:r>
      <w:r w:rsidR="00D86AAC" w:rsidRPr="00DC7A14">
        <w:rPr>
          <w:rFonts w:ascii="Times New Roman" w:hAnsi="Times New Roman" w:cs="Times New Roman"/>
          <w:i/>
          <w:iCs/>
          <w:sz w:val="19"/>
          <w:szCs w:val="19"/>
        </w:rPr>
        <w:t>Submission to Privacy Act Review</w:t>
      </w:r>
      <w:r w:rsidRPr="00DC7A14">
        <w:rPr>
          <w:rFonts w:ascii="Times New Roman" w:hAnsi="Times New Roman" w:cs="Times New Roman"/>
          <w:sz w:val="19"/>
          <w:szCs w:val="19"/>
        </w:rPr>
        <w:t xml:space="preserve"> (n </w:t>
      </w:r>
      <w:r w:rsidR="00D86AAC" w:rsidRPr="00DC7A14">
        <w:rPr>
          <w:rFonts w:ascii="Times New Roman" w:hAnsi="Times New Roman" w:cs="Times New Roman"/>
          <w:sz w:val="19"/>
          <w:szCs w:val="19"/>
        </w:rPr>
        <w:fldChar w:fldCharType="begin"/>
      </w:r>
      <w:r w:rsidR="00D86AAC" w:rsidRPr="00DC7A14">
        <w:rPr>
          <w:rFonts w:ascii="Times New Roman" w:hAnsi="Times New Roman" w:cs="Times New Roman"/>
          <w:sz w:val="19"/>
          <w:szCs w:val="19"/>
        </w:rPr>
        <w:instrText xml:space="preserve"> NOTEREF _Ref85809175 \h  \* MERGEFORMAT </w:instrText>
      </w:r>
      <w:r w:rsidR="00D86AAC" w:rsidRPr="00DC7A14">
        <w:rPr>
          <w:rFonts w:ascii="Times New Roman" w:hAnsi="Times New Roman" w:cs="Times New Roman"/>
          <w:sz w:val="19"/>
          <w:szCs w:val="19"/>
        </w:rPr>
      </w:r>
      <w:r w:rsidR="00D86AAC"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D86AAC" w:rsidRPr="00DC7A14">
        <w:rPr>
          <w:rFonts w:ascii="Times New Roman" w:hAnsi="Times New Roman" w:cs="Times New Roman"/>
          <w:sz w:val="19"/>
          <w:szCs w:val="19"/>
        </w:rPr>
        <w:fldChar w:fldCharType="end"/>
      </w:r>
      <w:r w:rsidRPr="00DC7A14">
        <w:rPr>
          <w:rFonts w:ascii="Times New Roman" w:hAnsi="Times New Roman" w:cs="Times New Roman"/>
          <w:sz w:val="19"/>
          <w:szCs w:val="19"/>
        </w:rPr>
        <w:t xml:space="preserve">) 129. </w:t>
      </w:r>
    </w:p>
  </w:footnote>
  <w:footnote w:id="247">
    <w:p w14:paraId="5AAA8395" w14:textId="2EA5EA8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78. </w:t>
      </w:r>
    </w:p>
  </w:footnote>
  <w:footnote w:id="248">
    <w:p w14:paraId="227394DE" w14:textId="77777777" w:rsidR="00BC2E82" w:rsidRPr="00DC7A14" w:rsidRDefault="00BC2E82" w:rsidP="00BC2E8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82.</w:t>
      </w:r>
    </w:p>
  </w:footnote>
  <w:footnote w:id="249">
    <w:p w14:paraId="6F96D6BE" w14:textId="2E23BE9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83.</w:t>
      </w:r>
    </w:p>
  </w:footnote>
  <w:footnote w:id="250">
    <w:p w14:paraId="53483FA2" w14:textId="4E0E29B8" w:rsidR="000003C7" w:rsidRPr="00DC7A14" w:rsidRDefault="000003C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Act 1988 </w:t>
      </w:r>
      <w:r w:rsidRPr="00DC7A14">
        <w:rPr>
          <w:rFonts w:ascii="Times New Roman" w:hAnsi="Times New Roman" w:cs="Times New Roman"/>
          <w:sz w:val="19"/>
          <w:szCs w:val="19"/>
        </w:rPr>
        <w:t>(Cth) s 96.</w:t>
      </w:r>
    </w:p>
  </w:footnote>
  <w:footnote w:id="251">
    <w:p w14:paraId="30751E37" w14:textId="79D4154E" w:rsidR="000003C7" w:rsidRPr="00DC7A14" w:rsidRDefault="000003C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Administrative Decisions (Judicial Review) Act 1977</w:t>
      </w:r>
      <w:r w:rsidRPr="00DC7A14">
        <w:rPr>
          <w:rFonts w:ascii="Times New Roman" w:hAnsi="Times New Roman" w:cs="Times New Roman"/>
          <w:sz w:val="19"/>
          <w:szCs w:val="19"/>
        </w:rPr>
        <w:t xml:space="preserve"> (Cth) s 5; </w:t>
      </w:r>
      <w:r w:rsidR="00D86AAC" w:rsidRPr="00DC7A14">
        <w:rPr>
          <w:rFonts w:ascii="Times New Roman" w:hAnsi="Times New Roman" w:cs="Times New Roman"/>
          <w:sz w:val="19"/>
          <w:szCs w:val="19"/>
        </w:rPr>
        <w:t xml:space="preserve">OAIC, </w:t>
      </w:r>
      <w:r w:rsidR="00D86AAC" w:rsidRPr="00DC7A14">
        <w:rPr>
          <w:rFonts w:ascii="Times New Roman" w:hAnsi="Times New Roman" w:cs="Times New Roman"/>
          <w:i/>
          <w:iCs/>
          <w:sz w:val="19"/>
          <w:szCs w:val="19"/>
        </w:rPr>
        <w:t xml:space="preserve">Guide to Privacy Regulatory Action </w:t>
      </w:r>
      <w:r w:rsidR="00D86AAC" w:rsidRPr="00DC7A14">
        <w:rPr>
          <w:rFonts w:ascii="Times New Roman" w:hAnsi="Times New Roman" w:cs="Times New Roman"/>
          <w:sz w:val="19"/>
          <w:szCs w:val="19"/>
        </w:rPr>
        <w:t xml:space="preserve">(n </w:t>
      </w:r>
      <w:r w:rsidR="00A13273" w:rsidRPr="00DC7A14">
        <w:rPr>
          <w:rFonts w:ascii="Times New Roman" w:hAnsi="Times New Roman" w:cs="Times New Roman"/>
          <w:sz w:val="19"/>
          <w:szCs w:val="19"/>
        </w:rPr>
        <w:fldChar w:fldCharType="begin"/>
      </w:r>
      <w:r w:rsidR="00A13273" w:rsidRPr="00DC7A14">
        <w:rPr>
          <w:rFonts w:ascii="Times New Roman" w:hAnsi="Times New Roman" w:cs="Times New Roman"/>
          <w:sz w:val="19"/>
          <w:szCs w:val="19"/>
        </w:rPr>
        <w:instrText xml:space="preserve"> NOTEREF _Ref91831571 \h </w:instrText>
      </w:r>
      <w:r w:rsidR="008569E2" w:rsidRPr="00DC7A14">
        <w:rPr>
          <w:rFonts w:ascii="Times New Roman" w:hAnsi="Times New Roman" w:cs="Times New Roman"/>
          <w:sz w:val="19"/>
          <w:szCs w:val="19"/>
        </w:rPr>
        <w:instrText xml:space="preserve"> \* MERGEFORMAT </w:instrText>
      </w:r>
      <w:r w:rsidR="00A13273" w:rsidRPr="00DC7A14">
        <w:rPr>
          <w:rFonts w:ascii="Times New Roman" w:hAnsi="Times New Roman" w:cs="Times New Roman"/>
          <w:sz w:val="19"/>
          <w:szCs w:val="19"/>
        </w:rPr>
      </w:r>
      <w:r w:rsidR="00A1327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241</w:t>
      </w:r>
      <w:r w:rsidR="00A13273" w:rsidRPr="00DC7A14">
        <w:rPr>
          <w:rFonts w:ascii="Times New Roman" w:hAnsi="Times New Roman" w:cs="Times New Roman"/>
          <w:sz w:val="19"/>
          <w:szCs w:val="19"/>
        </w:rPr>
        <w:fldChar w:fldCharType="end"/>
      </w:r>
      <w:r w:rsidR="00D86AAC" w:rsidRPr="00DC7A14">
        <w:rPr>
          <w:rFonts w:ascii="Times New Roman" w:hAnsi="Times New Roman" w:cs="Times New Roman"/>
          <w:sz w:val="19"/>
          <w:szCs w:val="19"/>
        </w:rPr>
        <w:t xml:space="preserve">) </w:t>
      </w:r>
      <w:r w:rsidRPr="00DC7A14">
        <w:rPr>
          <w:rFonts w:ascii="Times New Roman" w:hAnsi="Times New Roman" w:cs="Times New Roman"/>
          <w:sz w:val="19"/>
          <w:szCs w:val="19"/>
        </w:rPr>
        <w:t>ch 4 [4.24].</w:t>
      </w:r>
    </w:p>
  </w:footnote>
  <w:footnote w:id="252">
    <w:p w14:paraId="3E73E693" w14:textId="34825A95" w:rsidR="00442246" w:rsidRPr="00DC7A14" w:rsidRDefault="00442246" w:rsidP="0044224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Information Privacy Act 2009</w:t>
      </w:r>
      <w:r w:rsidRPr="00DC7A14">
        <w:rPr>
          <w:rFonts w:ascii="Times New Roman" w:hAnsi="Times New Roman" w:cs="Times New Roman"/>
          <w:sz w:val="19"/>
          <w:szCs w:val="19"/>
        </w:rPr>
        <w:t xml:space="preserve"> (Qld) </w:t>
      </w:r>
      <w:r w:rsidR="00D86AAC" w:rsidRPr="00DC7A14">
        <w:rPr>
          <w:rFonts w:ascii="Times New Roman" w:hAnsi="Times New Roman" w:cs="Times New Roman"/>
          <w:sz w:val="19"/>
          <w:szCs w:val="19"/>
        </w:rPr>
        <w:t>pt</w:t>
      </w:r>
      <w:r w:rsidRPr="00DC7A14">
        <w:rPr>
          <w:rFonts w:ascii="Times New Roman" w:hAnsi="Times New Roman" w:cs="Times New Roman"/>
          <w:sz w:val="19"/>
          <w:szCs w:val="19"/>
        </w:rPr>
        <w:t xml:space="preserve"> IV. </w:t>
      </w:r>
    </w:p>
  </w:footnote>
  <w:footnote w:id="253">
    <w:p w14:paraId="6DB2C38E" w14:textId="77777777" w:rsidR="00442246" w:rsidRPr="00DC7A14" w:rsidRDefault="00442246" w:rsidP="0044224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Data Protection Act 2014</w:t>
      </w:r>
      <w:r w:rsidRPr="00DC7A14">
        <w:rPr>
          <w:rFonts w:ascii="Times New Roman" w:hAnsi="Times New Roman" w:cs="Times New Roman"/>
          <w:sz w:val="19"/>
          <w:szCs w:val="19"/>
        </w:rPr>
        <w:t xml:space="preserve"> (Vic) s 73.</w:t>
      </w:r>
    </w:p>
  </w:footnote>
  <w:footnote w:id="254">
    <w:p w14:paraId="333D6897" w14:textId="561FC55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80W; </w:t>
      </w:r>
      <w:r w:rsidRPr="00DC7A14">
        <w:rPr>
          <w:rFonts w:ascii="Times New Roman" w:hAnsi="Times New Roman" w:cs="Times New Roman"/>
          <w:i/>
          <w:iCs/>
          <w:sz w:val="19"/>
          <w:szCs w:val="19"/>
        </w:rPr>
        <w:t>Regulatory Powers (Standard Provisions) Act 2014</w:t>
      </w:r>
      <w:r w:rsidRPr="00DC7A14">
        <w:rPr>
          <w:rFonts w:ascii="Times New Roman" w:hAnsi="Times New Roman" w:cs="Times New Roman"/>
          <w:sz w:val="19"/>
          <w:szCs w:val="19"/>
        </w:rPr>
        <w:t xml:space="preserve"> (Cth) s 121.</w:t>
      </w:r>
    </w:p>
  </w:footnote>
  <w:footnote w:id="255">
    <w:p w14:paraId="21C7657C" w14:textId="0286F529"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86AAC" w:rsidRPr="00DC7A14">
        <w:rPr>
          <w:rFonts w:ascii="Times New Roman" w:hAnsi="Times New Roman" w:cs="Times New Roman"/>
          <w:sz w:val="19"/>
          <w:szCs w:val="19"/>
        </w:rPr>
        <w:t xml:space="preserve">OAIC, </w:t>
      </w:r>
      <w:r w:rsidR="00D86AAC" w:rsidRPr="00DC7A14">
        <w:rPr>
          <w:rFonts w:ascii="Times New Roman" w:hAnsi="Times New Roman" w:cs="Times New Roman"/>
          <w:i/>
          <w:iCs/>
          <w:sz w:val="19"/>
          <w:szCs w:val="19"/>
        </w:rPr>
        <w:t>Submission to Privacy Act Review</w:t>
      </w:r>
      <w:r w:rsidR="00D86AAC" w:rsidRPr="00DC7A14">
        <w:rPr>
          <w:rFonts w:ascii="Times New Roman" w:hAnsi="Times New Roman" w:cs="Times New Roman"/>
          <w:sz w:val="19"/>
          <w:szCs w:val="19"/>
        </w:rPr>
        <w:t xml:space="preserve"> (n </w:t>
      </w:r>
      <w:r w:rsidR="00D86AAC" w:rsidRPr="00DC7A14">
        <w:rPr>
          <w:rFonts w:ascii="Times New Roman" w:hAnsi="Times New Roman" w:cs="Times New Roman"/>
          <w:sz w:val="19"/>
          <w:szCs w:val="19"/>
        </w:rPr>
        <w:fldChar w:fldCharType="begin"/>
      </w:r>
      <w:r w:rsidR="00D86AAC" w:rsidRPr="00DC7A14">
        <w:rPr>
          <w:rFonts w:ascii="Times New Roman" w:hAnsi="Times New Roman" w:cs="Times New Roman"/>
          <w:sz w:val="19"/>
          <w:szCs w:val="19"/>
        </w:rPr>
        <w:instrText xml:space="preserve"> NOTEREF _Ref85809175 \h  \* MERGEFORMAT </w:instrText>
      </w:r>
      <w:r w:rsidR="00D86AAC" w:rsidRPr="00DC7A14">
        <w:rPr>
          <w:rFonts w:ascii="Times New Roman" w:hAnsi="Times New Roman" w:cs="Times New Roman"/>
          <w:sz w:val="19"/>
          <w:szCs w:val="19"/>
        </w:rPr>
      </w:r>
      <w:r w:rsidR="00D86AAC"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D86AAC" w:rsidRPr="00DC7A14">
        <w:rPr>
          <w:rFonts w:ascii="Times New Roman" w:hAnsi="Times New Roman" w:cs="Times New Roman"/>
          <w:sz w:val="19"/>
          <w:szCs w:val="19"/>
        </w:rPr>
        <w:fldChar w:fldCharType="end"/>
      </w:r>
      <w:r w:rsidR="00D86AAC" w:rsidRPr="00DC7A14">
        <w:rPr>
          <w:rFonts w:ascii="Times New Roman" w:hAnsi="Times New Roman" w:cs="Times New Roman"/>
          <w:sz w:val="19"/>
          <w:szCs w:val="19"/>
        </w:rPr>
        <w:t>)</w:t>
      </w:r>
      <w:r w:rsidRPr="00DC7A14">
        <w:rPr>
          <w:rFonts w:ascii="Times New Roman" w:hAnsi="Times New Roman" w:cs="Times New Roman"/>
          <w:sz w:val="19"/>
          <w:szCs w:val="19"/>
        </w:rPr>
        <w:t xml:space="preserve"> 69.</w:t>
      </w:r>
    </w:p>
  </w:footnote>
  <w:footnote w:id="256">
    <w:p w14:paraId="7D23113F" w14:textId="271D0037" w:rsidR="00D761C6" w:rsidRPr="00DC7A14" w:rsidRDefault="00D761C6" w:rsidP="00CA089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05152" w:rsidRPr="00DC7A14">
        <w:rPr>
          <w:rFonts w:ascii="Times New Roman" w:hAnsi="Times New Roman" w:cs="Times New Roman"/>
          <w:sz w:val="19"/>
          <w:szCs w:val="19"/>
        </w:rPr>
        <w:t>ACCC</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Digital Platforms Inquiry</w:t>
      </w:r>
      <w:r w:rsidR="0055125A"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w:t>
      </w:r>
      <w:r w:rsidR="002961D6" w:rsidRPr="00DC7A14">
        <w:rPr>
          <w:rFonts w:ascii="Times New Roman" w:hAnsi="Times New Roman" w:cs="Times New Roman"/>
          <w:sz w:val="19"/>
          <w:szCs w:val="19"/>
        </w:rPr>
        <w:t>n</w:t>
      </w:r>
      <w:r w:rsidR="009045F7">
        <w:rPr>
          <w:rFonts w:ascii="Times New Roman" w:hAnsi="Times New Roman" w:cs="Times New Roman"/>
          <w:sz w:val="19"/>
          <w:szCs w:val="19"/>
        </w:rPr>
        <w:t xml:space="preserve"> </w:t>
      </w:r>
      <w:r w:rsidR="009045F7">
        <w:rPr>
          <w:rFonts w:ascii="Times New Roman" w:hAnsi="Times New Roman" w:cs="Times New Roman"/>
          <w:sz w:val="19"/>
          <w:szCs w:val="19"/>
        </w:rPr>
        <w:fldChar w:fldCharType="begin"/>
      </w:r>
      <w:r w:rsidR="009045F7">
        <w:rPr>
          <w:rFonts w:ascii="Times New Roman" w:hAnsi="Times New Roman" w:cs="Times New Roman"/>
          <w:sz w:val="19"/>
          <w:szCs w:val="19"/>
        </w:rPr>
        <w:instrText xml:space="preserve"> NOTEREF _Ref129284621 \h </w:instrText>
      </w:r>
      <w:r w:rsidR="009045F7">
        <w:rPr>
          <w:rFonts w:ascii="Times New Roman" w:hAnsi="Times New Roman" w:cs="Times New Roman"/>
          <w:sz w:val="19"/>
          <w:szCs w:val="19"/>
        </w:rPr>
      </w:r>
      <w:r w:rsidR="009045F7">
        <w:rPr>
          <w:rFonts w:ascii="Times New Roman" w:hAnsi="Times New Roman" w:cs="Times New Roman"/>
          <w:sz w:val="19"/>
          <w:szCs w:val="19"/>
        </w:rPr>
        <w:fldChar w:fldCharType="separate"/>
      </w:r>
      <w:r w:rsidR="00E66B60">
        <w:rPr>
          <w:rFonts w:ascii="Times New Roman" w:hAnsi="Times New Roman" w:cs="Times New Roman"/>
          <w:sz w:val="19"/>
          <w:szCs w:val="19"/>
        </w:rPr>
        <w:t>72</w:t>
      </w:r>
      <w:r w:rsidR="009045F7">
        <w:rPr>
          <w:rFonts w:ascii="Times New Roman" w:hAnsi="Times New Roman" w:cs="Times New Roman"/>
          <w:sz w:val="19"/>
          <w:szCs w:val="19"/>
        </w:rPr>
        <w:fldChar w:fldCharType="end"/>
      </w:r>
      <w:r w:rsidRPr="00DC7A14">
        <w:rPr>
          <w:rFonts w:ascii="Times New Roman" w:hAnsi="Times New Roman" w:cs="Times New Roman"/>
          <w:sz w:val="19"/>
          <w:szCs w:val="19"/>
        </w:rPr>
        <w:t>) 47</w:t>
      </w:r>
      <w:r w:rsidR="00F45621" w:rsidRPr="00DC7A14">
        <w:rPr>
          <w:rFonts w:ascii="Times New Roman" w:hAnsi="Times New Roman" w:cs="Times New Roman"/>
          <w:sz w:val="19"/>
          <w:szCs w:val="19"/>
        </w:rPr>
        <w:t>2–</w:t>
      </w:r>
      <w:r w:rsidR="00960525" w:rsidRPr="00DC7A14">
        <w:rPr>
          <w:rFonts w:ascii="Times New Roman" w:hAnsi="Times New Roman" w:cs="Times New Roman"/>
          <w:sz w:val="19"/>
          <w:szCs w:val="19"/>
        </w:rPr>
        <w:t>3</w:t>
      </w:r>
      <w:r w:rsidRPr="00DC7A14">
        <w:rPr>
          <w:rFonts w:ascii="Times New Roman" w:hAnsi="Times New Roman" w:cs="Times New Roman"/>
          <w:sz w:val="19"/>
          <w:szCs w:val="19"/>
        </w:rPr>
        <w:t>.</w:t>
      </w:r>
    </w:p>
  </w:footnote>
  <w:footnote w:id="257">
    <w:p w14:paraId="0DA735D7" w14:textId="2CF15F6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86AAC" w:rsidRPr="00DC7A14">
        <w:rPr>
          <w:rFonts w:ascii="Times New Roman" w:hAnsi="Times New Roman" w:cs="Times New Roman"/>
          <w:sz w:val="19"/>
          <w:szCs w:val="19"/>
        </w:rPr>
        <w:t xml:space="preserve">OAIC, </w:t>
      </w:r>
      <w:r w:rsidR="00D86AAC" w:rsidRPr="00DC7A14">
        <w:rPr>
          <w:rFonts w:ascii="Times New Roman" w:hAnsi="Times New Roman" w:cs="Times New Roman"/>
          <w:i/>
          <w:iCs/>
          <w:sz w:val="19"/>
          <w:szCs w:val="19"/>
        </w:rPr>
        <w:t>Submission to Privacy Act Review</w:t>
      </w:r>
      <w:r w:rsidR="00D86AAC" w:rsidRPr="00DC7A14">
        <w:rPr>
          <w:rFonts w:ascii="Times New Roman" w:hAnsi="Times New Roman" w:cs="Times New Roman"/>
          <w:sz w:val="19"/>
          <w:szCs w:val="19"/>
        </w:rPr>
        <w:t xml:space="preserve"> (n </w:t>
      </w:r>
      <w:r w:rsidR="00D86AAC" w:rsidRPr="00DC7A14">
        <w:rPr>
          <w:rFonts w:ascii="Times New Roman" w:hAnsi="Times New Roman" w:cs="Times New Roman"/>
          <w:sz w:val="19"/>
          <w:szCs w:val="19"/>
        </w:rPr>
        <w:fldChar w:fldCharType="begin"/>
      </w:r>
      <w:r w:rsidR="00D86AAC" w:rsidRPr="00DC7A14">
        <w:rPr>
          <w:rFonts w:ascii="Times New Roman" w:hAnsi="Times New Roman" w:cs="Times New Roman"/>
          <w:sz w:val="19"/>
          <w:szCs w:val="19"/>
        </w:rPr>
        <w:instrText xml:space="preserve"> NOTEREF _Ref85809175 \h  \* MERGEFORMAT </w:instrText>
      </w:r>
      <w:r w:rsidR="00D86AAC" w:rsidRPr="00DC7A14">
        <w:rPr>
          <w:rFonts w:ascii="Times New Roman" w:hAnsi="Times New Roman" w:cs="Times New Roman"/>
          <w:sz w:val="19"/>
          <w:szCs w:val="19"/>
        </w:rPr>
      </w:r>
      <w:r w:rsidR="00D86AAC"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D86AAC" w:rsidRPr="00DC7A14">
        <w:rPr>
          <w:rFonts w:ascii="Times New Roman" w:hAnsi="Times New Roman" w:cs="Times New Roman"/>
          <w:sz w:val="19"/>
          <w:szCs w:val="19"/>
        </w:rPr>
        <w:fldChar w:fldCharType="end"/>
      </w:r>
      <w:r w:rsidR="00D86AAC"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129. </w:t>
      </w:r>
    </w:p>
  </w:footnote>
  <w:footnote w:id="258">
    <w:p w14:paraId="3597FFA4" w14:textId="77777777" w:rsidR="00D761C6" w:rsidRPr="00DC7A14" w:rsidRDefault="00D761C6" w:rsidP="005E110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33D.</w:t>
      </w:r>
    </w:p>
  </w:footnote>
  <w:footnote w:id="259">
    <w:p w14:paraId="1EA74519" w14:textId="33D8B43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iCs/>
          <w:sz w:val="19"/>
          <w:szCs w:val="19"/>
        </w:rPr>
        <w:t xml:space="preserve">Guide to </w:t>
      </w:r>
      <w:r w:rsidR="00BC4AFE" w:rsidRPr="00DC7A14">
        <w:rPr>
          <w:rFonts w:ascii="Times New Roman" w:hAnsi="Times New Roman" w:cs="Times New Roman"/>
          <w:i/>
          <w:iCs/>
          <w:sz w:val="19"/>
          <w:szCs w:val="19"/>
        </w:rPr>
        <w:t>U</w:t>
      </w:r>
      <w:r w:rsidRPr="00DC7A14">
        <w:rPr>
          <w:rFonts w:ascii="Times New Roman" w:hAnsi="Times New Roman" w:cs="Times New Roman"/>
          <w:i/>
          <w:iCs/>
          <w:sz w:val="19"/>
          <w:szCs w:val="19"/>
        </w:rPr>
        <w:t xml:space="preserve">ndertaking </w:t>
      </w:r>
      <w:r w:rsidR="00BC4AFE" w:rsidRPr="00DC7A14">
        <w:rPr>
          <w:rFonts w:ascii="Times New Roman" w:hAnsi="Times New Roman" w:cs="Times New Roman"/>
          <w:i/>
          <w:iCs/>
          <w:sz w:val="19"/>
          <w:szCs w:val="19"/>
        </w:rPr>
        <w:t>P</w:t>
      </w:r>
      <w:r w:rsidRPr="00DC7A14">
        <w:rPr>
          <w:rFonts w:ascii="Times New Roman" w:hAnsi="Times New Roman" w:cs="Times New Roman"/>
          <w:i/>
          <w:iCs/>
          <w:sz w:val="19"/>
          <w:szCs w:val="19"/>
        </w:rPr>
        <w:t xml:space="preserve">rivacy </w:t>
      </w:r>
      <w:r w:rsidR="00BC4AFE" w:rsidRPr="00DC7A14">
        <w:rPr>
          <w:rFonts w:ascii="Times New Roman" w:hAnsi="Times New Roman" w:cs="Times New Roman"/>
          <w:i/>
          <w:iCs/>
          <w:sz w:val="19"/>
          <w:szCs w:val="19"/>
        </w:rPr>
        <w:t>I</w:t>
      </w:r>
      <w:r w:rsidRPr="00DC7A14">
        <w:rPr>
          <w:rFonts w:ascii="Times New Roman" w:hAnsi="Times New Roman" w:cs="Times New Roman"/>
          <w:i/>
          <w:iCs/>
          <w:sz w:val="19"/>
          <w:szCs w:val="19"/>
        </w:rPr>
        <w:t xml:space="preserve">mpact </w:t>
      </w:r>
      <w:r w:rsidR="00BC4AFE" w:rsidRPr="00DC7A14">
        <w:rPr>
          <w:rFonts w:ascii="Times New Roman" w:hAnsi="Times New Roman" w:cs="Times New Roman"/>
          <w:i/>
          <w:iCs/>
          <w:sz w:val="19"/>
          <w:szCs w:val="19"/>
        </w:rPr>
        <w:t>A</w:t>
      </w:r>
      <w:r w:rsidRPr="00DC7A14">
        <w:rPr>
          <w:rFonts w:ascii="Times New Roman" w:hAnsi="Times New Roman" w:cs="Times New Roman"/>
          <w:i/>
          <w:iCs/>
          <w:sz w:val="19"/>
          <w:szCs w:val="19"/>
        </w:rPr>
        <w:t>ssessments</w:t>
      </w:r>
      <w:r w:rsidR="00BC4AFE" w:rsidRPr="00DC7A14">
        <w:rPr>
          <w:rFonts w:ascii="Times New Roman" w:hAnsi="Times New Roman" w:cs="Times New Roman"/>
          <w:sz w:val="19"/>
          <w:szCs w:val="19"/>
        </w:rPr>
        <w:t xml:space="preserve"> (Guidance Document, May 2020) </w:t>
      </w:r>
      <w:r w:rsidRPr="00DC7A14">
        <w:rPr>
          <w:rFonts w:ascii="Times New Roman" w:hAnsi="Times New Roman" w:cs="Times New Roman"/>
          <w:sz w:val="19"/>
          <w:szCs w:val="19"/>
        </w:rPr>
        <w:t xml:space="preserve"> &lt;</w:t>
      </w:r>
      <w:hyperlink r:id="rId13" w:history="1">
        <w:r w:rsidRPr="00DC7A14">
          <w:rPr>
            <w:rStyle w:val="Hyperlink"/>
            <w:rFonts w:ascii="Times New Roman" w:hAnsi="Times New Roman" w:cs="Times New Roman"/>
            <w:sz w:val="19"/>
            <w:szCs w:val="19"/>
          </w:rPr>
          <w:t>https://www.oaic.gov.au/privacy/guidance-and-advice/guide-to-undertaking-privacy-impact-assessments</w:t>
        </w:r>
      </w:hyperlink>
      <w:r w:rsidRPr="00DC7A14">
        <w:rPr>
          <w:rFonts w:ascii="Times New Roman" w:hAnsi="Times New Roman" w:cs="Times New Roman"/>
          <w:sz w:val="19"/>
          <w:szCs w:val="19"/>
        </w:rPr>
        <w:t xml:space="preserve">&gt;. </w:t>
      </w:r>
    </w:p>
  </w:footnote>
  <w:footnote w:id="260">
    <w:p w14:paraId="57B51D9F" w14:textId="7843AF39" w:rsidR="009D6C57" w:rsidRPr="00DC7A14" w:rsidRDefault="009D6C5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26G.</w:t>
      </w:r>
    </w:p>
  </w:footnote>
  <w:footnote w:id="261">
    <w:p w14:paraId="0AD62829" w14:textId="2C655128" w:rsidR="009D6C57" w:rsidRPr="00DC7A14" w:rsidRDefault="009D6C5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C4AFE"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s 26E.</w:t>
      </w:r>
    </w:p>
  </w:footnote>
  <w:footnote w:id="262">
    <w:p w14:paraId="1A5E9327" w14:textId="1BFE16E9" w:rsidR="009D6C57" w:rsidRPr="00DC7A14" w:rsidRDefault="009D6C57" w:rsidP="009D6C57">
      <w:pPr>
        <w:pStyle w:val="FootnoteText"/>
        <w:rPr>
          <w:rFonts w:ascii="Times New Roman" w:hAnsi="Times New Roman" w:cs="Times New Roman"/>
          <w:color w:val="000000" w:themeColor="text1"/>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C4AFE" w:rsidRPr="00DC7A14">
        <w:rPr>
          <w:rFonts w:ascii="Times New Roman" w:hAnsi="Times New Roman" w:cs="Times New Roman"/>
          <w:color w:val="000000" w:themeColor="text1"/>
          <w:sz w:val="19"/>
          <w:szCs w:val="19"/>
        </w:rPr>
        <w:t>Ibid</w:t>
      </w:r>
      <w:r w:rsidRPr="00DC7A14">
        <w:rPr>
          <w:rFonts w:ascii="Times New Roman" w:hAnsi="Times New Roman" w:cs="Times New Roman"/>
          <w:color w:val="000000" w:themeColor="text1"/>
          <w:sz w:val="19"/>
          <w:szCs w:val="19"/>
        </w:rPr>
        <w:t xml:space="preserve"> s 26C.</w:t>
      </w:r>
    </w:p>
  </w:footnote>
  <w:footnote w:id="263">
    <w:p w14:paraId="26243A56" w14:textId="6C28815D" w:rsidR="000D1B77" w:rsidRPr="00DC7A14" w:rsidRDefault="000D1B7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C4AFE"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w:t>
      </w:r>
      <w:r w:rsidR="00BC4AFE" w:rsidRPr="00DC7A14">
        <w:rPr>
          <w:rFonts w:ascii="Times New Roman" w:hAnsi="Times New Roman" w:cs="Times New Roman"/>
          <w:sz w:val="19"/>
          <w:szCs w:val="19"/>
        </w:rPr>
        <w:t>s</w:t>
      </w:r>
      <w:r w:rsidRPr="00DC7A14">
        <w:rPr>
          <w:rFonts w:ascii="Times New Roman" w:hAnsi="Times New Roman" w:cs="Times New Roman"/>
          <w:sz w:val="19"/>
          <w:szCs w:val="19"/>
        </w:rPr>
        <w:t xml:space="preserve"> 26F–26H.</w:t>
      </w:r>
    </w:p>
  </w:footnote>
  <w:footnote w:id="264">
    <w:p w14:paraId="4EA151B1" w14:textId="3359D4D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(Credit Reporting) Code</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2014</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Privacy (Australian Government Agencies </w:t>
      </w:r>
      <w:r w:rsidR="00875735" w:rsidRPr="00DC7A14">
        <w:rPr>
          <w:rFonts w:ascii="Times New Roman" w:hAnsi="Times New Roman" w:cs="Times New Roman"/>
          <w:i/>
          <w:iCs/>
          <w:sz w:val="19"/>
          <w:szCs w:val="19"/>
        </w:rPr>
        <w:t>–</w:t>
      </w:r>
      <w:r w:rsidRPr="00DC7A14">
        <w:rPr>
          <w:rFonts w:ascii="Times New Roman" w:hAnsi="Times New Roman" w:cs="Times New Roman"/>
          <w:i/>
          <w:iCs/>
          <w:sz w:val="19"/>
          <w:szCs w:val="19"/>
        </w:rPr>
        <w:t xml:space="preserve"> Governance) APP Code 2017</w:t>
      </w:r>
      <w:r w:rsidRPr="00DC7A14">
        <w:rPr>
          <w:rFonts w:ascii="Times New Roman" w:hAnsi="Times New Roman" w:cs="Times New Roman"/>
          <w:sz w:val="19"/>
          <w:szCs w:val="19"/>
        </w:rPr>
        <w:t xml:space="preserve">; Privacy (Market and Social Research) Code 2021: see OAIC, </w:t>
      </w:r>
      <w:r w:rsidRPr="00DC7A14">
        <w:rPr>
          <w:rFonts w:ascii="Times New Roman" w:hAnsi="Times New Roman" w:cs="Times New Roman"/>
          <w:i/>
          <w:iCs/>
          <w:sz w:val="19"/>
          <w:szCs w:val="19"/>
        </w:rPr>
        <w:t>Privacy Codes Register</w:t>
      </w:r>
      <w:r w:rsidRPr="00DC7A14">
        <w:rPr>
          <w:rFonts w:ascii="Times New Roman" w:hAnsi="Times New Roman" w:cs="Times New Roman"/>
          <w:sz w:val="19"/>
          <w:szCs w:val="19"/>
        </w:rPr>
        <w:t xml:space="preserve"> (2020) &lt;</w:t>
      </w:r>
      <w:hyperlink r:id="rId14" w:history="1">
        <w:r w:rsidRPr="00DC7A14">
          <w:rPr>
            <w:rStyle w:val="Hyperlink"/>
            <w:rFonts w:ascii="Times New Roman" w:hAnsi="Times New Roman" w:cs="Times New Roman"/>
            <w:sz w:val="19"/>
            <w:szCs w:val="19"/>
          </w:rPr>
          <w:t>https://www.oaic.gov.au/privacy/privacy-registers/privacy-codes-register/</w:t>
        </w:r>
      </w:hyperlink>
      <w:r w:rsidRPr="00DC7A14">
        <w:rPr>
          <w:rFonts w:ascii="Times New Roman" w:hAnsi="Times New Roman" w:cs="Times New Roman"/>
          <w:sz w:val="19"/>
          <w:szCs w:val="19"/>
        </w:rPr>
        <w:t>&gt;</w:t>
      </w:r>
    </w:p>
  </w:footnote>
  <w:footnote w:id="265">
    <w:p w14:paraId="49146E54" w14:textId="5B04C97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Amendment (Notifiable Data Breaches) Act 2017</w:t>
      </w:r>
      <w:r w:rsidRPr="00DC7A14">
        <w:rPr>
          <w:rFonts w:ascii="Times New Roman" w:hAnsi="Times New Roman" w:cs="Times New Roman"/>
          <w:sz w:val="19"/>
          <w:szCs w:val="19"/>
        </w:rPr>
        <w:t xml:space="preserve"> (Cth).</w:t>
      </w:r>
    </w:p>
  </w:footnote>
  <w:footnote w:id="266">
    <w:p w14:paraId="3899C99F" w14:textId="77777777" w:rsidR="009040F0" w:rsidRPr="00DC7A14" w:rsidRDefault="009040F0" w:rsidP="009040F0">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Attorney-General’s Department, </w:t>
      </w:r>
      <w:r w:rsidRPr="00DC7A14">
        <w:rPr>
          <w:rFonts w:ascii="Times New Roman" w:hAnsi="Times New Roman" w:cs="Times New Roman"/>
          <w:i/>
          <w:iCs/>
          <w:sz w:val="19"/>
          <w:szCs w:val="19"/>
        </w:rPr>
        <w:t>Privacy Amendment (Notifiable Data Breaches) Bill 2016 Regulation Impact Statement</w:t>
      </w:r>
      <w:r w:rsidRPr="00DC7A14">
        <w:rPr>
          <w:rFonts w:ascii="Times New Roman" w:hAnsi="Times New Roman" w:cs="Times New Roman"/>
          <w:sz w:val="19"/>
          <w:szCs w:val="19"/>
        </w:rPr>
        <w:t xml:space="preserve"> (Regulation Impact Statement, 11 January 2017) 15.</w:t>
      </w:r>
    </w:p>
  </w:footnote>
  <w:footnote w:id="267">
    <w:p w14:paraId="35387453" w14:textId="4FED6CD6" w:rsidR="00C02FD1" w:rsidRPr="00DC7A14" w:rsidRDefault="00C02FD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w:t>
      </w:r>
      <w:r w:rsidR="00BC4AFE" w:rsidRPr="00DC7A14">
        <w:rPr>
          <w:rFonts w:ascii="Times New Roman" w:hAnsi="Times New Roman" w:cs="Times New Roman"/>
          <w:sz w:val="19"/>
          <w:szCs w:val="19"/>
        </w:rPr>
        <w:t>s</w:t>
      </w:r>
      <w:r w:rsidRPr="00DC7A14">
        <w:rPr>
          <w:rFonts w:ascii="Times New Roman" w:hAnsi="Times New Roman" w:cs="Times New Roman"/>
          <w:sz w:val="19"/>
          <w:szCs w:val="19"/>
        </w:rPr>
        <w:t>s 26W</w:t>
      </w:r>
      <w:r w:rsidR="00BC4AFE" w:rsidRPr="00DC7A14">
        <w:rPr>
          <w:rFonts w:ascii="Times New Roman" w:hAnsi="Times New Roman" w:cs="Times New Roman"/>
          <w:sz w:val="19"/>
          <w:szCs w:val="19"/>
        </w:rPr>
        <w:t>E</w:t>
      </w:r>
      <w:r w:rsidRPr="00DC7A14">
        <w:rPr>
          <w:rFonts w:ascii="Times New Roman" w:hAnsi="Times New Roman" w:cs="Times New Roman"/>
          <w:sz w:val="19"/>
          <w:szCs w:val="19"/>
        </w:rPr>
        <w:t>–26W</w:t>
      </w:r>
      <w:r w:rsidR="00352088" w:rsidRPr="00DC7A14">
        <w:rPr>
          <w:rFonts w:ascii="Times New Roman" w:hAnsi="Times New Roman" w:cs="Times New Roman"/>
          <w:sz w:val="19"/>
          <w:szCs w:val="19"/>
        </w:rPr>
        <w:t>G</w:t>
      </w:r>
      <w:r w:rsidRPr="00DC7A14">
        <w:rPr>
          <w:rFonts w:ascii="Times New Roman" w:hAnsi="Times New Roman" w:cs="Times New Roman"/>
          <w:sz w:val="19"/>
          <w:szCs w:val="19"/>
        </w:rPr>
        <w:t>.</w:t>
      </w:r>
    </w:p>
  </w:footnote>
  <w:footnote w:id="268">
    <w:p w14:paraId="006853AD" w14:textId="35A26429" w:rsidR="00EB3C14" w:rsidRPr="00DC7A14" w:rsidRDefault="00EB3C1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This includes how sensitive the information is and who has obtained it</w:t>
      </w:r>
      <w:r w:rsidR="00352088" w:rsidRPr="00DC7A14">
        <w:rPr>
          <w:rFonts w:ascii="Times New Roman" w:hAnsi="Times New Roman" w:cs="Times New Roman"/>
          <w:sz w:val="19"/>
          <w:szCs w:val="19"/>
        </w:rPr>
        <w:t>.</w:t>
      </w:r>
    </w:p>
  </w:footnote>
  <w:footnote w:id="269">
    <w:p w14:paraId="77DE40B7" w14:textId="77777777" w:rsidR="0070673C" w:rsidRPr="00DC7A14" w:rsidRDefault="0070673C" w:rsidP="0070673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26WH.</w:t>
      </w:r>
    </w:p>
  </w:footnote>
  <w:footnote w:id="270">
    <w:p w14:paraId="58CDDDE7" w14:textId="714F1F77" w:rsidR="0070673C" w:rsidRPr="00DC7A14" w:rsidRDefault="0070673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0357B" w:rsidRPr="00DC7A14">
        <w:rPr>
          <w:rFonts w:ascii="Times New Roman" w:hAnsi="Times New Roman" w:cs="Times New Roman"/>
          <w:sz w:val="19"/>
          <w:szCs w:val="19"/>
        </w:rPr>
        <w:t xml:space="preserve">OAIC, </w:t>
      </w:r>
      <w:r w:rsidR="00E0357B" w:rsidRPr="00DC7A14">
        <w:rPr>
          <w:rFonts w:ascii="Times New Roman" w:hAnsi="Times New Roman" w:cs="Times New Roman"/>
          <w:i/>
          <w:iCs/>
          <w:sz w:val="19"/>
          <w:szCs w:val="19"/>
        </w:rPr>
        <w:t xml:space="preserve">Data Breach Preparation and Response: A Guide to Managing Data Breaches in accordance with the Privacy Act 1988 (Cth) </w:t>
      </w:r>
      <w:r w:rsidR="00E0357B" w:rsidRPr="00DC7A14">
        <w:rPr>
          <w:rFonts w:ascii="Times New Roman" w:hAnsi="Times New Roman" w:cs="Times New Roman"/>
          <w:sz w:val="19"/>
          <w:szCs w:val="19"/>
        </w:rPr>
        <w:t>(Guid</w:t>
      </w:r>
      <w:r w:rsidR="00352088" w:rsidRPr="00DC7A14">
        <w:rPr>
          <w:rFonts w:ascii="Times New Roman" w:hAnsi="Times New Roman" w:cs="Times New Roman"/>
          <w:sz w:val="19"/>
          <w:szCs w:val="19"/>
        </w:rPr>
        <w:t>ance Document</w:t>
      </w:r>
      <w:r w:rsidR="00E0357B" w:rsidRPr="00DC7A14">
        <w:rPr>
          <w:rFonts w:ascii="Times New Roman" w:hAnsi="Times New Roman" w:cs="Times New Roman"/>
          <w:sz w:val="19"/>
          <w:szCs w:val="19"/>
        </w:rPr>
        <w:t>, July 2019) 47</w:t>
      </w:r>
      <w:r w:rsidR="00352088" w:rsidRPr="00DC7A14">
        <w:rPr>
          <w:rFonts w:ascii="Times New Roman" w:hAnsi="Times New Roman" w:cs="Times New Roman"/>
          <w:sz w:val="19"/>
          <w:szCs w:val="19"/>
        </w:rPr>
        <w:t xml:space="preserve"> (‘</w:t>
      </w:r>
      <w:r w:rsidR="00352088" w:rsidRPr="00DC7A14">
        <w:rPr>
          <w:rFonts w:ascii="Times New Roman" w:hAnsi="Times New Roman" w:cs="Times New Roman"/>
          <w:i/>
          <w:iCs/>
          <w:sz w:val="19"/>
          <w:szCs w:val="19"/>
        </w:rPr>
        <w:t>Data Breach Preparation and Response</w:t>
      </w:r>
      <w:r w:rsidR="00352088" w:rsidRPr="00DC7A14">
        <w:rPr>
          <w:rFonts w:ascii="Times New Roman" w:hAnsi="Times New Roman" w:cs="Times New Roman"/>
          <w:sz w:val="19"/>
          <w:szCs w:val="19"/>
        </w:rPr>
        <w:t>’)</w:t>
      </w:r>
      <w:r w:rsidR="00E0357B" w:rsidRPr="00DC7A14">
        <w:rPr>
          <w:rFonts w:ascii="Times New Roman" w:hAnsi="Times New Roman" w:cs="Times New Roman"/>
          <w:sz w:val="19"/>
          <w:szCs w:val="19"/>
        </w:rPr>
        <w:t>.</w:t>
      </w:r>
    </w:p>
  </w:footnote>
  <w:footnote w:id="271">
    <w:p w14:paraId="03F75DBD" w14:textId="1B35F23A" w:rsidR="009D4913" w:rsidRPr="00DC7A14" w:rsidRDefault="009D4913">
      <w:pPr>
        <w:pStyle w:val="FootnoteText"/>
        <w:rPr>
          <w:rFonts w:ascii="Times New Roman" w:hAnsi="Times New Roman" w:cs="Times New Roman"/>
          <w:color w:val="FF0000"/>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Act 1988</w:t>
      </w:r>
      <w:r w:rsidRPr="00DC7A14">
        <w:rPr>
          <w:rFonts w:ascii="Times New Roman" w:hAnsi="Times New Roman" w:cs="Times New Roman"/>
          <w:sz w:val="19"/>
          <w:szCs w:val="19"/>
        </w:rPr>
        <w:t xml:space="preserve"> (Cth) s 26WK.</w:t>
      </w:r>
    </w:p>
  </w:footnote>
  <w:footnote w:id="272">
    <w:p w14:paraId="65245A55" w14:textId="1938270E"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52088"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26WL.</w:t>
      </w:r>
      <w:r w:rsidR="00A421D5" w:rsidRPr="00DC7A14">
        <w:rPr>
          <w:rFonts w:ascii="Times New Roman" w:hAnsi="Times New Roman" w:cs="Times New Roman"/>
          <w:sz w:val="19"/>
          <w:szCs w:val="19"/>
        </w:rPr>
        <w:t xml:space="preserve"> The OAIC guidance document on data breaches states that the entities must ‘must publish a copy of the statement prepared for the Commissioner on its website, and take reasonable steps to bring its contents to the attention of individuals at risk of serious harm’: OAIC, </w:t>
      </w:r>
      <w:r w:rsidR="00A421D5" w:rsidRPr="00DC7A14">
        <w:rPr>
          <w:rFonts w:ascii="Times New Roman" w:hAnsi="Times New Roman" w:cs="Times New Roman"/>
          <w:i/>
          <w:iCs/>
          <w:sz w:val="19"/>
          <w:szCs w:val="19"/>
        </w:rPr>
        <w:t>Data Breach Preparation and Response</w:t>
      </w:r>
      <w:r w:rsidR="00352088" w:rsidRPr="00DC7A14">
        <w:rPr>
          <w:rFonts w:ascii="Times New Roman" w:hAnsi="Times New Roman" w:cs="Times New Roman"/>
          <w:i/>
          <w:iCs/>
          <w:sz w:val="19"/>
          <w:szCs w:val="19"/>
        </w:rPr>
        <w:t xml:space="preserve"> </w:t>
      </w:r>
      <w:r w:rsidR="00352088" w:rsidRPr="00DC7A14">
        <w:rPr>
          <w:rFonts w:ascii="Times New Roman" w:hAnsi="Times New Roman" w:cs="Times New Roman"/>
          <w:sz w:val="19"/>
          <w:szCs w:val="19"/>
        </w:rPr>
        <w:t xml:space="preserve">(n </w:t>
      </w:r>
      <w:r w:rsidR="00352088" w:rsidRPr="00DC7A14">
        <w:rPr>
          <w:rFonts w:ascii="Times New Roman" w:hAnsi="Times New Roman" w:cs="Times New Roman"/>
          <w:sz w:val="19"/>
          <w:szCs w:val="19"/>
        </w:rPr>
        <w:fldChar w:fldCharType="begin"/>
      </w:r>
      <w:r w:rsidR="00352088" w:rsidRPr="00DC7A14">
        <w:rPr>
          <w:rFonts w:ascii="Times New Roman" w:hAnsi="Times New Roman" w:cs="Times New Roman"/>
          <w:sz w:val="19"/>
          <w:szCs w:val="19"/>
        </w:rPr>
        <w:instrText xml:space="preserve"> NOTEREF _Ref91759980 \h  \* MERGEFORMAT </w:instrText>
      </w:r>
      <w:r w:rsidR="00352088" w:rsidRPr="00DC7A14">
        <w:rPr>
          <w:rFonts w:ascii="Times New Roman" w:hAnsi="Times New Roman" w:cs="Times New Roman"/>
          <w:sz w:val="19"/>
          <w:szCs w:val="19"/>
        </w:rPr>
      </w:r>
      <w:r w:rsidR="00352088"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269</w:t>
      </w:r>
      <w:r w:rsidR="00352088" w:rsidRPr="00DC7A14">
        <w:rPr>
          <w:rFonts w:ascii="Times New Roman" w:hAnsi="Times New Roman" w:cs="Times New Roman"/>
          <w:sz w:val="19"/>
          <w:szCs w:val="19"/>
        </w:rPr>
        <w:fldChar w:fldCharType="end"/>
      </w:r>
      <w:r w:rsidR="00A421D5" w:rsidRPr="00DC7A14">
        <w:rPr>
          <w:rFonts w:ascii="Times New Roman" w:hAnsi="Times New Roman" w:cs="Times New Roman"/>
          <w:sz w:val="19"/>
          <w:szCs w:val="19"/>
        </w:rPr>
        <w:t>) 48.</w:t>
      </w:r>
    </w:p>
  </w:footnote>
  <w:footnote w:id="273">
    <w:p w14:paraId="2E5E6429" w14:textId="38A4443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D4C02" w:rsidRPr="00DC7A14">
        <w:rPr>
          <w:rFonts w:ascii="Times New Roman" w:hAnsi="Times New Roman" w:cs="Times New Roman"/>
          <w:sz w:val="19"/>
          <w:szCs w:val="19"/>
        </w:rPr>
        <w:t>OAIC</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Notifiable Data Breaches Scheme 12-month Insights Report</w:t>
      </w:r>
      <w:r w:rsidRPr="00DC7A14">
        <w:rPr>
          <w:rFonts w:ascii="Times New Roman" w:hAnsi="Times New Roman" w:cs="Times New Roman"/>
          <w:sz w:val="19"/>
          <w:szCs w:val="19"/>
        </w:rPr>
        <w:t xml:space="preserve"> (Report</w:t>
      </w:r>
      <w:r w:rsidR="00AD4C02" w:rsidRPr="00DC7A14">
        <w:rPr>
          <w:rFonts w:ascii="Times New Roman" w:hAnsi="Times New Roman" w:cs="Times New Roman"/>
          <w:sz w:val="19"/>
          <w:szCs w:val="19"/>
        </w:rPr>
        <w:t>,</w:t>
      </w:r>
      <w:r w:rsidRPr="00DC7A14">
        <w:rPr>
          <w:rFonts w:ascii="Times New Roman" w:hAnsi="Times New Roman" w:cs="Times New Roman"/>
          <w:sz w:val="19"/>
          <w:szCs w:val="19"/>
        </w:rPr>
        <w:t xml:space="preserve"> 13 May 2019) 8.</w:t>
      </w:r>
    </w:p>
  </w:footnote>
  <w:footnote w:id="274">
    <w:p w14:paraId="33B68282" w14:textId="223E84B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OAIC, </w:t>
      </w:r>
      <w:r w:rsidRPr="00DC7A14">
        <w:rPr>
          <w:rFonts w:ascii="Times New Roman" w:hAnsi="Times New Roman" w:cs="Times New Roman"/>
          <w:i/>
          <w:sz w:val="19"/>
          <w:szCs w:val="19"/>
        </w:rPr>
        <w:t>Notifiable Data Breaches Report: January to June 2021</w:t>
      </w:r>
      <w:r w:rsidR="00AD4C02" w:rsidRPr="00DC7A14">
        <w:rPr>
          <w:rFonts w:ascii="Times New Roman" w:hAnsi="Times New Roman" w:cs="Times New Roman"/>
          <w:sz w:val="19"/>
          <w:szCs w:val="19"/>
        </w:rPr>
        <w:t xml:space="preserve"> (Report,</w:t>
      </w:r>
      <w:r w:rsidRPr="00DC7A14">
        <w:rPr>
          <w:rFonts w:ascii="Times New Roman" w:hAnsi="Times New Roman" w:cs="Times New Roman"/>
          <w:sz w:val="19"/>
          <w:szCs w:val="19"/>
        </w:rPr>
        <w:t xml:space="preserve"> August 2021</w:t>
      </w:r>
      <w:r w:rsidR="00AD4C02" w:rsidRPr="00DC7A14">
        <w:rPr>
          <w:rFonts w:ascii="Times New Roman" w:hAnsi="Times New Roman" w:cs="Times New Roman"/>
          <w:sz w:val="19"/>
          <w:szCs w:val="19"/>
        </w:rPr>
        <w:t>) 7</w:t>
      </w:r>
      <w:r w:rsidRPr="00DC7A14">
        <w:rPr>
          <w:rFonts w:ascii="Times New Roman" w:hAnsi="Times New Roman" w:cs="Times New Roman"/>
          <w:sz w:val="19"/>
          <w:szCs w:val="19"/>
        </w:rPr>
        <w:t>.</w:t>
      </w:r>
    </w:p>
  </w:footnote>
  <w:footnote w:id="275">
    <w:p w14:paraId="0D14D4D6" w14:textId="18DD605F"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D4C02"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14.</w:t>
      </w:r>
    </w:p>
  </w:footnote>
  <w:footnote w:id="276">
    <w:p w14:paraId="79E63A39" w14:textId="7D6418B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Defined as a breach of security leading to the accidental or unlawful destruction, loss, alteration, unauthorised disclosure of, or access to, personal data</w:t>
      </w:r>
      <w:r w:rsidR="00D63098"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see </w:t>
      </w:r>
      <w:r w:rsidR="00D63098" w:rsidRPr="00164EF9">
        <w:rPr>
          <w:rFonts w:ascii="Times New Roman" w:hAnsi="Times New Roman" w:cs="Times New Roman"/>
          <w:sz w:val="19"/>
          <w:szCs w:val="19"/>
        </w:rPr>
        <w:t>GDPR</w:t>
      </w:r>
      <w:r w:rsidR="00D63098" w:rsidRPr="00DC7A14">
        <w:rPr>
          <w:rFonts w:ascii="Times New Roman" w:hAnsi="Times New Roman" w:cs="Times New Roman"/>
          <w:i/>
          <w:iCs/>
          <w:sz w:val="19"/>
          <w:szCs w:val="19"/>
        </w:rPr>
        <w:t xml:space="preserve"> </w:t>
      </w:r>
      <w:r w:rsidR="00D63098" w:rsidRPr="00DC7A14">
        <w:rPr>
          <w:rFonts w:ascii="Times New Roman" w:hAnsi="Times New Roman" w:cs="Times New Roman"/>
          <w:sz w:val="19"/>
          <w:szCs w:val="19"/>
        </w:rPr>
        <w:t xml:space="preserve">(n </w:t>
      </w:r>
      <w:r w:rsidR="00D63098" w:rsidRPr="00DC7A14">
        <w:rPr>
          <w:rFonts w:ascii="Times New Roman" w:hAnsi="Times New Roman" w:cs="Times New Roman"/>
          <w:sz w:val="19"/>
          <w:szCs w:val="19"/>
        </w:rPr>
        <w:fldChar w:fldCharType="begin"/>
      </w:r>
      <w:r w:rsidR="00D63098" w:rsidRPr="00DC7A14">
        <w:rPr>
          <w:rFonts w:ascii="Times New Roman" w:hAnsi="Times New Roman" w:cs="Times New Roman"/>
          <w:sz w:val="19"/>
          <w:szCs w:val="19"/>
        </w:rPr>
        <w:instrText xml:space="preserve"> NOTEREF _Ref91746333 \h  \* MERGEFORMAT </w:instrText>
      </w:r>
      <w:r w:rsidR="00D63098" w:rsidRPr="00DC7A14">
        <w:rPr>
          <w:rFonts w:ascii="Times New Roman" w:hAnsi="Times New Roman" w:cs="Times New Roman"/>
          <w:sz w:val="19"/>
          <w:szCs w:val="19"/>
        </w:rPr>
      </w:r>
      <w:r w:rsidR="00D63098"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29</w:t>
      </w:r>
      <w:r w:rsidR="00D63098" w:rsidRPr="00DC7A14">
        <w:rPr>
          <w:rFonts w:ascii="Times New Roman" w:hAnsi="Times New Roman" w:cs="Times New Roman"/>
          <w:sz w:val="19"/>
          <w:szCs w:val="19"/>
        </w:rPr>
        <w:fldChar w:fldCharType="end"/>
      </w:r>
      <w:r w:rsidR="00D63098" w:rsidRPr="00DC7A14">
        <w:rPr>
          <w:rFonts w:ascii="Times New Roman" w:hAnsi="Times New Roman" w:cs="Times New Roman"/>
          <w:sz w:val="19"/>
          <w:szCs w:val="19"/>
        </w:rPr>
        <w:t xml:space="preserve">) art </w:t>
      </w:r>
      <w:r w:rsidRPr="00DC7A14">
        <w:rPr>
          <w:rFonts w:ascii="Times New Roman" w:hAnsi="Times New Roman" w:cs="Times New Roman"/>
          <w:sz w:val="19"/>
          <w:szCs w:val="19"/>
        </w:rPr>
        <w:t xml:space="preserve">4. </w:t>
      </w:r>
    </w:p>
  </w:footnote>
  <w:footnote w:id="277">
    <w:p w14:paraId="04D120D3" w14:textId="3C98B5F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63098"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art 33.</w:t>
      </w:r>
    </w:p>
  </w:footnote>
  <w:footnote w:id="278">
    <w:p w14:paraId="67C2DF97" w14:textId="3ED0C28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63098" w:rsidRPr="00DC7A14">
        <w:rPr>
          <w:rFonts w:ascii="Times New Roman" w:hAnsi="Times New Roman" w:cs="Times New Roman"/>
          <w:sz w:val="19"/>
          <w:szCs w:val="19"/>
        </w:rPr>
        <w:t xml:space="preserve">Ibid </w:t>
      </w:r>
      <w:r w:rsidRPr="00DC7A14">
        <w:rPr>
          <w:rFonts w:ascii="Times New Roman" w:hAnsi="Times New Roman" w:cs="Times New Roman"/>
          <w:sz w:val="19"/>
          <w:szCs w:val="19"/>
        </w:rPr>
        <w:t>art 34.</w:t>
      </w:r>
    </w:p>
  </w:footnote>
  <w:footnote w:id="279">
    <w:p w14:paraId="3D908734" w14:textId="29949E7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86AAC" w:rsidRPr="00DC7A14">
        <w:rPr>
          <w:rFonts w:ascii="Times New Roman" w:hAnsi="Times New Roman" w:cs="Times New Roman"/>
          <w:sz w:val="19"/>
          <w:szCs w:val="19"/>
        </w:rPr>
        <w:t xml:space="preserve">OAIC, </w:t>
      </w:r>
      <w:r w:rsidR="00D86AAC" w:rsidRPr="00DC7A14">
        <w:rPr>
          <w:rFonts w:ascii="Times New Roman" w:hAnsi="Times New Roman" w:cs="Times New Roman"/>
          <w:i/>
          <w:iCs/>
          <w:sz w:val="19"/>
          <w:szCs w:val="19"/>
        </w:rPr>
        <w:t>Submission to Privacy Act Review</w:t>
      </w:r>
      <w:r w:rsidR="00D86AAC" w:rsidRPr="00DC7A14">
        <w:rPr>
          <w:rFonts w:ascii="Times New Roman" w:hAnsi="Times New Roman" w:cs="Times New Roman"/>
          <w:sz w:val="19"/>
          <w:szCs w:val="19"/>
        </w:rPr>
        <w:t xml:space="preserve"> (n </w:t>
      </w:r>
      <w:r w:rsidR="00D86AAC" w:rsidRPr="00DC7A14">
        <w:rPr>
          <w:rFonts w:ascii="Times New Roman" w:hAnsi="Times New Roman" w:cs="Times New Roman"/>
          <w:sz w:val="19"/>
          <w:szCs w:val="19"/>
        </w:rPr>
        <w:fldChar w:fldCharType="begin"/>
      </w:r>
      <w:r w:rsidR="00D86AAC" w:rsidRPr="00DC7A14">
        <w:rPr>
          <w:rFonts w:ascii="Times New Roman" w:hAnsi="Times New Roman" w:cs="Times New Roman"/>
          <w:sz w:val="19"/>
          <w:szCs w:val="19"/>
        </w:rPr>
        <w:instrText xml:space="preserve"> NOTEREF _Ref85809175 \h  \* MERGEFORMAT </w:instrText>
      </w:r>
      <w:r w:rsidR="00D86AAC" w:rsidRPr="00DC7A14">
        <w:rPr>
          <w:rFonts w:ascii="Times New Roman" w:hAnsi="Times New Roman" w:cs="Times New Roman"/>
          <w:sz w:val="19"/>
          <w:szCs w:val="19"/>
        </w:rPr>
      </w:r>
      <w:r w:rsidR="00D86AAC"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26</w:t>
      </w:r>
      <w:r w:rsidR="00D86AAC" w:rsidRPr="00DC7A14">
        <w:rPr>
          <w:rFonts w:ascii="Times New Roman" w:hAnsi="Times New Roman" w:cs="Times New Roman"/>
          <w:sz w:val="19"/>
          <w:szCs w:val="19"/>
        </w:rPr>
        <w:fldChar w:fldCharType="end"/>
      </w:r>
      <w:r w:rsidR="00D86AAC" w:rsidRPr="00DC7A14">
        <w:rPr>
          <w:rFonts w:ascii="Times New Roman" w:hAnsi="Times New Roman" w:cs="Times New Roman"/>
          <w:sz w:val="19"/>
          <w:szCs w:val="19"/>
        </w:rPr>
        <w:t>)</w:t>
      </w:r>
      <w:r w:rsidR="00BC4AFE" w:rsidRPr="00DC7A14">
        <w:rPr>
          <w:rFonts w:ascii="Times New Roman" w:hAnsi="Times New Roman" w:cs="Times New Roman"/>
          <w:sz w:val="19"/>
          <w:szCs w:val="19"/>
        </w:rPr>
        <w:t xml:space="preserve"> 138–45.</w:t>
      </w:r>
    </w:p>
  </w:footnote>
  <w:footnote w:id="280">
    <w:p w14:paraId="5778700C" w14:textId="4E9D06C4" w:rsidR="00D761C6" w:rsidRPr="00DC7A14" w:rsidRDefault="00D761C6">
      <w:pPr>
        <w:pStyle w:val="FootnoteText"/>
        <w:rPr>
          <w:rFonts w:ascii="Times New Roman" w:hAnsi="Times New Roman" w:cs="Times New Roman"/>
          <w:sz w:val="19"/>
          <w:szCs w:val="19"/>
          <w:highlight w:val="yellow"/>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 discussion paper was released in July 2019</w:t>
      </w:r>
      <w:r w:rsidR="007D6A8D">
        <w:rPr>
          <w:rFonts w:ascii="Times New Roman" w:hAnsi="Times New Roman" w:cs="Times New Roman"/>
          <w:sz w:val="19"/>
          <w:szCs w:val="19"/>
        </w:rPr>
        <w:t xml:space="preserve"> and </w:t>
      </w:r>
      <w:r w:rsidRPr="00DC7A14">
        <w:rPr>
          <w:rFonts w:ascii="Times New Roman" w:hAnsi="Times New Roman" w:cs="Times New Roman"/>
          <w:sz w:val="19"/>
          <w:szCs w:val="19"/>
        </w:rPr>
        <w:t xml:space="preserve">submissions closed on 23 August 2019: NSW Government, </w:t>
      </w:r>
      <w:r w:rsidRPr="00DC7A14">
        <w:rPr>
          <w:rFonts w:ascii="Times New Roman" w:hAnsi="Times New Roman" w:cs="Times New Roman"/>
          <w:i/>
          <w:iCs/>
          <w:sz w:val="19"/>
          <w:szCs w:val="19"/>
        </w:rPr>
        <w:t xml:space="preserve">Mandatory Breach Notification </w:t>
      </w:r>
      <w:r w:rsidRPr="00DC7A14">
        <w:rPr>
          <w:rFonts w:ascii="Times New Roman" w:hAnsi="Times New Roman" w:cs="Times New Roman"/>
          <w:sz w:val="19"/>
          <w:szCs w:val="19"/>
        </w:rPr>
        <w:t xml:space="preserve">(Web </w:t>
      </w:r>
      <w:r w:rsidR="00266622" w:rsidRPr="00DC7A14">
        <w:rPr>
          <w:rFonts w:ascii="Times New Roman" w:hAnsi="Times New Roman" w:cs="Times New Roman"/>
          <w:sz w:val="19"/>
          <w:szCs w:val="19"/>
        </w:rPr>
        <w:t>P</w:t>
      </w:r>
      <w:r w:rsidRPr="00DC7A14">
        <w:rPr>
          <w:rFonts w:ascii="Times New Roman" w:hAnsi="Times New Roman" w:cs="Times New Roman"/>
          <w:sz w:val="19"/>
          <w:szCs w:val="19"/>
        </w:rPr>
        <w:t>age, 2019) &lt;</w:t>
      </w:r>
      <w:hyperlink r:id="rId15" w:history="1">
        <w:r w:rsidRPr="00DC7A14">
          <w:rPr>
            <w:rStyle w:val="Hyperlink"/>
            <w:rFonts w:ascii="Times New Roman" w:hAnsi="Times New Roman" w:cs="Times New Roman"/>
            <w:sz w:val="19"/>
            <w:szCs w:val="19"/>
          </w:rPr>
          <w:t>https://www.justice.nsw.gov.au/justicepolicy/Pages/lpclrd/lpclrd_consultation/mandatory-data-breach-notification.aspx</w:t>
        </w:r>
      </w:hyperlink>
      <w:r w:rsidRPr="00DC7A14">
        <w:rPr>
          <w:rFonts w:ascii="Times New Roman" w:hAnsi="Times New Roman" w:cs="Times New Roman"/>
          <w:sz w:val="19"/>
          <w:szCs w:val="19"/>
        </w:rPr>
        <w:t>&gt;</w:t>
      </w:r>
    </w:p>
  </w:footnote>
  <w:footnote w:id="281">
    <w:p w14:paraId="7A64102A" w14:textId="432C0938"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4.</w:t>
      </w:r>
    </w:p>
  </w:footnote>
  <w:footnote w:id="282">
    <w:p w14:paraId="451B89D9" w14:textId="4AB94363" w:rsidR="00D761C6" w:rsidRPr="00DC7A14" w:rsidRDefault="00D761C6">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Right to Information Act 2009 </w:t>
      </w:r>
      <w:r w:rsidRPr="00DC7A14">
        <w:rPr>
          <w:rFonts w:ascii="Times New Roman" w:hAnsi="Times New Roman" w:cs="Times New Roman"/>
          <w:bCs/>
          <w:iCs/>
          <w:sz w:val="19"/>
          <w:szCs w:val="19"/>
        </w:rPr>
        <w:t>(Tas)</w:t>
      </w:r>
      <w:r w:rsidRPr="00DC7A14">
        <w:rPr>
          <w:rFonts w:ascii="Times New Roman" w:hAnsi="Times New Roman" w:cs="Times New Roman"/>
          <w:bCs/>
          <w:i/>
          <w:sz w:val="19"/>
          <w:szCs w:val="19"/>
        </w:rPr>
        <w:t xml:space="preserve"> </w:t>
      </w:r>
      <w:r w:rsidRPr="00DC7A14">
        <w:rPr>
          <w:rFonts w:ascii="Times New Roman" w:hAnsi="Times New Roman" w:cs="Times New Roman"/>
          <w:bCs/>
          <w:iCs/>
          <w:sz w:val="19"/>
          <w:szCs w:val="19"/>
        </w:rPr>
        <w:t>s 7</w:t>
      </w:r>
      <w:r w:rsidRPr="00DC7A14">
        <w:rPr>
          <w:rFonts w:ascii="Times New Roman" w:hAnsi="Times New Roman" w:cs="Times New Roman"/>
          <w:bCs/>
          <w:i/>
          <w:sz w:val="19"/>
          <w:szCs w:val="19"/>
        </w:rPr>
        <w:t xml:space="preserve">. </w:t>
      </w:r>
      <w:r w:rsidR="00210C5E" w:rsidRPr="00DC7A14">
        <w:rPr>
          <w:rFonts w:ascii="Times New Roman" w:hAnsi="Times New Roman" w:cs="Times New Roman"/>
          <w:bCs/>
          <w:iCs/>
          <w:sz w:val="19"/>
          <w:szCs w:val="19"/>
        </w:rPr>
        <w:t xml:space="preserve">The </w:t>
      </w:r>
      <w:r w:rsidRPr="00DC7A14">
        <w:rPr>
          <w:rFonts w:ascii="Times New Roman" w:hAnsi="Times New Roman" w:cs="Times New Roman"/>
          <w:bCs/>
          <w:iCs/>
          <w:sz w:val="19"/>
          <w:szCs w:val="19"/>
        </w:rPr>
        <w:t xml:space="preserve">Tasmanian Ombudsman </w:t>
      </w:r>
      <w:r w:rsidR="00210C5E" w:rsidRPr="00DC7A14">
        <w:rPr>
          <w:rFonts w:ascii="Times New Roman" w:hAnsi="Times New Roman" w:cs="Times New Roman"/>
          <w:bCs/>
          <w:iCs/>
          <w:sz w:val="19"/>
          <w:szCs w:val="19"/>
        </w:rPr>
        <w:t xml:space="preserve">has </w:t>
      </w:r>
      <w:r w:rsidR="007D6A8D">
        <w:rPr>
          <w:rFonts w:ascii="Times New Roman" w:hAnsi="Times New Roman" w:cs="Times New Roman"/>
          <w:bCs/>
          <w:iCs/>
          <w:sz w:val="19"/>
          <w:szCs w:val="19"/>
        </w:rPr>
        <w:t>determined</w:t>
      </w:r>
      <w:r w:rsidR="007D6A8D" w:rsidRPr="00DC7A14">
        <w:rPr>
          <w:rFonts w:ascii="Times New Roman" w:hAnsi="Times New Roman" w:cs="Times New Roman"/>
          <w:bCs/>
          <w:iCs/>
          <w:sz w:val="19"/>
          <w:szCs w:val="19"/>
        </w:rPr>
        <w:t xml:space="preserve"> </w:t>
      </w:r>
      <w:r w:rsidRPr="00DC7A14">
        <w:rPr>
          <w:rFonts w:ascii="Times New Roman" w:hAnsi="Times New Roman" w:cs="Times New Roman"/>
          <w:bCs/>
          <w:iCs/>
          <w:sz w:val="19"/>
          <w:szCs w:val="19"/>
        </w:rPr>
        <w:t xml:space="preserve">that </w:t>
      </w:r>
      <w:r w:rsidR="00210C5E" w:rsidRPr="00DC7A14">
        <w:rPr>
          <w:rFonts w:ascii="Times New Roman" w:hAnsi="Times New Roman" w:cs="Times New Roman"/>
          <w:bCs/>
          <w:iCs/>
          <w:sz w:val="19"/>
          <w:szCs w:val="19"/>
        </w:rPr>
        <w:t xml:space="preserve">the </w:t>
      </w:r>
      <w:r w:rsidRPr="00DC7A14">
        <w:rPr>
          <w:rFonts w:ascii="Times New Roman" w:hAnsi="Times New Roman" w:cs="Times New Roman"/>
          <w:bCs/>
          <w:iCs/>
          <w:sz w:val="19"/>
          <w:szCs w:val="19"/>
        </w:rPr>
        <w:t xml:space="preserve">PIPA does not prevent release of personal information under the </w:t>
      </w:r>
      <w:r w:rsidRPr="00DC7A14">
        <w:rPr>
          <w:rFonts w:ascii="Times New Roman" w:hAnsi="Times New Roman" w:cs="Times New Roman"/>
          <w:bCs/>
          <w:i/>
          <w:sz w:val="19"/>
          <w:szCs w:val="19"/>
        </w:rPr>
        <w:t xml:space="preserve">Right to Information Act 2009 </w:t>
      </w:r>
      <w:r w:rsidRPr="00DC7A14">
        <w:rPr>
          <w:rFonts w:ascii="Times New Roman" w:hAnsi="Times New Roman" w:cs="Times New Roman"/>
          <w:bCs/>
          <w:iCs/>
          <w:sz w:val="19"/>
          <w:szCs w:val="19"/>
        </w:rPr>
        <w:t>(Tas)</w:t>
      </w:r>
      <w:r w:rsidR="00210C5E" w:rsidRPr="00DC7A14">
        <w:rPr>
          <w:rFonts w:ascii="Times New Roman" w:hAnsi="Times New Roman" w:cs="Times New Roman"/>
          <w:bCs/>
          <w:iCs/>
          <w:sz w:val="19"/>
          <w:szCs w:val="19"/>
        </w:rPr>
        <w:t>:</w:t>
      </w:r>
      <w:r w:rsidR="00210C5E" w:rsidRPr="00DC7A14">
        <w:rPr>
          <w:rFonts w:ascii="Times New Roman" w:hAnsi="Times New Roman" w:cs="Times New Roman"/>
          <w:bCs/>
          <w:i/>
          <w:sz w:val="19"/>
          <w:szCs w:val="19"/>
        </w:rPr>
        <w:t xml:space="preserve"> Clive Stott and Hydro Tasmania </w:t>
      </w:r>
      <w:r w:rsidR="00210C5E" w:rsidRPr="00DC7A14">
        <w:rPr>
          <w:rFonts w:ascii="Times New Roman" w:hAnsi="Times New Roman" w:cs="Times New Roman"/>
          <w:bCs/>
          <w:iCs/>
          <w:sz w:val="19"/>
          <w:szCs w:val="19"/>
        </w:rPr>
        <w:t>[2021] Ombudsman Tasmania, Decision 1702</w:t>
      </w:r>
      <w:r w:rsidR="007D6A8D">
        <w:rPr>
          <w:rFonts w:ascii="Times New Roman" w:hAnsi="Times New Roman" w:cs="Times New Roman"/>
          <w:bCs/>
          <w:iCs/>
          <w:sz w:val="19"/>
          <w:szCs w:val="19"/>
        </w:rPr>
        <w:t>–</w:t>
      </w:r>
      <w:r w:rsidR="00210C5E" w:rsidRPr="00DC7A14">
        <w:rPr>
          <w:rFonts w:ascii="Times New Roman" w:hAnsi="Times New Roman" w:cs="Times New Roman"/>
          <w:bCs/>
          <w:iCs/>
          <w:sz w:val="19"/>
          <w:szCs w:val="19"/>
        </w:rPr>
        <w:t>115 [69]</w:t>
      </w:r>
      <w:r w:rsidRPr="00DC7A14">
        <w:rPr>
          <w:rFonts w:ascii="Times New Roman" w:hAnsi="Times New Roman" w:cs="Times New Roman"/>
          <w:bCs/>
          <w:iCs/>
          <w:sz w:val="19"/>
          <w:szCs w:val="19"/>
        </w:rPr>
        <w:t xml:space="preserve">. </w:t>
      </w:r>
    </w:p>
  </w:footnote>
  <w:footnote w:id="283">
    <w:p w14:paraId="20DDF00F" w14:textId="5207A186"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Right to Information Act 2009 </w:t>
      </w:r>
      <w:r w:rsidRPr="00DC7A14">
        <w:rPr>
          <w:rFonts w:ascii="Times New Roman" w:hAnsi="Times New Roman" w:cs="Times New Roman"/>
          <w:bCs/>
          <w:iCs/>
          <w:sz w:val="19"/>
          <w:szCs w:val="19"/>
        </w:rPr>
        <w:t xml:space="preserve">(Tas) s 36. </w:t>
      </w:r>
      <w:r w:rsidR="008C14F1" w:rsidRPr="00DC7A14">
        <w:rPr>
          <w:rFonts w:ascii="Times New Roman" w:hAnsi="Times New Roman" w:cs="Times New Roman"/>
          <w:bCs/>
          <w:iCs/>
          <w:sz w:val="19"/>
          <w:szCs w:val="19"/>
        </w:rPr>
        <w:t xml:space="preserve">See s 33 about the public interest test. </w:t>
      </w:r>
      <w:r w:rsidR="00CB2A2F" w:rsidRPr="00DC7A14">
        <w:rPr>
          <w:rFonts w:ascii="Times New Roman" w:hAnsi="Times New Roman" w:cs="Times New Roman"/>
          <w:bCs/>
          <w:iCs/>
          <w:sz w:val="19"/>
          <w:szCs w:val="19"/>
        </w:rPr>
        <w:t xml:space="preserve">See also ss 37, 39 for other exemptions subject to a public interest test, including </w:t>
      </w:r>
      <w:r w:rsidR="00CB2A2F" w:rsidRPr="00DC7A14">
        <w:rPr>
          <w:rFonts w:ascii="Times New Roman" w:hAnsi="Times New Roman" w:cs="Times New Roman"/>
          <w:sz w:val="19"/>
          <w:szCs w:val="19"/>
        </w:rPr>
        <w:t>disclosure of i</w:t>
      </w:r>
      <w:r w:rsidR="00CB2A2F" w:rsidRPr="00DC7A14">
        <w:rPr>
          <w:rFonts w:ascii="Times New Roman" w:hAnsi="Times New Roman" w:cs="Times New Roman"/>
          <w:bCs/>
          <w:sz w:val="19"/>
          <w:szCs w:val="19"/>
        </w:rPr>
        <w:t xml:space="preserve">nformation relating to the business interests of a third party </w:t>
      </w:r>
      <w:r w:rsidR="00CB2A2F" w:rsidRPr="00DC7A14">
        <w:rPr>
          <w:rFonts w:ascii="Times New Roman" w:hAnsi="Times New Roman" w:cs="Times New Roman"/>
          <w:sz w:val="19"/>
          <w:szCs w:val="19"/>
        </w:rPr>
        <w:t xml:space="preserve">and </w:t>
      </w:r>
      <w:r w:rsidR="00CB2A2F" w:rsidRPr="00DC7A14">
        <w:rPr>
          <w:rFonts w:ascii="Times New Roman" w:hAnsi="Times New Roman" w:cs="Times New Roman"/>
          <w:bCs/>
          <w:sz w:val="19"/>
          <w:szCs w:val="19"/>
        </w:rPr>
        <w:t>information communicated in confidence.</w:t>
      </w:r>
    </w:p>
  </w:footnote>
  <w:footnote w:id="284">
    <w:p w14:paraId="2C0A6A05" w14:textId="122A02E7"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Stolen Generations of Aboriginal Children Act 2006 </w:t>
      </w:r>
      <w:r w:rsidRPr="00DC7A14">
        <w:rPr>
          <w:rFonts w:ascii="Times New Roman" w:hAnsi="Times New Roman" w:cs="Times New Roman"/>
          <w:iCs/>
          <w:sz w:val="19"/>
          <w:szCs w:val="19"/>
        </w:rPr>
        <w:t>(Tas) s 16(2).</w:t>
      </w:r>
      <w:r w:rsidRPr="00DC7A14">
        <w:rPr>
          <w:rFonts w:ascii="Times New Roman" w:hAnsi="Times New Roman" w:cs="Times New Roman"/>
          <w:sz w:val="19"/>
          <w:szCs w:val="19"/>
        </w:rPr>
        <w:t xml:space="preserve"> </w:t>
      </w:r>
    </w:p>
  </w:footnote>
  <w:footnote w:id="285">
    <w:p w14:paraId="713BC22A" w14:textId="77777777" w:rsidR="006C1901" w:rsidRPr="00DC7A14" w:rsidRDefault="006C1901" w:rsidP="006C190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eg, </w:t>
      </w:r>
      <w:r w:rsidRPr="00DC7A14">
        <w:rPr>
          <w:rFonts w:ascii="Times New Roman" w:hAnsi="Times New Roman" w:cs="Times New Roman"/>
          <w:i/>
          <w:sz w:val="19"/>
          <w:szCs w:val="19"/>
        </w:rPr>
        <w:t>First Home Owner Grant Act 2000</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40(3).</w:t>
      </w:r>
    </w:p>
  </w:footnote>
  <w:footnote w:id="286">
    <w:p w14:paraId="0C18B189" w14:textId="4BF7E896"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Financial Transaction Reports Act 1993</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10.</w:t>
      </w:r>
    </w:p>
  </w:footnote>
  <w:footnote w:id="287">
    <w:p w14:paraId="446C8D8C" w14:textId="77777777" w:rsidR="007D54ED" w:rsidRPr="00DC7A14" w:rsidRDefault="007D54ED"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First Home Owner Grant Act 2000</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s 40.</w:t>
      </w:r>
      <w:r w:rsidRPr="00DC7A14">
        <w:rPr>
          <w:rFonts w:ascii="Times New Roman" w:hAnsi="Times New Roman" w:cs="Times New Roman"/>
          <w:i/>
          <w:sz w:val="19"/>
          <w:szCs w:val="19"/>
        </w:rPr>
        <w:t xml:space="preserve"> </w:t>
      </w:r>
    </w:p>
  </w:footnote>
  <w:footnote w:id="288">
    <w:p w14:paraId="6C89301F" w14:textId="77777777" w:rsidR="007D54ED" w:rsidRPr="00DC7A14" w:rsidRDefault="007D54ED"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Occupational Licensing Act 2005</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i/>
          <w:sz w:val="19"/>
          <w:szCs w:val="19"/>
        </w:rPr>
        <w:t xml:space="preserve"> </w:t>
      </w:r>
      <w:r w:rsidRPr="00DC7A14">
        <w:rPr>
          <w:rFonts w:ascii="Times New Roman" w:hAnsi="Times New Roman" w:cs="Times New Roman"/>
          <w:iCs/>
          <w:sz w:val="19"/>
          <w:szCs w:val="19"/>
        </w:rPr>
        <w:t>s 51</w:t>
      </w:r>
      <w:r w:rsidRPr="00DC7A14">
        <w:rPr>
          <w:rFonts w:ascii="Times New Roman" w:hAnsi="Times New Roman" w:cs="Times New Roman"/>
          <w:sz w:val="19"/>
          <w:szCs w:val="19"/>
        </w:rPr>
        <w:t>.</w:t>
      </w:r>
    </w:p>
  </w:footnote>
  <w:footnote w:id="289">
    <w:p w14:paraId="6230FCE8" w14:textId="77777777" w:rsidR="007D54ED" w:rsidRPr="00DC7A14" w:rsidRDefault="007D54ED"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Registration to Work with Vulnerable People Act 2013</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54.</w:t>
      </w:r>
    </w:p>
  </w:footnote>
  <w:footnote w:id="290">
    <w:p w14:paraId="5CFC4A2D" w14:textId="3091133F"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Australian Crime Commission Act 2004</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44.</w:t>
      </w:r>
    </w:p>
  </w:footnote>
  <w:footnote w:id="291">
    <w:p w14:paraId="55B67D2F" w14:textId="2A6BE6E9"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Commissioner for Corporate Affairs Act 1980</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 xml:space="preserve">(Tas) s 6E. </w:t>
      </w:r>
    </w:p>
  </w:footnote>
  <w:footnote w:id="292">
    <w:p w14:paraId="54ED4FEF" w14:textId="1F6886A6"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Consumer Affairs Act 1988</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sz w:val="19"/>
          <w:szCs w:val="19"/>
        </w:rPr>
        <w:t xml:space="preserve"> s 22.</w:t>
      </w:r>
    </w:p>
  </w:footnote>
  <w:footnote w:id="293">
    <w:p w14:paraId="2F207830" w14:textId="08025FD5"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Workers Rehabilitation and Compensation Act 1988 </w:t>
      </w:r>
      <w:r w:rsidRPr="00DC7A14">
        <w:rPr>
          <w:rFonts w:ascii="Times New Roman" w:hAnsi="Times New Roman" w:cs="Times New Roman"/>
          <w:iCs/>
          <w:sz w:val="19"/>
          <w:szCs w:val="19"/>
        </w:rPr>
        <w:t>(Tas) s 158.</w:t>
      </w:r>
    </w:p>
  </w:footnote>
  <w:footnote w:id="294">
    <w:p w14:paraId="167F4CAB" w14:textId="6B987246" w:rsidR="00D761C6" w:rsidRPr="00DC7A14" w:rsidRDefault="00D761C6" w:rsidP="00A453AE">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CA6EFE" w:rsidRPr="00DC7A14">
        <w:rPr>
          <w:rFonts w:ascii="Times New Roman" w:hAnsi="Times New Roman" w:cs="Times New Roman"/>
          <w:sz w:val="19"/>
          <w:szCs w:val="19"/>
        </w:rPr>
        <w:t xml:space="preserve">See, eg, </w:t>
      </w:r>
      <w:r w:rsidR="00CA6EFE" w:rsidRPr="00DC7A14">
        <w:rPr>
          <w:rFonts w:ascii="Times New Roman" w:hAnsi="Times New Roman" w:cs="Times New Roman"/>
          <w:i/>
          <w:sz w:val="19"/>
          <w:szCs w:val="19"/>
        </w:rPr>
        <w:t>First Home Owner Grant Act 2000</w:t>
      </w:r>
      <w:r w:rsidR="00CA6EFE" w:rsidRPr="00DC7A14">
        <w:rPr>
          <w:rFonts w:ascii="Times New Roman" w:hAnsi="Times New Roman" w:cs="Times New Roman"/>
          <w:sz w:val="19"/>
          <w:szCs w:val="19"/>
        </w:rPr>
        <w:t xml:space="preserve"> </w:t>
      </w:r>
      <w:r w:rsidR="00CA6EFE" w:rsidRPr="00DC7A14">
        <w:rPr>
          <w:rFonts w:ascii="Times New Roman" w:hAnsi="Times New Roman" w:cs="Times New Roman"/>
          <w:iCs/>
          <w:sz w:val="19"/>
          <w:szCs w:val="19"/>
        </w:rPr>
        <w:t xml:space="preserve">(Tas) s 40; </w:t>
      </w:r>
      <w:r w:rsidR="00CA6EFE" w:rsidRPr="00DC7A14">
        <w:rPr>
          <w:rFonts w:ascii="Times New Roman" w:hAnsi="Times New Roman" w:cs="Times New Roman"/>
          <w:i/>
          <w:sz w:val="19"/>
          <w:szCs w:val="19"/>
        </w:rPr>
        <w:t xml:space="preserve">First Home Owner Grant Regulations 2021 </w:t>
      </w:r>
      <w:r w:rsidR="00CA6EFE" w:rsidRPr="00DC7A14">
        <w:rPr>
          <w:rFonts w:ascii="Times New Roman" w:hAnsi="Times New Roman" w:cs="Times New Roman"/>
          <w:iCs/>
          <w:sz w:val="19"/>
          <w:szCs w:val="19"/>
        </w:rPr>
        <w:t>(Tas) s 6. Ex</w:t>
      </w:r>
      <w:r w:rsidR="008827FB" w:rsidRPr="00DC7A14">
        <w:rPr>
          <w:rFonts w:ascii="Times New Roman" w:hAnsi="Times New Roman" w:cs="Times New Roman"/>
          <w:iCs/>
          <w:sz w:val="19"/>
          <w:szCs w:val="19"/>
        </w:rPr>
        <w:t>amples of ex</w:t>
      </w:r>
      <w:r w:rsidR="00CA6EFE" w:rsidRPr="00DC7A14">
        <w:rPr>
          <w:rFonts w:ascii="Times New Roman" w:hAnsi="Times New Roman" w:cs="Times New Roman"/>
          <w:iCs/>
          <w:sz w:val="19"/>
          <w:szCs w:val="19"/>
        </w:rPr>
        <w:t>ceptions for when information can be disclosed include</w:t>
      </w:r>
      <w:r w:rsidR="00457C58">
        <w:rPr>
          <w:rFonts w:ascii="Times New Roman" w:hAnsi="Times New Roman" w:cs="Times New Roman"/>
          <w:iCs/>
          <w:sz w:val="19"/>
          <w:szCs w:val="19"/>
        </w:rPr>
        <w:t>:</w:t>
      </w:r>
      <w:r w:rsidR="00CA6EFE" w:rsidRPr="00DC7A14">
        <w:rPr>
          <w:rFonts w:ascii="Times New Roman" w:hAnsi="Times New Roman" w:cs="Times New Roman"/>
          <w:iCs/>
          <w:sz w:val="19"/>
          <w:szCs w:val="19"/>
        </w:rPr>
        <w:t xml:space="preserve"> where the person to whom the information relates requests or consents to disclosure; where it is for the purposes of legal proceedings; or where disclosure is in connection with the administration or enforcement of tax law.</w:t>
      </w:r>
    </w:p>
  </w:footnote>
  <w:footnote w:id="295">
    <w:p w14:paraId="65EB543F" w14:textId="1447B167"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Financial Transaction Reports Act 1993</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s 10</w:t>
      </w:r>
      <w:r w:rsidRPr="00DC7A14">
        <w:rPr>
          <w:rFonts w:ascii="Times New Roman" w:hAnsi="Times New Roman" w:cs="Times New Roman"/>
          <w:i/>
          <w:sz w:val="19"/>
          <w:szCs w:val="19"/>
        </w:rPr>
        <w:t>; First Home Owner Grant Act 2000</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40</w:t>
      </w:r>
      <w:r w:rsidRPr="00DC7A14">
        <w:rPr>
          <w:rFonts w:ascii="Times New Roman" w:hAnsi="Times New Roman" w:cs="Times New Roman"/>
          <w:i/>
          <w:sz w:val="19"/>
          <w:szCs w:val="19"/>
        </w:rPr>
        <w:t>; Occupational Licensing Act 2005</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sz w:val="19"/>
          <w:szCs w:val="19"/>
        </w:rPr>
        <w:t xml:space="preserve"> s 51; </w:t>
      </w:r>
      <w:r w:rsidRPr="00DC7A14">
        <w:rPr>
          <w:rFonts w:ascii="Times New Roman" w:hAnsi="Times New Roman" w:cs="Times New Roman"/>
          <w:bCs/>
          <w:i/>
          <w:iCs/>
          <w:sz w:val="19"/>
          <w:szCs w:val="19"/>
        </w:rPr>
        <w:t>Home Builder Grants Act 2020</w:t>
      </w:r>
      <w:r w:rsidRPr="00DC7A14">
        <w:rPr>
          <w:rFonts w:ascii="Times New Roman" w:hAnsi="Times New Roman" w:cs="Times New Roman"/>
          <w:bCs/>
          <w:sz w:val="19"/>
          <w:szCs w:val="19"/>
        </w:rPr>
        <w:t xml:space="preserve"> (Tas) s 52; </w:t>
      </w:r>
      <w:r w:rsidRPr="00DC7A14">
        <w:rPr>
          <w:rFonts w:ascii="Times New Roman" w:hAnsi="Times New Roman" w:cs="Times New Roman"/>
          <w:bCs/>
          <w:i/>
          <w:iCs/>
          <w:sz w:val="19"/>
          <w:szCs w:val="19"/>
        </w:rPr>
        <w:t>Asbestos-Related Diseases (Occupational Exposure) Compensation Act 2011</w:t>
      </w:r>
      <w:r w:rsidRPr="00DC7A14">
        <w:rPr>
          <w:rFonts w:ascii="Times New Roman" w:hAnsi="Times New Roman" w:cs="Times New Roman"/>
          <w:bCs/>
          <w:sz w:val="19"/>
          <w:szCs w:val="19"/>
        </w:rPr>
        <w:t xml:space="preserve"> (Tas) s 184</w:t>
      </w:r>
      <w:r w:rsidR="000C2D3B" w:rsidRPr="00DC7A14">
        <w:rPr>
          <w:rFonts w:ascii="Times New Roman" w:hAnsi="Times New Roman" w:cs="Times New Roman"/>
          <w:bCs/>
          <w:sz w:val="19"/>
          <w:szCs w:val="19"/>
        </w:rPr>
        <w:t>.</w:t>
      </w:r>
    </w:p>
  </w:footnote>
  <w:footnote w:id="296">
    <w:p w14:paraId="296CC660" w14:textId="6BFC0B41"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Consumer Affairs Act 1988</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22;</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Registration to Work with Vulnerable People Act 2013</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 s 54</w:t>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Valuation of Law Act 2001</w:t>
      </w:r>
      <w:r w:rsidRPr="00DC7A14">
        <w:rPr>
          <w:rFonts w:ascii="Times New Roman" w:hAnsi="Times New Roman" w:cs="Times New Roman"/>
          <w:sz w:val="19"/>
          <w:szCs w:val="19"/>
        </w:rPr>
        <w:t xml:space="preserve"> (Tas) s 58; </w:t>
      </w:r>
      <w:r w:rsidRPr="00DC7A14">
        <w:rPr>
          <w:rFonts w:ascii="Times New Roman" w:hAnsi="Times New Roman" w:cs="Times New Roman"/>
          <w:i/>
          <w:iCs/>
          <w:sz w:val="19"/>
          <w:szCs w:val="19"/>
        </w:rPr>
        <w:t>Tasmanian Development Act 1983</w:t>
      </w:r>
      <w:r w:rsidRPr="00DC7A14">
        <w:rPr>
          <w:rFonts w:ascii="Times New Roman" w:hAnsi="Times New Roman" w:cs="Times New Roman"/>
          <w:sz w:val="19"/>
          <w:szCs w:val="19"/>
        </w:rPr>
        <w:t xml:space="preserve"> (Tas) s 45; </w:t>
      </w:r>
      <w:r w:rsidRPr="00DC7A14">
        <w:rPr>
          <w:rFonts w:ascii="Times New Roman" w:hAnsi="Times New Roman" w:cs="Times New Roman"/>
          <w:i/>
          <w:iCs/>
          <w:sz w:val="19"/>
          <w:szCs w:val="19"/>
        </w:rPr>
        <w:t>Industrial Relations Act 1984</w:t>
      </w:r>
      <w:r w:rsidRPr="00DC7A14">
        <w:rPr>
          <w:rFonts w:ascii="Times New Roman" w:hAnsi="Times New Roman" w:cs="Times New Roman"/>
          <w:sz w:val="19"/>
          <w:szCs w:val="19"/>
        </w:rPr>
        <w:t xml:space="preserve"> (Tas) s 83; </w:t>
      </w:r>
      <w:r w:rsidRPr="00DC7A14">
        <w:rPr>
          <w:rFonts w:ascii="Times New Roman" w:hAnsi="Times New Roman" w:cs="Times New Roman"/>
          <w:i/>
          <w:iCs/>
          <w:sz w:val="19"/>
          <w:szCs w:val="19"/>
        </w:rPr>
        <w:t>Health Practitioners Tribunal Act 2010</w:t>
      </w:r>
      <w:r w:rsidRPr="00DC7A14">
        <w:rPr>
          <w:rFonts w:ascii="Times New Roman" w:hAnsi="Times New Roman" w:cs="Times New Roman"/>
          <w:sz w:val="19"/>
          <w:szCs w:val="19"/>
        </w:rPr>
        <w:t xml:space="preserve"> (Tas) s 54.</w:t>
      </w:r>
    </w:p>
  </w:footnote>
  <w:footnote w:id="297">
    <w:p w14:paraId="7B2DD7CA" w14:textId="4E90F84C"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Gaming Control Act 1993 </w:t>
      </w:r>
      <w:r w:rsidRPr="00DC7A14">
        <w:rPr>
          <w:rFonts w:ascii="Times New Roman" w:hAnsi="Times New Roman" w:cs="Times New Roman"/>
          <w:sz w:val="19"/>
          <w:szCs w:val="19"/>
        </w:rPr>
        <w:t>(Tas)</w:t>
      </w:r>
      <w:r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s 157</w:t>
      </w:r>
      <w:r w:rsidRPr="00DC7A14">
        <w:rPr>
          <w:rFonts w:ascii="Times New Roman" w:hAnsi="Times New Roman" w:cs="Times New Roman"/>
          <w:i/>
          <w:iCs/>
          <w:sz w:val="19"/>
          <w:szCs w:val="19"/>
        </w:rPr>
        <w:t xml:space="preserve">; Vehicle and Traffic (Driver Licensing and Vehicle Registration) Regulations 2010 </w:t>
      </w:r>
      <w:r w:rsidR="006C73C0" w:rsidRPr="00DC7A14">
        <w:rPr>
          <w:rFonts w:ascii="Times New Roman" w:hAnsi="Times New Roman" w:cs="Times New Roman"/>
          <w:sz w:val="19"/>
          <w:szCs w:val="19"/>
        </w:rPr>
        <w:t xml:space="preserve">(Tas) </w:t>
      </w:r>
      <w:r w:rsidRPr="00DC7A14">
        <w:rPr>
          <w:rFonts w:ascii="Times New Roman" w:hAnsi="Times New Roman" w:cs="Times New Roman"/>
          <w:sz w:val="19"/>
          <w:szCs w:val="19"/>
        </w:rPr>
        <w:t xml:space="preserve">s 125. </w:t>
      </w:r>
    </w:p>
  </w:footnote>
  <w:footnote w:id="298">
    <w:p w14:paraId="170C00AD" w14:textId="2809CC6D"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Threatened Species Protection Act 1995</w:t>
      </w:r>
      <w:r w:rsidRPr="00DC7A14">
        <w:rPr>
          <w:rFonts w:ascii="Times New Roman" w:hAnsi="Times New Roman" w:cs="Times New Roman"/>
          <w:sz w:val="19"/>
          <w:szCs w:val="19"/>
        </w:rPr>
        <w:t xml:space="preserve"> (Tas) s 59.</w:t>
      </w:r>
    </w:p>
  </w:footnote>
  <w:footnote w:id="299">
    <w:p w14:paraId="6E9DE2C1" w14:textId="4095E951"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iCs/>
          <w:sz w:val="19"/>
          <w:szCs w:val="19"/>
        </w:rPr>
        <w:t>Asbestos-Related Diseases (Occupational Exposure) Compensation Act 2011</w:t>
      </w:r>
      <w:r w:rsidRPr="00DC7A14">
        <w:rPr>
          <w:rFonts w:ascii="Times New Roman" w:hAnsi="Times New Roman" w:cs="Times New Roman"/>
          <w:bCs/>
          <w:sz w:val="19"/>
          <w:szCs w:val="19"/>
        </w:rPr>
        <w:t xml:space="preserve"> (Tas) s 184</w:t>
      </w:r>
      <w:r w:rsidR="00634BC1" w:rsidRPr="00DC7A14">
        <w:rPr>
          <w:rFonts w:ascii="Times New Roman" w:hAnsi="Times New Roman" w:cs="Times New Roman"/>
          <w:bCs/>
          <w:sz w:val="19"/>
          <w:szCs w:val="19"/>
        </w:rPr>
        <w:t>.</w:t>
      </w:r>
      <w:r w:rsidRPr="00DC7A14">
        <w:rPr>
          <w:rFonts w:ascii="Times New Roman" w:hAnsi="Times New Roman" w:cs="Times New Roman"/>
          <w:sz w:val="19"/>
          <w:szCs w:val="19"/>
        </w:rPr>
        <w:t xml:space="preserve"> </w:t>
      </w:r>
    </w:p>
  </w:footnote>
  <w:footnote w:id="300">
    <w:p w14:paraId="571771A8" w14:textId="61D3305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First Home Owner Grant Regulations 2010</w:t>
      </w:r>
      <w:r w:rsidRPr="00DC7A14">
        <w:rPr>
          <w:rFonts w:ascii="Times New Roman" w:hAnsi="Times New Roman" w:cs="Times New Roman"/>
          <w:bCs/>
          <w:sz w:val="19"/>
          <w:szCs w:val="19"/>
        </w:rPr>
        <w:t xml:space="preserve"> </w:t>
      </w:r>
      <w:r w:rsidR="00CD326F" w:rsidRPr="00DC7A14">
        <w:rPr>
          <w:rFonts w:ascii="Times New Roman" w:hAnsi="Times New Roman" w:cs="Times New Roman"/>
          <w:bCs/>
          <w:sz w:val="19"/>
          <w:szCs w:val="19"/>
        </w:rPr>
        <w:t xml:space="preserve">(Cth) </w:t>
      </w:r>
      <w:r w:rsidRPr="00DC7A14">
        <w:rPr>
          <w:rFonts w:ascii="Times New Roman" w:hAnsi="Times New Roman" w:cs="Times New Roman"/>
          <w:bCs/>
          <w:sz w:val="19"/>
          <w:szCs w:val="19"/>
        </w:rPr>
        <w:t>s 6.</w:t>
      </w:r>
    </w:p>
  </w:footnote>
  <w:footnote w:id="301">
    <w:p w14:paraId="3A9E517D" w14:textId="120BFEAB" w:rsidR="00B33151" w:rsidRPr="00DC7A14" w:rsidRDefault="00B33151" w:rsidP="00B3315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name, residential address, postal address, date of birth, and gender of an individual: </w:t>
      </w:r>
      <w:r w:rsidR="00A20122" w:rsidRPr="00DC7A14">
        <w:rPr>
          <w:rFonts w:ascii="Times New Roman" w:hAnsi="Times New Roman" w:cs="Times New Roman"/>
          <w:sz w:val="19"/>
          <w:szCs w:val="19"/>
        </w:rPr>
        <w:t xml:space="preserve">PIPA (n </w:t>
      </w:r>
      <w:r w:rsidR="00A20122" w:rsidRPr="00DC7A14">
        <w:rPr>
          <w:rFonts w:ascii="Times New Roman" w:hAnsi="Times New Roman" w:cs="Times New Roman"/>
          <w:sz w:val="19"/>
          <w:szCs w:val="19"/>
        </w:rPr>
        <w:fldChar w:fldCharType="begin"/>
      </w:r>
      <w:r w:rsidR="00A20122" w:rsidRPr="00DC7A14">
        <w:rPr>
          <w:rFonts w:ascii="Times New Roman" w:hAnsi="Times New Roman" w:cs="Times New Roman"/>
          <w:sz w:val="19"/>
          <w:szCs w:val="19"/>
        </w:rPr>
        <w:instrText xml:space="preserve"> NOTEREF _Ref91831330 \h  \* MERGEFORMAT </w:instrText>
      </w:r>
      <w:r w:rsidR="00A20122" w:rsidRPr="00DC7A14">
        <w:rPr>
          <w:rFonts w:ascii="Times New Roman" w:hAnsi="Times New Roman" w:cs="Times New Roman"/>
          <w:sz w:val="19"/>
          <w:szCs w:val="19"/>
        </w:rPr>
      </w:r>
      <w:r w:rsidR="00A20122"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40</w:t>
      </w:r>
      <w:r w:rsidR="00A20122" w:rsidRPr="00DC7A14">
        <w:rPr>
          <w:rFonts w:ascii="Times New Roman" w:hAnsi="Times New Roman" w:cs="Times New Roman"/>
          <w:sz w:val="19"/>
          <w:szCs w:val="19"/>
        </w:rPr>
        <w:fldChar w:fldCharType="end"/>
      </w:r>
      <w:r w:rsidR="00A20122" w:rsidRPr="00DC7A14">
        <w:rPr>
          <w:rFonts w:ascii="Times New Roman" w:hAnsi="Times New Roman" w:cs="Times New Roman"/>
          <w:sz w:val="19"/>
          <w:szCs w:val="19"/>
        </w:rPr>
        <w:t xml:space="preserve">) </w:t>
      </w:r>
      <w:r w:rsidRPr="00DC7A14">
        <w:rPr>
          <w:rFonts w:ascii="Times New Roman" w:hAnsi="Times New Roman" w:cs="Times New Roman"/>
          <w:sz w:val="19"/>
          <w:szCs w:val="19"/>
        </w:rPr>
        <w:t>s 3 (definition of ‘basic information’)</w:t>
      </w:r>
      <w:r w:rsidR="00457C58">
        <w:rPr>
          <w:rFonts w:ascii="Times New Roman" w:hAnsi="Times New Roman" w:cs="Times New Roman"/>
          <w:sz w:val="19"/>
          <w:szCs w:val="19"/>
        </w:rPr>
        <w:t>.</w:t>
      </w:r>
    </w:p>
  </w:footnote>
  <w:footnote w:id="302">
    <w:p w14:paraId="72FDAD49" w14:textId="0EF44EF6"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Department of Premier and Cabinet, </w:t>
      </w:r>
      <w:r w:rsidR="00DE2614" w:rsidRPr="00DC7A14">
        <w:rPr>
          <w:rFonts w:ascii="Times New Roman" w:hAnsi="Times New Roman" w:cs="Times New Roman"/>
          <w:sz w:val="19"/>
          <w:szCs w:val="19"/>
        </w:rPr>
        <w:t>‘</w:t>
      </w:r>
      <w:r w:rsidRPr="00DC7A14">
        <w:rPr>
          <w:rFonts w:ascii="Times New Roman" w:hAnsi="Times New Roman" w:cs="Times New Roman"/>
          <w:sz w:val="19"/>
          <w:szCs w:val="19"/>
        </w:rPr>
        <w:t>ADEPT Principles</w:t>
      </w:r>
      <w:r w:rsidR="00DE2614" w:rsidRPr="00DC7A14">
        <w:rPr>
          <w:rFonts w:ascii="Times New Roman" w:hAnsi="Times New Roman" w:cs="Times New Roman"/>
          <w:sz w:val="19"/>
          <w:szCs w:val="19"/>
        </w:rPr>
        <w:t>’</w:t>
      </w:r>
      <w:r w:rsidR="00423D09" w:rsidRPr="00DC7A14">
        <w:rPr>
          <w:rFonts w:ascii="Times New Roman" w:hAnsi="Times New Roman" w:cs="Times New Roman"/>
          <w:sz w:val="19"/>
          <w:szCs w:val="19"/>
        </w:rPr>
        <w:t xml:space="preserve">, </w:t>
      </w:r>
      <w:r w:rsidR="00423D09" w:rsidRPr="00DC7A14">
        <w:rPr>
          <w:rFonts w:ascii="Times New Roman" w:hAnsi="Times New Roman" w:cs="Times New Roman"/>
          <w:i/>
          <w:iCs/>
          <w:sz w:val="19"/>
          <w:szCs w:val="19"/>
        </w:rPr>
        <w:t>Tasmanian Government</w:t>
      </w:r>
      <w:r w:rsidR="00DE2614" w:rsidRPr="00DC7A14">
        <w:rPr>
          <w:rFonts w:ascii="Times New Roman" w:hAnsi="Times New Roman" w:cs="Times New Roman"/>
          <w:sz w:val="19"/>
          <w:szCs w:val="19"/>
        </w:rPr>
        <w:t xml:space="preserve"> (Web Page)</w:t>
      </w:r>
      <w:r w:rsidRPr="00DC7A14">
        <w:rPr>
          <w:rFonts w:ascii="Times New Roman" w:hAnsi="Times New Roman" w:cs="Times New Roman"/>
          <w:i/>
          <w:iCs/>
          <w:sz w:val="19"/>
          <w:szCs w:val="19"/>
        </w:rPr>
        <w:t xml:space="preserve"> </w:t>
      </w:r>
      <w:r w:rsidRPr="00DC7A14">
        <w:rPr>
          <w:rFonts w:ascii="Times New Roman" w:hAnsi="Times New Roman" w:cs="Times New Roman"/>
          <w:sz w:val="19"/>
          <w:szCs w:val="19"/>
        </w:rPr>
        <w:t>&lt;</w:t>
      </w:r>
      <w:hyperlink r:id="rId16" w:history="1">
        <w:r w:rsidRPr="00DC7A14">
          <w:rPr>
            <w:rStyle w:val="Hyperlink"/>
            <w:rFonts w:ascii="Times New Roman" w:hAnsi="Times New Roman" w:cs="Times New Roman"/>
            <w:sz w:val="19"/>
            <w:szCs w:val="19"/>
          </w:rPr>
          <w:t>http://www.dpac.tas.gov.au/divisions/digital_strategy_and_services/policies/digital_data_privacy/adept</w:t>
        </w:r>
      </w:hyperlink>
      <w:r w:rsidRPr="00DC7A14">
        <w:rPr>
          <w:rFonts w:ascii="Times New Roman" w:hAnsi="Times New Roman" w:cs="Times New Roman"/>
          <w:sz w:val="19"/>
          <w:szCs w:val="19"/>
        </w:rPr>
        <w:t>&gt;</w:t>
      </w:r>
      <w:r w:rsidR="00DE2614" w:rsidRPr="00DC7A14">
        <w:rPr>
          <w:rFonts w:ascii="Times New Roman" w:hAnsi="Times New Roman" w:cs="Times New Roman"/>
          <w:sz w:val="19"/>
          <w:szCs w:val="19"/>
        </w:rPr>
        <w:t>.</w:t>
      </w:r>
    </w:p>
  </w:footnote>
  <w:footnote w:id="303">
    <w:p w14:paraId="6305CE37" w14:textId="47BCE3D1" w:rsidR="00230A1E" w:rsidRPr="00DC7A14" w:rsidRDefault="00230A1E" w:rsidP="00230A1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E2614" w:rsidRPr="00DC7A14">
        <w:rPr>
          <w:rFonts w:ascii="Times New Roman" w:hAnsi="Times New Roman" w:cs="Times New Roman"/>
          <w:sz w:val="19"/>
          <w:szCs w:val="19"/>
        </w:rPr>
        <w:t>Ibid.</w:t>
      </w:r>
    </w:p>
  </w:footnote>
  <w:footnote w:id="304">
    <w:p w14:paraId="28B794E9" w14:textId="3A7E0B1F"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iCs/>
          <w:sz w:val="19"/>
          <w:szCs w:val="19"/>
        </w:rPr>
        <w:t xml:space="preserve">Data Sharing (Government Sector) Act 2015 </w:t>
      </w:r>
      <w:r w:rsidRPr="00DC7A14">
        <w:rPr>
          <w:rFonts w:ascii="Times New Roman" w:hAnsi="Times New Roman" w:cs="Times New Roman"/>
          <w:bCs/>
          <w:iCs/>
          <w:sz w:val="19"/>
          <w:szCs w:val="19"/>
        </w:rPr>
        <w:t>(NSW) s 6.</w:t>
      </w:r>
    </w:p>
  </w:footnote>
  <w:footnote w:id="305">
    <w:p w14:paraId="5C3B996B" w14:textId="4AF47C40"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Privacy and Personal Information Protection Act 1998</w:t>
      </w:r>
      <w:r w:rsidRPr="00DC7A14">
        <w:rPr>
          <w:rFonts w:ascii="Times New Roman" w:hAnsi="Times New Roman" w:cs="Times New Roman"/>
          <w:sz w:val="19"/>
          <w:szCs w:val="19"/>
        </w:rPr>
        <w:t xml:space="preserve"> (NSW); </w:t>
      </w:r>
      <w:r w:rsidRPr="00DC7A14">
        <w:rPr>
          <w:rFonts w:ascii="Times New Roman" w:hAnsi="Times New Roman" w:cs="Times New Roman"/>
          <w:i/>
          <w:iCs/>
          <w:sz w:val="19"/>
          <w:szCs w:val="19"/>
        </w:rPr>
        <w:t xml:space="preserve">Health Records and Information Privacy Act 2002 </w:t>
      </w:r>
      <w:r w:rsidRPr="00DC7A14">
        <w:rPr>
          <w:rFonts w:ascii="Times New Roman" w:hAnsi="Times New Roman" w:cs="Times New Roman"/>
          <w:sz w:val="19"/>
          <w:szCs w:val="19"/>
        </w:rPr>
        <w:t xml:space="preserve">(NSW). </w:t>
      </w:r>
    </w:p>
  </w:footnote>
  <w:footnote w:id="306">
    <w:p w14:paraId="2D5FF3BA" w14:textId="09CC7F1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bCs/>
          <w:i/>
          <w:iCs/>
          <w:sz w:val="19"/>
          <w:szCs w:val="19"/>
        </w:rPr>
        <w:t xml:space="preserve">Data Sharing (Government Sector) Act 2015 </w:t>
      </w:r>
      <w:r w:rsidRPr="00DC7A14">
        <w:rPr>
          <w:rFonts w:ascii="Times New Roman" w:hAnsi="Times New Roman" w:cs="Times New Roman"/>
          <w:bCs/>
          <w:iCs/>
          <w:sz w:val="19"/>
          <w:szCs w:val="19"/>
        </w:rPr>
        <w:t>(NSW)</w:t>
      </w:r>
      <w:r w:rsidRPr="00DC7A14">
        <w:rPr>
          <w:rFonts w:ascii="Times New Roman" w:hAnsi="Times New Roman" w:cs="Times New Roman"/>
          <w:bCs/>
          <w:i/>
          <w:iCs/>
          <w:sz w:val="19"/>
          <w:szCs w:val="19"/>
        </w:rPr>
        <w:t xml:space="preserve"> </w:t>
      </w:r>
      <w:r w:rsidR="00423D09" w:rsidRPr="00DC7A14">
        <w:rPr>
          <w:rFonts w:ascii="Times New Roman" w:hAnsi="Times New Roman" w:cs="Times New Roman"/>
          <w:bCs/>
          <w:sz w:val="19"/>
          <w:szCs w:val="19"/>
        </w:rPr>
        <w:t>p</w:t>
      </w:r>
      <w:r w:rsidRPr="00DC7A14">
        <w:rPr>
          <w:rFonts w:ascii="Times New Roman" w:hAnsi="Times New Roman" w:cs="Times New Roman"/>
          <w:bCs/>
          <w:sz w:val="19"/>
          <w:szCs w:val="19"/>
        </w:rPr>
        <w:t>t 3</w:t>
      </w:r>
      <w:r w:rsidR="00423D09" w:rsidRPr="00DC7A14">
        <w:rPr>
          <w:rFonts w:ascii="Times New Roman" w:hAnsi="Times New Roman" w:cs="Times New Roman"/>
          <w:bCs/>
          <w:sz w:val="19"/>
          <w:szCs w:val="19"/>
        </w:rPr>
        <w:t>.</w:t>
      </w:r>
    </w:p>
  </w:footnote>
  <w:footnote w:id="307">
    <w:p w14:paraId="7F4804A2" w14:textId="32B9A682" w:rsidR="00D761C6" w:rsidRPr="00DC7A14" w:rsidRDefault="00D761C6" w:rsidP="007A1712">
      <w:pPr>
        <w:pStyle w:val="FootnoteText"/>
        <w:rPr>
          <w:rFonts w:ascii="Times New Roman" w:hAnsi="Times New Roman" w:cs="Times New Roman"/>
          <w:sz w:val="19"/>
          <w:szCs w:val="19"/>
          <w:highlight w:val="yellow"/>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Data Availability and Transparency Bill 2020 (Cth). </w:t>
      </w:r>
    </w:p>
  </w:footnote>
  <w:footnote w:id="308">
    <w:p w14:paraId="58C71EE3" w14:textId="25DBB3CC" w:rsidR="00D761C6" w:rsidRPr="00DC7A14" w:rsidRDefault="00D761C6" w:rsidP="00FF28A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Productivity Commission, </w:t>
      </w:r>
      <w:r w:rsidRPr="00DC7A14">
        <w:rPr>
          <w:rFonts w:ascii="Times New Roman" w:hAnsi="Times New Roman" w:cs="Times New Roman"/>
          <w:i/>
          <w:iCs/>
          <w:sz w:val="19"/>
          <w:szCs w:val="19"/>
        </w:rPr>
        <w:t>Data Availability and Use Final Report</w:t>
      </w:r>
      <w:r w:rsidRPr="00DC7A14">
        <w:rPr>
          <w:rFonts w:ascii="Times New Roman" w:hAnsi="Times New Roman" w:cs="Times New Roman"/>
          <w:sz w:val="19"/>
          <w:szCs w:val="19"/>
        </w:rPr>
        <w:t xml:space="preserve"> (Report, May 2017) &lt;</w:t>
      </w:r>
      <w:hyperlink r:id="rId17" w:history="1">
        <w:r w:rsidRPr="00DC7A14">
          <w:rPr>
            <w:rStyle w:val="Hyperlink"/>
            <w:rFonts w:ascii="Times New Roman" w:hAnsi="Times New Roman" w:cs="Times New Roman"/>
            <w:sz w:val="19"/>
            <w:szCs w:val="19"/>
          </w:rPr>
          <w:t>https://www.pc.gov.au/inquiries/completed/data-access/report</w:t>
        </w:r>
      </w:hyperlink>
      <w:r w:rsidRPr="00DC7A14">
        <w:rPr>
          <w:rFonts w:ascii="Times New Roman" w:hAnsi="Times New Roman" w:cs="Times New Roman"/>
          <w:sz w:val="19"/>
          <w:szCs w:val="19"/>
        </w:rPr>
        <w:t>&gt;</w:t>
      </w:r>
      <w:r w:rsidR="00961446" w:rsidRPr="00DC7A14">
        <w:rPr>
          <w:rFonts w:ascii="Times New Roman" w:hAnsi="Times New Roman" w:cs="Times New Roman"/>
          <w:sz w:val="19"/>
          <w:szCs w:val="19"/>
        </w:rPr>
        <w:t>.</w:t>
      </w:r>
    </w:p>
  </w:footnote>
  <w:footnote w:id="309">
    <w:p w14:paraId="6FC00FEB" w14:textId="4C962C96" w:rsidR="00D761C6" w:rsidRPr="00DC7A14" w:rsidRDefault="00D761C6" w:rsidP="007A1712">
      <w:pPr>
        <w:pStyle w:val="FootnoteText"/>
        <w:rPr>
          <w:rFonts w:ascii="Times New Roman" w:hAnsi="Times New Roman" w:cs="Times New Roman"/>
          <w:sz w:val="19"/>
          <w:szCs w:val="19"/>
          <w:highlight w:val="yellow"/>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Senate Standing Committee for the Scrutiny of Bills</w:t>
      </w:r>
      <w:r w:rsidR="0068292F" w:rsidRPr="00DC7A14">
        <w:rPr>
          <w:rFonts w:ascii="Times New Roman" w:hAnsi="Times New Roman" w:cs="Times New Roman"/>
          <w:sz w:val="19"/>
          <w:szCs w:val="19"/>
        </w:rPr>
        <w:t xml:space="preserve">, Parliament of Australia, </w:t>
      </w:r>
      <w:r w:rsidR="0068292F" w:rsidRPr="00DC7A14">
        <w:rPr>
          <w:rFonts w:ascii="Times New Roman" w:hAnsi="Times New Roman" w:cs="Times New Roman"/>
          <w:i/>
          <w:iCs/>
          <w:sz w:val="19"/>
          <w:szCs w:val="19"/>
        </w:rPr>
        <w:t>Scrutiny Digest</w:t>
      </w:r>
      <w:r w:rsidRPr="00DC7A14">
        <w:rPr>
          <w:rFonts w:ascii="Times New Roman" w:hAnsi="Times New Roman" w:cs="Times New Roman"/>
          <w:sz w:val="19"/>
          <w:szCs w:val="19"/>
        </w:rPr>
        <w:t xml:space="preserve"> (Digest No 5 of 2021</w:t>
      </w:r>
      <w:r w:rsidR="0068292F" w:rsidRPr="00DC7A14">
        <w:rPr>
          <w:rFonts w:ascii="Times New Roman" w:hAnsi="Times New Roman" w:cs="Times New Roman"/>
          <w:sz w:val="19"/>
          <w:szCs w:val="19"/>
        </w:rPr>
        <w:t>, 17 March 2021</w:t>
      </w:r>
      <w:r w:rsidRPr="00DC7A14">
        <w:rPr>
          <w:rFonts w:ascii="Times New Roman" w:hAnsi="Times New Roman" w:cs="Times New Roman"/>
          <w:sz w:val="19"/>
          <w:szCs w:val="19"/>
        </w:rPr>
        <w:t>); Senate Finance and Public Administration Legislation Committee</w:t>
      </w:r>
      <w:r w:rsidR="0068292F" w:rsidRPr="00DC7A14">
        <w:rPr>
          <w:rFonts w:ascii="Times New Roman" w:hAnsi="Times New Roman" w:cs="Times New Roman"/>
          <w:sz w:val="19"/>
          <w:szCs w:val="19"/>
        </w:rPr>
        <w:t xml:space="preserve">, Parliament of Australia, </w:t>
      </w:r>
      <w:r w:rsidR="0068292F" w:rsidRPr="00DC7A14">
        <w:rPr>
          <w:rFonts w:ascii="Times New Roman" w:hAnsi="Times New Roman" w:cs="Times New Roman"/>
          <w:i/>
          <w:iCs/>
          <w:sz w:val="19"/>
          <w:szCs w:val="19"/>
        </w:rPr>
        <w:t>Data Availability and Transparency Bill 2020 [Provisions] and Data Availability and Transparency (Consequential Amendments) Bill 2020 [Provisions]</w:t>
      </w:r>
      <w:r w:rsidR="0068292F" w:rsidRPr="00DC7A14">
        <w:rPr>
          <w:rFonts w:ascii="Times New Roman" w:hAnsi="Times New Roman" w:cs="Times New Roman"/>
          <w:sz w:val="19"/>
          <w:szCs w:val="19"/>
        </w:rPr>
        <w:t xml:space="preserve"> </w:t>
      </w:r>
      <w:r w:rsidRPr="00DC7A14">
        <w:rPr>
          <w:rFonts w:ascii="Times New Roman" w:hAnsi="Times New Roman" w:cs="Times New Roman"/>
          <w:sz w:val="19"/>
          <w:szCs w:val="19"/>
        </w:rPr>
        <w:t>(Report, 29 April 2021); Parliamentary Joint Committee on Human Rights</w:t>
      </w:r>
      <w:r w:rsidR="0068292F" w:rsidRPr="00DC7A14">
        <w:rPr>
          <w:rFonts w:ascii="Times New Roman" w:hAnsi="Times New Roman" w:cs="Times New Roman"/>
          <w:sz w:val="19"/>
          <w:szCs w:val="19"/>
        </w:rPr>
        <w:t xml:space="preserve">, Parliament of Australia, </w:t>
      </w:r>
      <w:r w:rsidR="000E7FA1" w:rsidRPr="00DC7A14">
        <w:rPr>
          <w:rFonts w:ascii="Times New Roman" w:hAnsi="Times New Roman" w:cs="Times New Roman"/>
          <w:i/>
          <w:iCs/>
          <w:sz w:val="19"/>
          <w:szCs w:val="19"/>
        </w:rPr>
        <w:t>Report 4 of 2021</w:t>
      </w:r>
      <w:r w:rsidR="0068292F" w:rsidRPr="00DC7A14">
        <w:rPr>
          <w:rFonts w:ascii="Times New Roman" w:hAnsi="Times New Roman" w:cs="Times New Roman"/>
          <w:sz w:val="19"/>
          <w:szCs w:val="19"/>
        </w:rPr>
        <w:t xml:space="preserve"> (Report, 31 Mar</w:t>
      </w:r>
      <w:r w:rsidR="00C864C4" w:rsidRPr="00DC7A14">
        <w:rPr>
          <w:rFonts w:ascii="Times New Roman" w:hAnsi="Times New Roman" w:cs="Times New Roman"/>
          <w:sz w:val="19"/>
          <w:szCs w:val="19"/>
        </w:rPr>
        <w:t>c</w:t>
      </w:r>
      <w:r w:rsidR="0068292F" w:rsidRPr="00DC7A14">
        <w:rPr>
          <w:rFonts w:ascii="Times New Roman" w:hAnsi="Times New Roman" w:cs="Times New Roman"/>
          <w:sz w:val="19"/>
          <w:szCs w:val="19"/>
        </w:rPr>
        <w:t>h 2021</w:t>
      </w:r>
      <w:r w:rsidRPr="00DC7A14">
        <w:rPr>
          <w:rFonts w:ascii="Times New Roman" w:hAnsi="Times New Roman" w:cs="Times New Roman"/>
          <w:sz w:val="19"/>
          <w:szCs w:val="19"/>
        </w:rPr>
        <w:t>)</w:t>
      </w:r>
      <w:r w:rsidR="0068292F" w:rsidRPr="00DC7A14">
        <w:rPr>
          <w:rFonts w:ascii="Times New Roman" w:hAnsi="Times New Roman" w:cs="Times New Roman"/>
          <w:sz w:val="19"/>
          <w:szCs w:val="19"/>
        </w:rPr>
        <w:t>.</w:t>
      </w:r>
    </w:p>
  </w:footnote>
  <w:footnote w:id="310">
    <w:p w14:paraId="2B416125" w14:textId="383961B7"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Identity–matching Services Bill 2019</w:t>
      </w:r>
      <w:r w:rsidR="000E7FA1" w:rsidRPr="00DC7A14">
        <w:rPr>
          <w:rFonts w:ascii="Times New Roman" w:hAnsi="Times New Roman" w:cs="Times New Roman"/>
          <w:sz w:val="19"/>
          <w:szCs w:val="19"/>
        </w:rPr>
        <w:t xml:space="preserve"> (Cth).</w:t>
      </w:r>
    </w:p>
  </w:footnote>
  <w:footnote w:id="311">
    <w:p w14:paraId="59FCE144" w14:textId="130AE58B" w:rsidR="002C1CD4" w:rsidRPr="00DC7A14" w:rsidRDefault="002C1C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In other words, share data unless some law </w:t>
      </w:r>
      <w:r w:rsidR="00E34340" w:rsidRPr="00DC7A14">
        <w:rPr>
          <w:rFonts w:ascii="Times New Roman" w:hAnsi="Times New Roman" w:cs="Times New Roman"/>
          <w:sz w:val="19"/>
          <w:szCs w:val="19"/>
        </w:rPr>
        <w:t xml:space="preserve">or other rule </w:t>
      </w:r>
      <w:r w:rsidRPr="00DC7A14">
        <w:rPr>
          <w:rFonts w:ascii="Times New Roman" w:hAnsi="Times New Roman" w:cs="Times New Roman"/>
          <w:sz w:val="19"/>
          <w:szCs w:val="19"/>
        </w:rPr>
        <w:t>precludes such sharing.</w:t>
      </w:r>
    </w:p>
  </w:footnote>
  <w:footnote w:id="312">
    <w:p w14:paraId="04E22D07" w14:textId="62048E0A" w:rsidR="002C1CD4" w:rsidRPr="00DC7A14" w:rsidRDefault="002C1CD4">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Intergovernmental Agreement on </w:t>
      </w:r>
      <w:r w:rsidR="00323922" w:rsidRPr="00DC7A14">
        <w:rPr>
          <w:rFonts w:ascii="Times New Roman" w:hAnsi="Times New Roman" w:cs="Times New Roman"/>
          <w:i/>
          <w:iCs/>
          <w:sz w:val="19"/>
          <w:szCs w:val="19"/>
        </w:rPr>
        <w:t>D</w:t>
      </w:r>
      <w:r w:rsidRPr="00DC7A14">
        <w:rPr>
          <w:rFonts w:ascii="Times New Roman" w:hAnsi="Times New Roman" w:cs="Times New Roman"/>
          <w:i/>
          <w:iCs/>
          <w:sz w:val="19"/>
          <w:szCs w:val="19"/>
        </w:rPr>
        <w:t xml:space="preserve">ata </w:t>
      </w:r>
      <w:r w:rsidR="00323922" w:rsidRPr="00DC7A14">
        <w:rPr>
          <w:rFonts w:ascii="Times New Roman" w:hAnsi="Times New Roman" w:cs="Times New Roman"/>
          <w:i/>
          <w:iCs/>
          <w:sz w:val="19"/>
          <w:szCs w:val="19"/>
        </w:rPr>
        <w:t>S</w:t>
      </w:r>
      <w:r w:rsidRPr="00DC7A14">
        <w:rPr>
          <w:rFonts w:ascii="Times New Roman" w:hAnsi="Times New Roman" w:cs="Times New Roman"/>
          <w:i/>
          <w:iCs/>
          <w:sz w:val="19"/>
          <w:szCs w:val="19"/>
        </w:rPr>
        <w:t>haring between Commonwealth and State and Territory governments</w:t>
      </w:r>
      <w:r w:rsidR="00890120" w:rsidRPr="00DC7A14">
        <w:rPr>
          <w:rFonts w:ascii="Times New Roman" w:hAnsi="Times New Roman" w:cs="Times New Roman"/>
          <w:sz w:val="19"/>
          <w:szCs w:val="19"/>
        </w:rPr>
        <w:t xml:space="preserve">, signed </w:t>
      </w:r>
      <w:r w:rsidRPr="00DC7A14">
        <w:rPr>
          <w:rFonts w:ascii="Times New Roman" w:hAnsi="Times New Roman" w:cs="Times New Roman"/>
          <w:sz w:val="19"/>
          <w:szCs w:val="19"/>
        </w:rPr>
        <w:t>9 July 2021 &lt;</w:t>
      </w:r>
      <w:hyperlink r:id="rId18" w:history="1">
        <w:r w:rsidRPr="00DC7A14">
          <w:rPr>
            <w:rStyle w:val="Hyperlink"/>
            <w:rFonts w:ascii="Times New Roman" w:hAnsi="Times New Roman" w:cs="Times New Roman"/>
            <w:sz w:val="19"/>
            <w:szCs w:val="19"/>
          </w:rPr>
          <w:t>https://federation.gov.au/about/agreements/intergovernmental-agreement-data-sharing</w:t>
        </w:r>
      </w:hyperlink>
      <w:r w:rsidRPr="00DC7A14">
        <w:rPr>
          <w:rFonts w:ascii="Times New Roman" w:hAnsi="Times New Roman" w:cs="Times New Roman"/>
          <w:sz w:val="19"/>
          <w:szCs w:val="19"/>
        </w:rPr>
        <w:t>&gt;.</w:t>
      </w:r>
    </w:p>
  </w:footnote>
  <w:footnote w:id="313">
    <w:p w14:paraId="554E23F3" w14:textId="3E21017B" w:rsidR="00CA48CD" w:rsidRPr="00DC7A14" w:rsidRDefault="00CA48CD" w:rsidP="00CA48C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Office of the National Data Commissioner, </w:t>
      </w:r>
      <w:r w:rsidRPr="00DC7A14">
        <w:rPr>
          <w:rFonts w:ascii="Times New Roman" w:hAnsi="Times New Roman" w:cs="Times New Roman"/>
          <w:i/>
          <w:iCs/>
          <w:sz w:val="19"/>
          <w:szCs w:val="19"/>
        </w:rPr>
        <w:t>Best Practice Guide to Applying Data Sharing Principles</w:t>
      </w:r>
      <w:r w:rsidRPr="00DC7A14">
        <w:rPr>
          <w:rFonts w:ascii="Times New Roman" w:hAnsi="Times New Roman" w:cs="Times New Roman"/>
          <w:sz w:val="19"/>
          <w:szCs w:val="19"/>
        </w:rPr>
        <w:t xml:space="preserve"> (</w:t>
      </w:r>
      <w:r w:rsidR="00DB484D" w:rsidRPr="00DC7A14">
        <w:rPr>
          <w:rFonts w:ascii="Times New Roman" w:hAnsi="Times New Roman" w:cs="Times New Roman"/>
          <w:sz w:val="19"/>
          <w:szCs w:val="19"/>
        </w:rPr>
        <w:t xml:space="preserve">Guidance Document, </w:t>
      </w:r>
      <w:r w:rsidR="00105770" w:rsidRPr="00DC7A14">
        <w:rPr>
          <w:rFonts w:ascii="Times New Roman" w:hAnsi="Times New Roman" w:cs="Times New Roman"/>
          <w:sz w:val="19"/>
          <w:szCs w:val="19"/>
        </w:rPr>
        <w:t xml:space="preserve">15 March </w:t>
      </w:r>
      <w:r w:rsidRPr="00DC7A14">
        <w:rPr>
          <w:rFonts w:ascii="Times New Roman" w:hAnsi="Times New Roman" w:cs="Times New Roman"/>
          <w:sz w:val="19"/>
          <w:szCs w:val="19"/>
        </w:rPr>
        <w:t>2019</w:t>
      </w:r>
      <w:r w:rsidR="00105770"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p>
  </w:footnote>
  <w:footnote w:id="314">
    <w:p w14:paraId="36A4AB43" w14:textId="7422B589"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457C58">
        <w:rPr>
          <w:rFonts w:ascii="Times New Roman" w:hAnsi="Times New Roman" w:cs="Times New Roman"/>
          <w:i/>
          <w:iCs/>
          <w:sz w:val="19"/>
          <w:szCs w:val="19"/>
        </w:rPr>
        <w:t xml:space="preserve">Clubb v </w:t>
      </w:r>
      <w:r w:rsidRPr="00164EF9">
        <w:rPr>
          <w:rFonts w:ascii="Times New Roman" w:hAnsi="Times New Roman" w:cs="Times New Roman"/>
          <w:i/>
          <w:iCs/>
          <w:sz w:val="19"/>
          <w:szCs w:val="19"/>
        </w:rPr>
        <w:t>Edwards</w:t>
      </w:r>
      <w:r w:rsidR="00696396" w:rsidRPr="00DC7A14">
        <w:rPr>
          <w:rFonts w:ascii="Times New Roman" w:hAnsi="Times New Roman" w:cs="Times New Roman"/>
          <w:sz w:val="19"/>
          <w:szCs w:val="19"/>
        </w:rPr>
        <w:t>;</w:t>
      </w:r>
      <w:r w:rsidRPr="00DC7A14">
        <w:rPr>
          <w:rFonts w:ascii="Times New Roman" w:hAnsi="Times New Roman" w:cs="Times New Roman"/>
          <w:i/>
          <w:iCs/>
          <w:sz w:val="19"/>
          <w:szCs w:val="19"/>
        </w:rPr>
        <w:t xml:space="preserve"> </w:t>
      </w:r>
      <w:r w:rsidR="00696396" w:rsidRPr="00DC7A14">
        <w:rPr>
          <w:rFonts w:ascii="Times New Roman" w:hAnsi="Times New Roman" w:cs="Times New Roman"/>
          <w:i/>
          <w:iCs/>
          <w:sz w:val="19"/>
          <w:szCs w:val="19"/>
        </w:rPr>
        <w:t>Preston v Avery</w:t>
      </w:r>
      <w:r w:rsidR="00696396" w:rsidRPr="00DC7A14">
        <w:rPr>
          <w:rFonts w:ascii="Times New Roman" w:hAnsi="Times New Roman" w:cs="Times New Roman"/>
          <w:sz w:val="19"/>
          <w:szCs w:val="19"/>
        </w:rPr>
        <w:t xml:space="preserve"> (2019) 267 CLR 171</w:t>
      </w:r>
      <w:r w:rsidR="00EA6A7E" w:rsidRPr="00DC7A14">
        <w:rPr>
          <w:rFonts w:ascii="Times New Roman" w:hAnsi="Times New Roman" w:cs="Times New Roman"/>
          <w:sz w:val="19"/>
          <w:szCs w:val="19"/>
        </w:rPr>
        <w:t>.</w:t>
      </w:r>
    </w:p>
  </w:footnote>
  <w:footnote w:id="315">
    <w:p w14:paraId="1209B66A" w14:textId="77777777" w:rsidR="00E5785F" w:rsidRPr="00DC7A14" w:rsidRDefault="00E5785F" w:rsidP="00E5785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Health Complaints Act 1995 </w:t>
      </w:r>
      <w:r w:rsidRPr="00DC7A14">
        <w:rPr>
          <w:rFonts w:ascii="Times New Roman" w:hAnsi="Times New Roman" w:cs="Times New Roman"/>
          <w:bCs/>
          <w:iCs/>
          <w:sz w:val="19"/>
          <w:szCs w:val="19"/>
        </w:rPr>
        <w:t>(Tas) s 23.</w:t>
      </w:r>
    </w:p>
  </w:footnote>
  <w:footnote w:id="316">
    <w:p w14:paraId="4B58FEB1" w14:textId="33129492"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This can be compared to the definition of </w:t>
      </w:r>
      <w:r w:rsidR="00EA6A7E" w:rsidRPr="00DC7A14">
        <w:rPr>
          <w:rFonts w:ascii="Times New Roman" w:hAnsi="Times New Roman" w:cs="Times New Roman"/>
          <w:sz w:val="19"/>
          <w:szCs w:val="19"/>
        </w:rPr>
        <w:t>‘</w:t>
      </w:r>
      <w:r w:rsidRPr="00DC7A14">
        <w:rPr>
          <w:rFonts w:ascii="Times New Roman" w:hAnsi="Times New Roman" w:cs="Times New Roman"/>
          <w:sz w:val="19"/>
          <w:szCs w:val="19"/>
        </w:rPr>
        <w:t>health service</w:t>
      </w:r>
      <w:r w:rsidR="00EA6A7E" w:rsidRPr="00DC7A14">
        <w:rPr>
          <w:rFonts w:ascii="Times New Roman" w:hAnsi="Times New Roman" w:cs="Times New Roman"/>
          <w:sz w:val="19"/>
          <w:szCs w:val="19"/>
        </w:rPr>
        <w:t>’</w:t>
      </w:r>
      <w:r w:rsidRPr="00DC7A14">
        <w:rPr>
          <w:rFonts w:ascii="Times New Roman" w:hAnsi="Times New Roman" w:cs="Times New Roman"/>
          <w:sz w:val="19"/>
          <w:szCs w:val="19"/>
        </w:rPr>
        <w:t xml:space="preserve"> in </w:t>
      </w:r>
      <w:r w:rsidR="0055290C" w:rsidRPr="00DC7A14">
        <w:rPr>
          <w:rFonts w:ascii="Times New Roman" w:hAnsi="Times New Roman" w:cs="Times New Roman"/>
          <w:sz w:val="19"/>
          <w:szCs w:val="19"/>
        </w:rPr>
        <w:t xml:space="preserve">the </w:t>
      </w:r>
      <w:r w:rsidRPr="00DC7A14">
        <w:rPr>
          <w:rFonts w:ascii="Times New Roman" w:hAnsi="Times New Roman" w:cs="Times New Roman"/>
          <w:sz w:val="19"/>
          <w:szCs w:val="19"/>
        </w:rPr>
        <w:t xml:space="preserve">PIPA, see above at </w:t>
      </w:r>
      <w:r w:rsidR="00D332F8" w:rsidRPr="00DC7A14">
        <w:rPr>
          <w:rFonts w:ascii="Times New Roman" w:hAnsi="Times New Roman" w:cs="Times New Roman"/>
          <w:sz w:val="19"/>
          <w:szCs w:val="19"/>
        </w:rPr>
        <w:t>[</w:t>
      </w:r>
      <w:r w:rsidR="00D24937">
        <w:rPr>
          <w:rFonts w:ascii="Times New Roman" w:hAnsi="Times New Roman" w:cs="Times New Roman"/>
          <w:sz w:val="19"/>
          <w:szCs w:val="19"/>
        </w:rPr>
        <w:fldChar w:fldCharType="begin"/>
      </w:r>
      <w:r w:rsidR="00D24937">
        <w:rPr>
          <w:rFonts w:ascii="Times New Roman" w:hAnsi="Times New Roman" w:cs="Times New Roman"/>
          <w:sz w:val="19"/>
          <w:szCs w:val="19"/>
        </w:rPr>
        <w:instrText xml:space="preserve"> REF _Ref91765428 \r \h </w:instrText>
      </w:r>
      <w:r w:rsidR="00D24937">
        <w:rPr>
          <w:rFonts w:ascii="Times New Roman" w:hAnsi="Times New Roman" w:cs="Times New Roman"/>
          <w:sz w:val="19"/>
          <w:szCs w:val="19"/>
        </w:rPr>
      </w:r>
      <w:r w:rsidR="00D24937">
        <w:rPr>
          <w:rFonts w:ascii="Times New Roman" w:hAnsi="Times New Roman" w:cs="Times New Roman"/>
          <w:sz w:val="19"/>
          <w:szCs w:val="19"/>
        </w:rPr>
        <w:fldChar w:fldCharType="separate"/>
      </w:r>
      <w:r w:rsidR="00E66B60">
        <w:rPr>
          <w:rFonts w:ascii="Times New Roman" w:hAnsi="Times New Roman" w:cs="Times New Roman"/>
          <w:sz w:val="19"/>
          <w:szCs w:val="19"/>
        </w:rPr>
        <w:t>2.2.37</w:t>
      </w:r>
      <w:r w:rsidR="00D24937">
        <w:rPr>
          <w:rFonts w:ascii="Times New Roman" w:hAnsi="Times New Roman" w:cs="Times New Roman"/>
          <w:sz w:val="19"/>
          <w:szCs w:val="19"/>
        </w:rPr>
        <w:fldChar w:fldCharType="end"/>
      </w:r>
      <w:r w:rsidR="00407CC1">
        <w:rPr>
          <w:rFonts w:ascii="Times New Roman" w:hAnsi="Times New Roman" w:cs="Times New Roman"/>
          <w:sz w:val="19"/>
          <w:szCs w:val="19"/>
        </w:rPr>
        <w:t>]</w:t>
      </w:r>
      <w:r w:rsidRPr="00DC7A14">
        <w:rPr>
          <w:rFonts w:ascii="Times New Roman" w:hAnsi="Times New Roman" w:cs="Times New Roman"/>
          <w:sz w:val="19"/>
          <w:szCs w:val="19"/>
        </w:rPr>
        <w:t>.</w:t>
      </w:r>
    </w:p>
  </w:footnote>
  <w:footnote w:id="317">
    <w:p w14:paraId="3FCF4B05" w14:textId="22E2FC8C"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Health Complaints Act 1995 </w:t>
      </w:r>
      <w:r w:rsidRPr="00DC7A14">
        <w:rPr>
          <w:rFonts w:ascii="Times New Roman" w:hAnsi="Times New Roman" w:cs="Times New Roman"/>
          <w:bCs/>
          <w:iCs/>
          <w:sz w:val="19"/>
          <w:szCs w:val="19"/>
        </w:rPr>
        <w:t xml:space="preserve">(Tas) </w:t>
      </w:r>
      <w:r w:rsidR="009811B7" w:rsidRPr="00DC7A14">
        <w:rPr>
          <w:rFonts w:ascii="Times New Roman" w:hAnsi="Times New Roman" w:cs="Times New Roman"/>
          <w:bCs/>
          <w:iCs/>
          <w:sz w:val="19"/>
          <w:szCs w:val="19"/>
        </w:rPr>
        <w:t>s</w:t>
      </w:r>
      <w:r w:rsidRPr="00DC7A14">
        <w:rPr>
          <w:rFonts w:ascii="Times New Roman" w:hAnsi="Times New Roman" w:cs="Times New Roman"/>
          <w:bCs/>
          <w:iCs/>
          <w:sz w:val="19"/>
          <w:szCs w:val="19"/>
        </w:rPr>
        <w:t xml:space="preserve">ch </w:t>
      </w:r>
      <w:r w:rsidR="00D24937">
        <w:rPr>
          <w:rFonts w:ascii="Times New Roman" w:hAnsi="Times New Roman" w:cs="Times New Roman"/>
          <w:bCs/>
          <w:iCs/>
          <w:sz w:val="19"/>
          <w:szCs w:val="19"/>
        </w:rPr>
        <w:t>1</w:t>
      </w:r>
      <w:r w:rsidRPr="00DC7A14">
        <w:rPr>
          <w:rFonts w:ascii="Times New Roman" w:hAnsi="Times New Roman" w:cs="Times New Roman"/>
          <w:bCs/>
          <w:iCs/>
          <w:sz w:val="19"/>
          <w:szCs w:val="19"/>
        </w:rPr>
        <w:t xml:space="preserve"> </w:t>
      </w:r>
      <w:r w:rsidR="009811B7" w:rsidRPr="00DC7A14">
        <w:rPr>
          <w:rFonts w:ascii="Times New Roman" w:hAnsi="Times New Roman" w:cs="Times New Roman"/>
          <w:bCs/>
          <w:iCs/>
          <w:sz w:val="19"/>
          <w:szCs w:val="19"/>
        </w:rPr>
        <w:t xml:space="preserve">pt </w:t>
      </w:r>
      <w:r w:rsidRPr="00DC7A14">
        <w:rPr>
          <w:rFonts w:ascii="Times New Roman" w:hAnsi="Times New Roman" w:cs="Times New Roman"/>
          <w:bCs/>
          <w:iCs/>
          <w:sz w:val="19"/>
          <w:szCs w:val="19"/>
        </w:rPr>
        <w:t xml:space="preserve">1. Note that services related to claims under the </w:t>
      </w:r>
      <w:r w:rsidRPr="00DC7A14">
        <w:rPr>
          <w:rFonts w:ascii="Times New Roman" w:hAnsi="Times New Roman" w:cs="Times New Roman"/>
          <w:bCs/>
          <w:i/>
          <w:sz w:val="19"/>
          <w:szCs w:val="19"/>
        </w:rPr>
        <w:t>Workers Rehabilitation and Compensation Act 1988</w:t>
      </w:r>
      <w:r w:rsidRPr="00DC7A14">
        <w:rPr>
          <w:rFonts w:ascii="Times New Roman" w:hAnsi="Times New Roman" w:cs="Times New Roman"/>
          <w:bCs/>
          <w:iCs/>
          <w:sz w:val="19"/>
          <w:szCs w:val="19"/>
        </w:rPr>
        <w:t xml:space="preserve"> </w:t>
      </w:r>
      <w:r w:rsidR="00D24937">
        <w:rPr>
          <w:rFonts w:ascii="Times New Roman" w:hAnsi="Times New Roman" w:cs="Times New Roman"/>
          <w:bCs/>
          <w:iCs/>
          <w:sz w:val="19"/>
          <w:szCs w:val="19"/>
        </w:rPr>
        <w:t xml:space="preserve">(Tas) </w:t>
      </w:r>
      <w:r w:rsidRPr="00DC7A14">
        <w:rPr>
          <w:rFonts w:ascii="Times New Roman" w:hAnsi="Times New Roman" w:cs="Times New Roman"/>
          <w:bCs/>
          <w:iCs/>
          <w:sz w:val="19"/>
          <w:szCs w:val="19"/>
        </w:rPr>
        <w:t xml:space="preserve">and action under the </w:t>
      </w:r>
      <w:r w:rsidRPr="00DC7A14">
        <w:rPr>
          <w:rFonts w:ascii="Times New Roman" w:hAnsi="Times New Roman" w:cs="Times New Roman"/>
          <w:bCs/>
          <w:i/>
          <w:sz w:val="19"/>
          <w:szCs w:val="19"/>
        </w:rPr>
        <w:t>Asbestos-Related Diseases (Occupational Exposure) Compensation Act 2011</w:t>
      </w:r>
      <w:r w:rsidRPr="00DC7A14">
        <w:rPr>
          <w:rFonts w:ascii="Times New Roman" w:hAnsi="Times New Roman" w:cs="Times New Roman"/>
          <w:bCs/>
          <w:iCs/>
          <w:sz w:val="19"/>
          <w:szCs w:val="19"/>
        </w:rPr>
        <w:t xml:space="preserve"> </w:t>
      </w:r>
      <w:r w:rsidR="00D24937">
        <w:rPr>
          <w:rFonts w:ascii="Times New Roman" w:hAnsi="Times New Roman" w:cs="Times New Roman"/>
          <w:bCs/>
          <w:iCs/>
          <w:sz w:val="19"/>
          <w:szCs w:val="19"/>
        </w:rPr>
        <w:t xml:space="preserve">(Tas) </w:t>
      </w:r>
      <w:r w:rsidRPr="00DC7A14">
        <w:rPr>
          <w:rFonts w:ascii="Times New Roman" w:hAnsi="Times New Roman" w:cs="Times New Roman"/>
          <w:bCs/>
          <w:iCs/>
          <w:sz w:val="19"/>
          <w:szCs w:val="19"/>
        </w:rPr>
        <w:t xml:space="preserve">are not health services: </w:t>
      </w:r>
      <w:r w:rsidR="001F45D8" w:rsidRPr="00DC7A14">
        <w:rPr>
          <w:rFonts w:ascii="Times New Roman" w:hAnsi="Times New Roman" w:cs="Times New Roman"/>
          <w:bCs/>
          <w:iCs/>
          <w:sz w:val="19"/>
          <w:szCs w:val="19"/>
        </w:rPr>
        <w:t>at s</w:t>
      </w:r>
      <w:r w:rsidRPr="00DC7A14">
        <w:rPr>
          <w:rFonts w:ascii="Times New Roman" w:hAnsi="Times New Roman" w:cs="Times New Roman"/>
          <w:bCs/>
          <w:iCs/>
          <w:sz w:val="19"/>
          <w:szCs w:val="19"/>
        </w:rPr>
        <w:t xml:space="preserve">ch </w:t>
      </w:r>
      <w:r w:rsidR="00D24937">
        <w:rPr>
          <w:rFonts w:ascii="Times New Roman" w:hAnsi="Times New Roman" w:cs="Times New Roman"/>
          <w:bCs/>
          <w:iCs/>
          <w:sz w:val="19"/>
          <w:szCs w:val="19"/>
        </w:rPr>
        <w:t>1</w:t>
      </w:r>
      <w:r w:rsidRPr="00DC7A14">
        <w:rPr>
          <w:rFonts w:ascii="Times New Roman" w:hAnsi="Times New Roman" w:cs="Times New Roman"/>
          <w:bCs/>
          <w:iCs/>
          <w:sz w:val="19"/>
          <w:szCs w:val="19"/>
        </w:rPr>
        <w:t xml:space="preserve"> </w:t>
      </w:r>
      <w:r w:rsidR="001F45D8" w:rsidRPr="00DC7A14">
        <w:rPr>
          <w:rFonts w:ascii="Times New Roman" w:hAnsi="Times New Roman" w:cs="Times New Roman"/>
          <w:bCs/>
          <w:iCs/>
          <w:sz w:val="19"/>
          <w:szCs w:val="19"/>
        </w:rPr>
        <w:t xml:space="preserve">pt </w:t>
      </w:r>
      <w:r w:rsidRPr="00DC7A14">
        <w:rPr>
          <w:rFonts w:ascii="Times New Roman" w:hAnsi="Times New Roman" w:cs="Times New Roman"/>
          <w:bCs/>
          <w:iCs/>
          <w:sz w:val="19"/>
          <w:szCs w:val="19"/>
        </w:rPr>
        <w:t>2.</w:t>
      </w:r>
    </w:p>
  </w:footnote>
  <w:footnote w:id="318">
    <w:p w14:paraId="0ECC5E11" w14:textId="496F7F9A"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Health Complaints Act 1995 </w:t>
      </w:r>
      <w:r w:rsidRPr="00DC7A14">
        <w:rPr>
          <w:rFonts w:ascii="Times New Roman" w:hAnsi="Times New Roman" w:cs="Times New Roman"/>
          <w:bCs/>
          <w:iCs/>
          <w:sz w:val="19"/>
          <w:szCs w:val="19"/>
        </w:rPr>
        <w:t>(Tas)</w:t>
      </w:r>
      <w:r w:rsidRPr="00DC7A14">
        <w:rPr>
          <w:rFonts w:ascii="Times New Roman" w:hAnsi="Times New Roman" w:cs="Times New Roman"/>
          <w:bCs/>
          <w:i/>
          <w:sz w:val="19"/>
          <w:szCs w:val="19"/>
        </w:rPr>
        <w:t xml:space="preserve"> </w:t>
      </w:r>
      <w:r w:rsidR="009B7E83" w:rsidRPr="00DC7A14">
        <w:rPr>
          <w:rFonts w:ascii="Times New Roman" w:hAnsi="Times New Roman" w:cs="Times New Roman"/>
          <w:bCs/>
          <w:iCs/>
          <w:sz w:val="19"/>
          <w:szCs w:val="19"/>
        </w:rPr>
        <w:t>s</w:t>
      </w:r>
      <w:r w:rsidRPr="00DC7A14">
        <w:rPr>
          <w:rFonts w:ascii="Times New Roman" w:hAnsi="Times New Roman" w:cs="Times New Roman"/>
          <w:bCs/>
          <w:iCs/>
          <w:sz w:val="19"/>
          <w:szCs w:val="19"/>
        </w:rPr>
        <w:t xml:space="preserve">s 17, 20. </w:t>
      </w:r>
      <w:r w:rsidRPr="00DC7A14">
        <w:rPr>
          <w:rFonts w:ascii="Times New Roman" w:hAnsi="Times New Roman" w:cs="Times New Roman"/>
          <w:bCs/>
          <w:sz w:val="19"/>
          <w:szCs w:val="19"/>
        </w:rPr>
        <w:t>The Charter must reflect principles such as effective patient participation in health decisions, patients taking an active role in their health care, preservation of the confidentiality of a patient’s health information, and access to a patient’s own health records.</w:t>
      </w:r>
    </w:p>
  </w:footnote>
  <w:footnote w:id="319">
    <w:p w14:paraId="304F6FB7" w14:textId="107713AC" w:rsidR="00737408" w:rsidRPr="00DC7A14" w:rsidRDefault="00737408" w:rsidP="0073740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E276A"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23(1)(k).</w:t>
      </w:r>
    </w:p>
  </w:footnote>
  <w:footnote w:id="320">
    <w:p w14:paraId="727D9CEA" w14:textId="4A672401" w:rsidR="00737408" w:rsidRPr="00DC7A14" w:rsidRDefault="00737408" w:rsidP="0073740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EE276A" w:rsidRPr="00DC7A14">
        <w:rPr>
          <w:rFonts w:ascii="Times New Roman" w:hAnsi="Times New Roman" w:cs="Times New Roman"/>
          <w:sz w:val="19"/>
          <w:szCs w:val="19"/>
        </w:rPr>
        <w:t>Ibid</w:t>
      </w:r>
      <w:r w:rsidRPr="00DC7A14">
        <w:rPr>
          <w:rFonts w:ascii="Times New Roman" w:hAnsi="Times New Roman" w:cs="Times New Roman"/>
          <w:sz w:val="19"/>
          <w:szCs w:val="19"/>
        </w:rPr>
        <w:t xml:space="preserve"> s 75.</w:t>
      </w:r>
    </w:p>
  </w:footnote>
  <w:footnote w:id="321">
    <w:p w14:paraId="51416B0C" w14:textId="2ACB1ACA"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38110A" w:rsidRPr="00DC7A14">
        <w:rPr>
          <w:rFonts w:ascii="Times New Roman" w:hAnsi="Times New Roman" w:cs="Times New Roman"/>
          <w:i/>
          <w:iCs/>
          <w:sz w:val="19"/>
          <w:szCs w:val="19"/>
        </w:rPr>
        <w:t>Tasmanian</w:t>
      </w:r>
      <w:r w:rsidR="0038110A"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Charter of Health Rights and Responsibilities </w:t>
      </w:r>
      <w:r w:rsidR="001A7D19" w:rsidRPr="00DC7A14">
        <w:rPr>
          <w:rFonts w:ascii="Times New Roman" w:hAnsi="Times New Roman" w:cs="Times New Roman"/>
          <w:bCs/>
          <w:iCs/>
          <w:sz w:val="19"/>
          <w:szCs w:val="19"/>
        </w:rPr>
        <w:t xml:space="preserve">arts </w:t>
      </w:r>
      <w:r w:rsidRPr="00DC7A14">
        <w:rPr>
          <w:rFonts w:ascii="Times New Roman" w:hAnsi="Times New Roman" w:cs="Times New Roman"/>
          <w:bCs/>
          <w:iCs/>
          <w:sz w:val="19"/>
          <w:szCs w:val="19"/>
        </w:rPr>
        <w:t>1, 3.</w:t>
      </w:r>
    </w:p>
  </w:footnote>
  <w:footnote w:id="322">
    <w:p w14:paraId="48979A87" w14:textId="77777777" w:rsidR="00D43CD7" w:rsidRPr="00DC7A14" w:rsidRDefault="00D43CD7" w:rsidP="00D43CD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Health Complaints Act 1995</w:t>
      </w:r>
      <w:r w:rsidRPr="00DC7A14">
        <w:rPr>
          <w:rFonts w:ascii="Times New Roman" w:hAnsi="Times New Roman" w:cs="Times New Roman"/>
          <w:sz w:val="19"/>
          <w:szCs w:val="19"/>
        </w:rPr>
        <w:t xml:space="preserve"> (Tas) s 62B.</w:t>
      </w:r>
    </w:p>
  </w:footnote>
  <w:footnote w:id="323">
    <w:p w14:paraId="1B02F546" w14:textId="5846FA0B"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2F35A3" w:rsidRPr="00DC7A14">
        <w:rPr>
          <w:rFonts w:ascii="Times New Roman" w:hAnsi="Times New Roman" w:cs="Times New Roman"/>
          <w:sz w:val="19"/>
          <w:szCs w:val="19"/>
        </w:rPr>
        <w:t>Ibid</w:t>
      </w:r>
      <w:r w:rsidR="00737408" w:rsidRPr="00DC7A14">
        <w:rPr>
          <w:rFonts w:ascii="Times New Roman" w:hAnsi="Times New Roman" w:cs="Times New Roman"/>
          <w:sz w:val="19"/>
          <w:szCs w:val="19"/>
        </w:rPr>
        <w:t xml:space="preserve"> </w:t>
      </w:r>
      <w:r w:rsidRPr="00DC7A14">
        <w:rPr>
          <w:rFonts w:ascii="Times New Roman" w:hAnsi="Times New Roman" w:cs="Times New Roman"/>
          <w:sz w:val="19"/>
          <w:szCs w:val="19"/>
        </w:rPr>
        <w:t>s 65. These include penalties for recording, disclosing</w:t>
      </w:r>
      <w:r w:rsidR="00E56195" w:rsidRPr="00DC7A14">
        <w:rPr>
          <w:rFonts w:ascii="Times New Roman" w:hAnsi="Times New Roman" w:cs="Times New Roman"/>
          <w:sz w:val="19"/>
          <w:szCs w:val="19"/>
        </w:rPr>
        <w:t>,</w:t>
      </w:r>
      <w:r w:rsidRPr="00DC7A14">
        <w:rPr>
          <w:rFonts w:ascii="Times New Roman" w:hAnsi="Times New Roman" w:cs="Times New Roman"/>
          <w:sz w:val="19"/>
          <w:szCs w:val="19"/>
        </w:rPr>
        <w:t xml:space="preserve"> or using confidential information gained through administration of the Act unless </w:t>
      </w:r>
      <w:r w:rsidR="00E56195" w:rsidRPr="00DC7A14">
        <w:rPr>
          <w:rFonts w:ascii="Times New Roman" w:hAnsi="Times New Roman" w:cs="Times New Roman"/>
          <w:sz w:val="19"/>
          <w:szCs w:val="19"/>
        </w:rPr>
        <w:t xml:space="preserve">it is </w:t>
      </w:r>
      <w:r w:rsidRPr="00DC7A14">
        <w:rPr>
          <w:rFonts w:ascii="Times New Roman" w:hAnsi="Times New Roman" w:cs="Times New Roman"/>
          <w:sz w:val="19"/>
          <w:szCs w:val="19"/>
        </w:rPr>
        <w:t xml:space="preserve">necessary for the purposes of the Act, expressly authorised or required under other legislation or regulations, or authorised in writing by the person to whom it relates. </w:t>
      </w:r>
    </w:p>
  </w:footnote>
  <w:footnote w:id="324">
    <w:p w14:paraId="16A7D122" w14:textId="273136D8" w:rsidR="00D761C6" w:rsidRPr="00DC7A14" w:rsidRDefault="00D761C6" w:rsidP="007A171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65(5). </w:t>
      </w:r>
    </w:p>
  </w:footnote>
  <w:footnote w:id="325">
    <w:p w14:paraId="55B48007" w14:textId="596BEFE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i/>
          <w:sz w:val="19"/>
          <w:szCs w:val="19"/>
        </w:rPr>
        <w:t xml:space="preserve"> </w:t>
      </w:r>
      <w:r w:rsidRPr="00DC7A14">
        <w:rPr>
          <w:rFonts w:ascii="Times New Roman" w:hAnsi="Times New Roman" w:cs="Times New Roman"/>
          <w:bCs/>
          <w:i/>
          <w:sz w:val="19"/>
          <w:szCs w:val="19"/>
        </w:rPr>
        <w:t xml:space="preserve">Forensic Procedures Act 2000 </w:t>
      </w:r>
      <w:r w:rsidRPr="00DC7A14">
        <w:rPr>
          <w:rFonts w:ascii="Times New Roman" w:hAnsi="Times New Roman" w:cs="Times New Roman"/>
          <w:bCs/>
          <w:iCs/>
          <w:sz w:val="19"/>
          <w:szCs w:val="19"/>
        </w:rPr>
        <w:t xml:space="preserve">(Tas) </w:t>
      </w:r>
      <w:r w:rsidR="00E419D6" w:rsidRPr="00DC7A14">
        <w:rPr>
          <w:rFonts w:ascii="Times New Roman" w:hAnsi="Times New Roman" w:cs="Times New Roman"/>
          <w:bCs/>
          <w:iCs/>
          <w:sz w:val="19"/>
          <w:szCs w:val="19"/>
        </w:rPr>
        <w:t>s</w:t>
      </w:r>
      <w:r w:rsidRPr="00DC7A14">
        <w:rPr>
          <w:rFonts w:ascii="Times New Roman" w:hAnsi="Times New Roman" w:cs="Times New Roman"/>
          <w:bCs/>
          <w:iCs/>
          <w:sz w:val="19"/>
          <w:szCs w:val="19"/>
        </w:rPr>
        <w:t>s</w:t>
      </w:r>
      <w:r w:rsidRPr="00DC7A14">
        <w:rPr>
          <w:rFonts w:ascii="Times New Roman" w:hAnsi="Times New Roman" w:cs="Times New Roman"/>
          <w:sz w:val="19"/>
          <w:szCs w:val="19"/>
        </w:rPr>
        <w:t xml:space="preserve"> 34K(1)(b), 35(a). </w:t>
      </w:r>
    </w:p>
  </w:footnote>
  <w:footnote w:id="326">
    <w:p w14:paraId="5697432F" w14:textId="08284ED5"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Listening Devices Act 1991 </w:t>
      </w:r>
      <w:r w:rsidRPr="00DC7A14">
        <w:rPr>
          <w:rFonts w:ascii="Times New Roman" w:hAnsi="Times New Roman" w:cs="Times New Roman"/>
          <w:bCs/>
          <w:iCs/>
          <w:sz w:val="19"/>
          <w:szCs w:val="19"/>
        </w:rPr>
        <w:t xml:space="preserve">(Tas) s 5(1). </w:t>
      </w:r>
    </w:p>
  </w:footnote>
  <w:footnote w:id="327">
    <w:p w14:paraId="03F953D2" w14:textId="21D27E1D"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3(1). </w:t>
      </w:r>
    </w:p>
  </w:footnote>
  <w:footnote w:id="328">
    <w:p w14:paraId="2D6F37E1" w14:textId="5ED1D948" w:rsidR="00B44091" w:rsidRPr="00DC7A14" w:rsidRDefault="00B44091" w:rsidP="00B4409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With penalties up to </w:t>
      </w:r>
      <w:r w:rsidRPr="00DC7A14">
        <w:rPr>
          <w:rFonts w:ascii="Times New Roman" w:hAnsi="Times New Roman" w:cs="Times New Roman"/>
          <w:bCs/>
          <w:sz w:val="19"/>
          <w:szCs w:val="19"/>
          <w:lang w:val="en-GB"/>
        </w:rPr>
        <w:t>maximum imprisonment of two years and/or 40 penalty units (or 500 penalty units for a corporation</w:t>
      </w:r>
      <w:r w:rsidR="00D24937">
        <w:rPr>
          <w:rFonts w:ascii="Times New Roman" w:hAnsi="Times New Roman" w:cs="Times New Roman"/>
          <w:bCs/>
          <w:sz w:val="19"/>
          <w:szCs w:val="19"/>
          <w:lang w:val="en-GB"/>
        </w:rPr>
        <w:t>)</w:t>
      </w:r>
      <w:r w:rsidRPr="00DC7A14">
        <w:rPr>
          <w:rFonts w:ascii="Times New Roman" w:hAnsi="Times New Roman" w:cs="Times New Roman"/>
          <w:bCs/>
          <w:sz w:val="19"/>
          <w:szCs w:val="19"/>
          <w:lang w:val="en-GB"/>
        </w:rPr>
        <w:t xml:space="preserve">: </w:t>
      </w:r>
      <w:r w:rsidR="00332014" w:rsidRPr="00DC7A14">
        <w:rPr>
          <w:rFonts w:ascii="Times New Roman" w:hAnsi="Times New Roman" w:cs="Times New Roman"/>
          <w:sz w:val="19"/>
          <w:szCs w:val="19"/>
        </w:rPr>
        <w:t>i</w:t>
      </w:r>
      <w:r w:rsidRPr="00DC7A14">
        <w:rPr>
          <w:rFonts w:ascii="Times New Roman" w:hAnsi="Times New Roman" w:cs="Times New Roman"/>
          <w:sz w:val="19"/>
          <w:szCs w:val="19"/>
        </w:rPr>
        <w:t xml:space="preserve">bid s 12. </w:t>
      </w:r>
    </w:p>
  </w:footnote>
  <w:footnote w:id="329">
    <w:p w14:paraId="040C3428" w14:textId="56B4DC07" w:rsidR="00AF02B9" w:rsidRPr="00DC7A14" w:rsidRDefault="00AF02B9" w:rsidP="00AF02B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332014" w:rsidRPr="00DC7A14">
        <w:rPr>
          <w:rFonts w:ascii="Times New Roman" w:hAnsi="Times New Roman" w:cs="Times New Roman"/>
          <w:sz w:val="19"/>
          <w:szCs w:val="19"/>
        </w:rPr>
        <w:t>pt</w:t>
      </w:r>
      <w:r w:rsidRPr="00DC7A14">
        <w:rPr>
          <w:rFonts w:ascii="Times New Roman" w:hAnsi="Times New Roman" w:cs="Times New Roman"/>
          <w:sz w:val="19"/>
          <w:szCs w:val="19"/>
        </w:rPr>
        <w:t xml:space="preserve"> III. </w:t>
      </w:r>
    </w:p>
  </w:footnote>
  <w:footnote w:id="330">
    <w:p w14:paraId="4A95BD72" w14:textId="3AA804E0"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21.</w:t>
      </w:r>
    </w:p>
  </w:footnote>
  <w:footnote w:id="331">
    <w:p w14:paraId="6D91A3CA" w14:textId="174C00CA"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w:t>
      </w:r>
      <w:r w:rsidR="00DD4BAD" w:rsidRPr="00DC7A14">
        <w:rPr>
          <w:rFonts w:ascii="Times New Roman" w:hAnsi="Times New Roman" w:cs="Times New Roman"/>
          <w:sz w:val="19"/>
          <w:szCs w:val="19"/>
        </w:rPr>
        <w:t>s</w:t>
      </w:r>
      <w:r w:rsidRPr="00DC7A14">
        <w:rPr>
          <w:rFonts w:ascii="Times New Roman" w:hAnsi="Times New Roman" w:cs="Times New Roman"/>
          <w:sz w:val="19"/>
          <w:szCs w:val="19"/>
        </w:rPr>
        <w:t xml:space="preserve"> 5(2)-(7). </w:t>
      </w:r>
    </w:p>
  </w:footnote>
  <w:footnote w:id="332">
    <w:p w14:paraId="23A3535A" w14:textId="49178EEA" w:rsidR="00DE31EE" w:rsidRPr="00DC7A14" w:rsidRDefault="00DE31EE" w:rsidP="00DE31E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724EF5" w:rsidRPr="00DC7A14">
        <w:rPr>
          <w:rFonts w:ascii="Times New Roman" w:hAnsi="Times New Roman" w:cs="Times New Roman"/>
          <w:sz w:val="19"/>
          <w:szCs w:val="19"/>
        </w:rPr>
        <w:t>pt</w:t>
      </w:r>
      <w:r w:rsidRPr="00DC7A14">
        <w:rPr>
          <w:rFonts w:ascii="Times New Roman" w:hAnsi="Times New Roman" w:cs="Times New Roman"/>
          <w:sz w:val="19"/>
          <w:szCs w:val="19"/>
        </w:rPr>
        <w:t xml:space="preserve"> IV.</w:t>
      </w:r>
    </w:p>
  </w:footnote>
  <w:footnote w:id="333">
    <w:p w14:paraId="0745735F" w14:textId="5BC4051E"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Telecommunications (Interception) Act 1979 </w:t>
      </w:r>
      <w:r w:rsidRPr="00DC7A14">
        <w:rPr>
          <w:rFonts w:ascii="Times New Roman" w:hAnsi="Times New Roman" w:cs="Times New Roman"/>
          <w:iCs/>
          <w:sz w:val="19"/>
          <w:szCs w:val="19"/>
        </w:rPr>
        <w:t>(Cth)</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Police Powers (Surveillance Devices) Act 2006 </w:t>
      </w:r>
      <w:r w:rsidRPr="00DC7A14">
        <w:rPr>
          <w:rFonts w:ascii="Times New Roman" w:hAnsi="Times New Roman" w:cs="Times New Roman"/>
          <w:iCs/>
          <w:sz w:val="19"/>
          <w:szCs w:val="19"/>
        </w:rPr>
        <w:t>(Tas).</w:t>
      </w:r>
    </w:p>
  </w:footnote>
  <w:footnote w:id="334">
    <w:p w14:paraId="3D669D6A" w14:textId="78FF5A1A"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00E57B77" w:rsidRPr="00DC7A14">
        <w:rPr>
          <w:rFonts w:ascii="Times New Roman" w:hAnsi="Times New Roman" w:cs="Times New Roman"/>
          <w:sz w:val="19"/>
          <w:szCs w:val="19"/>
        </w:rPr>
        <w:t xml:space="preserve"> For example, serious narcotics offences or an imminent threat of serious violence to persons or of substantial damage to property: </w:t>
      </w:r>
      <w:r w:rsidR="00E57B77" w:rsidRPr="00DC7A14">
        <w:rPr>
          <w:rFonts w:ascii="Times New Roman" w:hAnsi="Times New Roman" w:cs="Times New Roman"/>
          <w:bCs/>
          <w:i/>
          <w:sz w:val="19"/>
          <w:szCs w:val="19"/>
        </w:rPr>
        <w:t xml:space="preserve">Listening Devices Act 1991 </w:t>
      </w:r>
      <w:r w:rsidR="00E57B77" w:rsidRPr="00DC7A14">
        <w:rPr>
          <w:rFonts w:ascii="Times New Roman" w:hAnsi="Times New Roman" w:cs="Times New Roman"/>
          <w:bCs/>
          <w:iCs/>
          <w:sz w:val="19"/>
          <w:szCs w:val="19"/>
        </w:rPr>
        <w:t xml:space="preserve">(Tas) </w:t>
      </w:r>
      <w:r w:rsidR="00E57B77" w:rsidRPr="00DC7A14">
        <w:rPr>
          <w:rFonts w:ascii="Times New Roman" w:hAnsi="Times New Roman" w:cs="Times New Roman"/>
          <w:bCs/>
          <w:sz w:val="19"/>
          <w:szCs w:val="19"/>
          <w:lang w:val="en-GB"/>
        </w:rPr>
        <w:t>s 5(2)(c).</w:t>
      </w:r>
    </w:p>
  </w:footnote>
  <w:footnote w:id="335">
    <w:p w14:paraId="33A52C0E" w14:textId="1ABB0671"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137A77" w:rsidRPr="00DC7A14">
        <w:rPr>
          <w:rFonts w:ascii="Times New Roman" w:hAnsi="Times New Roman" w:cs="Times New Roman"/>
          <w:bCs/>
          <w:iCs/>
          <w:sz w:val="19"/>
          <w:szCs w:val="19"/>
        </w:rPr>
        <w:t>Ibid</w:t>
      </w:r>
      <w:r w:rsidRPr="00DC7A14">
        <w:rPr>
          <w:rFonts w:ascii="Times New Roman" w:hAnsi="Times New Roman" w:cs="Times New Roman"/>
          <w:bCs/>
          <w:iCs/>
          <w:sz w:val="19"/>
          <w:szCs w:val="19"/>
        </w:rPr>
        <w:t xml:space="preserve"> s 5(4); see also s 5(7).</w:t>
      </w:r>
    </w:p>
  </w:footnote>
  <w:footnote w:id="336">
    <w:p w14:paraId="0E67C813" w14:textId="3A510F32"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F51C8" w:rsidRPr="00DC7A14">
        <w:rPr>
          <w:rFonts w:ascii="Times New Roman" w:hAnsi="Times New Roman" w:cs="Times New Roman"/>
          <w:bCs/>
          <w:iCs/>
          <w:sz w:val="19"/>
          <w:szCs w:val="19"/>
        </w:rPr>
        <w:t>Ibid</w:t>
      </w:r>
      <w:r w:rsidRPr="00DC7A14">
        <w:rPr>
          <w:rFonts w:ascii="Times New Roman" w:hAnsi="Times New Roman" w:cs="Times New Roman"/>
          <w:bCs/>
          <w:iCs/>
          <w:sz w:val="19"/>
          <w:szCs w:val="19"/>
        </w:rPr>
        <w:t xml:space="preserve"> s 6(2). </w:t>
      </w:r>
    </w:p>
  </w:footnote>
  <w:footnote w:id="337">
    <w:p w14:paraId="3E733C19" w14:textId="32AE924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17(2). </w:t>
      </w:r>
    </w:p>
  </w:footnote>
  <w:footnote w:id="338">
    <w:p w14:paraId="2036ABCC" w14:textId="77777777" w:rsidR="00210AC5" w:rsidRPr="00DC7A14" w:rsidRDefault="00210AC5" w:rsidP="00210AC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Kirkland v Tippett</w:t>
      </w:r>
      <w:r w:rsidRPr="00DC7A14">
        <w:rPr>
          <w:rFonts w:ascii="Times New Roman" w:hAnsi="Times New Roman" w:cs="Times New Roman"/>
          <w:sz w:val="19"/>
          <w:szCs w:val="19"/>
        </w:rPr>
        <w:t xml:space="preserve"> [2000] TASSC 94 (19 July 2000).</w:t>
      </w:r>
    </w:p>
  </w:footnote>
  <w:footnote w:id="339">
    <w:p w14:paraId="7B41A779" w14:textId="77777777" w:rsidR="004A528B" w:rsidRPr="00DC7A14" w:rsidRDefault="004A528B" w:rsidP="004A52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lang w:val="en-GB"/>
        </w:rPr>
        <w:t xml:space="preserve">Police Powers (Surveillance Devices) Act 2006 </w:t>
      </w:r>
      <w:r w:rsidRPr="00DC7A14">
        <w:rPr>
          <w:rFonts w:ascii="Times New Roman" w:hAnsi="Times New Roman" w:cs="Times New Roman"/>
          <w:bCs/>
          <w:iCs/>
          <w:sz w:val="19"/>
          <w:szCs w:val="19"/>
          <w:lang w:val="en-GB"/>
        </w:rPr>
        <w:t>(Tas)</w:t>
      </w:r>
      <w:r w:rsidRPr="00DC7A14">
        <w:rPr>
          <w:rFonts w:ascii="Times New Roman" w:hAnsi="Times New Roman" w:cs="Times New Roman"/>
          <w:bCs/>
          <w:i/>
          <w:sz w:val="19"/>
          <w:szCs w:val="19"/>
          <w:lang w:val="en-GB"/>
        </w:rPr>
        <w:t xml:space="preserve"> </w:t>
      </w:r>
      <w:r w:rsidRPr="00DC7A14">
        <w:rPr>
          <w:rFonts w:ascii="Times New Roman" w:hAnsi="Times New Roman" w:cs="Times New Roman"/>
          <w:bCs/>
          <w:sz w:val="19"/>
          <w:szCs w:val="19"/>
          <w:lang w:val="en-GB"/>
        </w:rPr>
        <w:t>s 9.</w:t>
      </w:r>
    </w:p>
  </w:footnote>
  <w:footnote w:id="340">
    <w:p w14:paraId="20C2D0E8" w14:textId="23D60546" w:rsidR="004A528B" w:rsidRPr="00DC7A14" w:rsidRDefault="004A528B" w:rsidP="004A52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09356D" w:rsidRPr="00DC7A14">
        <w:rPr>
          <w:rFonts w:ascii="Times New Roman" w:hAnsi="Times New Roman" w:cs="Times New Roman"/>
          <w:bCs/>
          <w:sz w:val="19"/>
          <w:szCs w:val="19"/>
          <w:lang w:val="en-GB"/>
        </w:rPr>
        <w:t>pt</w:t>
      </w:r>
      <w:r w:rsidRPr="00DC7A14">
        <w:rPr>
          <w:rFonts w:ascii="Times New Roman" w:hAnsi="Times New Roman" w:cs="Times New Roman"/>
          <w:bCs/>
          <w:sz w:val="19"/>
          <w:szCs w:val="19"/>
          <w:lang w:val="en-GB"/>
        </w:rPr>
        <w:t xml:space="preserve"> 3.</w:t>
      </w:r>
    </w:p>
  </w:footnote>
  <w:footnote w:id="341">
    <w:p w14:paraId="6CD5292C" w14:textId="347526E9" w:rsidR="004A528B" w:rsidRPr="00DC7A14" w:rsidRDefault="004A528B" w:rsidP="004A52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Surveillance Legislation Amendments (Personal Police Cameras) Act 2018</w:t>
      </w:r>
      <w:r w:rsidRPr="00DC7A14">
        <w:rPr>
          <w:rFonts w:ascii="Times New Roman" w:hAnsi="Times New Roman" w:cs="Times New Roman"/>
          <w:sz w:val="19"/>
          <w:szCs w:val="19"/>
        </w:rPr>
        <w:t xml:space="preserve"> (Tas)</w:t>
      </w:r>
      <w:r w:rsidR="0009356D" w:rsidRPr="00DC7A14">
        <w:rPr>
          <w:rFonts w:ascii="Times New Roman" w:hAnsi="Times New Roman" w:cs="Times New Roman"/>
          <w:sz w:val="19"/>
          <w:szCs w:val="19"/>
        </w:rPr>
        <w:t>.</w:t>
      </w:r>
    </w:p>
  </w:footnote>
  <w:footnote w:id="342">
    <w:p w14:paraId="48997578" w14:textId="4FAC857F" w:rsidR="004A528B" w:rsidRPr="00DC7A14" w:rsidRDefault="004A528B" w:rsidP="004A52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lang w:val="en-GB"/>
        </w:rPr>
        <w:t>Police Powers (Surveillance Devices) Act 2006</w:t>
      </w:r>
      <w:r w:rsidRPr="00DC7A14">
        <w:rPr>
          <w:rFonts w:ascii="Times New Roman" w:hAnsi="Times New Roman" w:cs="Times New Roman"/>
          <w:bCs/>
          <w:iCs/>
          <w:sz w:val="19"/>
          <w:szCs w:val="19"/>
          <w:lang w:val="en-GB"/>
        </w:rPr>
        <w:t xml:space="preserve"> (Tas)</w:t>
      </w:r>
      <w:r w:rsidRPr="00DC7A14">
        <w:rPr>
          <w:rFonts w:ascii="Times New Roman" w:hAnsi="Times New Roman" w:cs="Times New Roman"/>
          <w:bCs/>
          <w:i/>
          <w:sz w:val="19"/>
          <w:szCs w:val="19"/>
          <w:lang w:val="en-GB"/>
        </w:rPr>
        <w:t xml:space="preserve"> </w:t>
      </w:r>
      <w:r w:rsidR="0009356D" w:rsidRPr="00DC7A14">
        <w:rPr>
          <w:rFonts w:ascii="Times New Roman" w:hAnsi="Times New Roman" w:cs="Times New Roman"/>
          <w:sz w:val="19"/>
          <w:szCs w:val="19"/>
        </w:rPr>
        <w:t>pt</w:t>
      </w:r>
      <w:r w:rsidRPr="00DC7A14">
        <w:rPr>
          <w:rFonts w:ascii="Times New Roman" w:hAnsi="Times New Roman" w:cs="Times New Roman"/>
          <w:sz w:val="19"/>
          <w:szCs w:val="19"/>
        </w:rPr>
        <w:t xml:space="preserve"> 5.</w:t>
      </w:r>
    </w:p>
  </w:footnote>
  <w:footnote w:id="343">
    <w:p w14:paraId="423C596E" w14:textId="7DDE4E45" w:rsidR="004A528B" w:rsidRPr="00DC7A14" w:rsidRDefault="004A528B" w:rsidP="004A528B">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w:t>
      </w:r>
      <w:r w:rsidR="007753F8" w:rsidRPr="00DC7A14">
        <w:rPr>
          <w:rFonts w:ascii="Times New Roman" w:hAnsi="Times New Roman" w:cs="Times New Roman"/>
          <w:sz w:val="19"/>
          <w:szCs w:val="19"/>
        </w:rPr>
        <w:t>s</w:t>
      </w:r>
      <w:r w:rsidRPr="00DC7A14">
        <w:rPr>
          <w:rFonts w:ascii="Times New Roman" w:hAnsi="Times New Roman" w:cs="Times New Roman"/>
          <w:sz w:val="19"/>
          <w:szCs w:val="19"/>
        </w:rPr>
        <w:t xml:space="preserve"> 32</w:t>
      </w:r>
      <w:r w:rsidR="00FD70EF" w:rsidRPr="00DC7A14">
        <w:rPr>
          <w:rFonts w:ascii="Times New Roman" w:hAnsi="Times New Roman" w:cs="Times New Roman"/>
          <w:sz w:val="19"/>
          <w:szCs w:val="19"/>
        </w:rPr>
        <w:t>–</w:t>
      </w:r>
      <w:r w:rsidRPr="00DC7A14">
        <w:rPr>
          <w:rFonts w:ascii="Times New Roman" w:hAnsi="Times New Roman" w:cs="Times New Roman"/>
          <w:sz w:val="19"/>
          <w:szCs w:val="19"/>
        </w:rPr>
        <w:t>3.</w:t>
      </w:r>
    </w:p>
  </w:footnote>
  <w:footnote w:id="344">
    <w:p w14:paraId="43A7E4C6" w14:textId="4305D35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Police Offences Act 1935 </w:t>
      </w:r>
      <w:r w:rsidRPr="00DC7A14">
        <w:rPr>
          <w:rFonts w:ascii="Times New Roman" w:hAnsi="Times New Roman" w:cs="Times New Roman"/>
          <w:bCs/>
          <w:iCs/>
          <w:sz w:val="19"/>
          <w:szCs w:val="19"/>
        </w:rPr>
        <w:t>(Tas) s</w:t>
      </w:r>
      <w:r w:rsidR="00FA5BA5" w:rsidRPr="00DC7A14">
        <w:rPr>
          <w:rFonts w:ascii="Times New Roman" w:hAnsi="Times New Roman" w:cs="Times New Roman"/>
          <w:bCs/>
          <w:iCs/>
          <w:sz w:val="19"/>
          <w:szCs w:val="19"/>
        </w:rPr>
        <w:t xml:space="preserve"> </w:t>
      </w:r>
      <w:r w:rsidRPr="00DC7A14">
        <w:rPr>
          <w:rFonts w:ascii="Times New Roman" w:hAnsi="Times New Roman" w:cs="Times New Roman"/>
          <w:bCs/>
          <w:iCs/>
          <w:sz w:val="19"/>
          <w:szCs w:val="19"/>
        </w:rPr>
        <w:t>13A(1).</w:t>
      </w:r>
    </w:p>
  </w:footnote>
  <w:footnote w:id="345">
    <w:p w14:paraId="3149596B" w14:textId="77777777" w:rsidR="00A90ED9" w:rsidRPr="00DC7A14" w:rsidRDefault="00A90ED9" w:rsidP="00A90ED9">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Hickman v PWJ</w:t>
      </w:r>
      <w:r w:rsidRPr="00DC7A14">
        <w:rPr>
          <w:rFonts w:ascii="Times New Roman" w:hAnsi="Times New Roman" w:cs="Times New Roman"/>
          <w:sz w:val="19"/>
          <w:szCs w:val="19"/>
        </w:rPr>
        <w:t xml:space="preserve"> [2015] TASSC 55 (20 November 2015). This is a recent case in which the respondent was found guilty of the offence of observation and recording, contrary to </w:t>
      </w:r>
      <w:r w:rsidRPr="00DC7A14">
        <w:rPr>
          <w:rFonts w:ascii="Times New Roman" w:hAnsi="Times New Roman" w:cs="Times New Roman"/>
          <w:bCs/>
          <w:i/>
          <w:sz w:val="19"/>
          <w:szCs w:val="19"/>
        </w:rPr>
        <w:t>Police Offences Act 1935</w:t>
      </w:r>
      <w:r w:rsidRPr="00DC7A14">
        <w:rPr>
          <w:rFonts w:ascii="Times New Roman" w:hAnsi="Times New Roman" w:cs="Times New Roman"/>
          <w:bCs/>
          <w:iCs/>
          <w:sz w:val="19"/>
          <w:szCs w:val="19"/>
        </w:rPr>
        <w:t xml:space="preserve"> (Tas)</w:t>
      </w:r>
      <w:r w:rsidRPr="00DC7A14">
        <w:rPr>
          <w:rFonts w:ascii="Times New Roman" w:hAnsi="Times New Roman" w:cs="Times New Roman"/>
          <w:sz w:val="19"/>
          <w:szCs w:val="19"/>
        </w:rPr>
        <w:t xml:space="preserve"> s </w:t>
      </w:r>
      <w:r w:rsidRPr="00DC7A14">
        <w:rPr>
          <w:rFonts w:ascii="Times New Roman" w:hAnsi="Times New Roman" w:cs="Times New Roman"/>
          <w:bCs/>
          <w:iCs/>
          <w:sz w:val="19"/>
          <w:szCs w:val="19"/>
        </w:rPr>
        <w:t>13A(1).</w:t>
      </w:r>
    </w:p>
  </w:footnote>
  <w:footnote w:id="346">
    <w:p w14:paraId="18DD7DF4" w14:textId="77777777" w:rsidR="00CA5606" w:rsidRPr="00DC7A14" w:rsidRDefault="00CA5606" w:rsidP="00CA56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Police Offences Act 1935 </w:t>
      </w:r>
      <w:r w:rsidRPr="00DC7A14">
        <w:rPr>
          <w:rFonts w:ascii="Times New Roman" w:hAnsi="Times New Roman" w:cs="Times New Roman"/>
          <w:bCs/>
          <w:iCs/>
          <w:sz w:val="19"/>
          <w:szCs w:val="19"/>
        </w:rPr>
        <w:t xml:space="preserve">(Tas) s 13C. </w:t>
      </w:r>
    </w:p>
  </w:footnote>
  <w:footnote w:id="347">
    <w:p w14:paraId="0435C313" w14:textId="77777777" w:rsidR="00CA5606" w:rsidRPr="00DC7A14" w:rsidRDefault="00CA5606" w:rsidP="00CA560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13B.</w:t>
      </w:r>
    </w:p>
  </w:footnote>
  <w:footnote w:id="348">
    <w:p w14:paraId="676045B3" w14:textId="6C531EEF"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13A(2). </w:t>
      </w:r>
    </w:p>
  </w:footnote>
  <w:footnote w:id="349">
    <w:p w14:paraId="257ABA70" w14:textId="77777777" w:rsidR="00D976EA" w:rsidRPr="00DC7A14" w:rsidRDefault="00D976EA" w:rsidP="00D976EA">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13D. </w:t>
      </w:r>
    </w:p>
  </w:footnote>
  <w:footnote w:id="350">
    <w:p w14:paraId="226FEF22" w14:textId="7B616A4D" w:rsidR="00590897" w:rsidRPr="00DC7A14" w:rsidRDefault="00590897" w:rsidP="00590897">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Commonwealth House of Representatives Standing Committee on Social Policy and Legal Affairs</w:t>
      </w:r>
      <w:r w:rsidR="009259B0"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Report: Eyes in Sky; Inquiry into </w:t>
      </w:r>
      <w:r w:rsidR="00A70FA2" w:rsidRPr="00DC7A14">
        <w:rPr>
          <w:rFonts w:ascii="Times New Roman" w:hAnsi="Times New Roman" w:cs="Times New Roman"/>
          <w:i/>
          <w:sz w:val="19"/>
          <w:szCs w:val="19"/>
        </w:rPr>
        <w:t>D</w:t>
      </w:r>
      <w:r w:rsidRPr="00DC7A14">
        <w:rPr>
          <w:rFonts w:ascii="Times New Roman" w:hAnsi="Times New Roman" w:cs="Times New Roman"/>
          <w:i/>
          <w:sz w:val="19"/>
          <w:szCs w:val="19"/>
        </w:rPr>
        <w:t xml:space="preserve">rones and the </w:t>
      </w:r>
      <w:r w:rsidR="00A70FA2" w:rsidRPr="00DC7A14">
        <w:rPr>
          <w:rFonts w:ascii="Times New Roman" w:hAnsi="Times New Roman" w:cs="Times New Roman"/>
          <w:i/>
          <w:sz w:val="19"/>
          <w:szCs w:val="19"/>
        </w:rPr>
        <w:t>R</w:t>
      </w:r>
      <w:r w:rsidRPr="00DC7A14">
        <w:rPr>
          <w:rFonts w:ascii="Times New Roman" w:hAnsi="Times New Roman" w:cs="Times New Roman"/>
          <w:i/>
          <w:sz w:val="19"/>
          <w:szCs w:val="19"/>
        </w:rPr>
        <w:t xml:space="preserve">egulation of </w:t>
      </w:r>
      <w:r w:rsidR="00A70FA2" w:rsidRPr="00DC7A14">
        <w:rPr>
          <w:rFonts w:ascii="Times New Roman" w:hAnsi="Times New Roman" w:cs="Times New Roman"/>
          <w:i/>
          <w:sz w:val="19"/>
          <w:szCs w:val="19"/>
        </w:rPr>
        <w:t>A</w:t>
      </w:r>
      <w:r w:rsidRPr="00DC7A14">
        <w:rPr>
          <w:rFonts w:ascii="Times New Roman" w:hAnsi="Times New Roman" w:cs="Times New Roman"/>
          <w:i/>
          <w:sz w:val="19"/>
          <w:szCs w:val="19"/>
        </w:rPr>
        <w:t xml:space="preserve">ir </w:t>
      </w:r>
      <w:r w:rsidR="00A70FA2" w:rsidRPr="00DC7A14">
        <w:rPr>
          <w:rFonts w:ascii="Times New Roman" w:hAnsi="Times New Roman" w:cs="Times New Roman"/>
          <w:i/>
          <w:sz w:val="19"/>
          <w:szCs w:val="19"/>
        </w:rPr>
        <w:t>S</w:t>
      </w:r>
      <w:r w:rsidRPr="00DC7A14">
        <w:rPr>
          <w:rFonts w:ascii="Times New Roman" w:hAnsi="Times New Roman" w:cs="Times New Roman"/>
          <w:i/>
          <w:sz w:val="19"/>
          <w:szCs w:val="19"/>
        </w:rPr>
        <w:t xml:space="preserve">afety and </w:t>
      </w:r>
      <w:r w:rsidR="00A70FA2" w:rsidRPr="00DC7A14">
        <w:rPr>
          <w:rFonts w:ascii="Times New Roman" w:hAnsi="Times New Roman" w:cs="Times New Roman"/>
          <w:i/>
          <w:sz w:val="19"/>
          <w:szCs w:val="19"/>
        </w:rPr>
        <w:t>P</w:t>
      </w:r>
      <w:r w:rsidRPr="00DC7A14">
        <w:rPr>
          <w:rFonts w:ascii="Times New Roman" w:hAnsi="Times New Roman" w:cs="Times New Roman"/>
          <w:i/>
          <w:sz w:val="19"/>
          <w:szCs w:val="19"/>
        </w:rPr>
        <w:t>rivacy</w:t>
      </w:r>
      <w:r w:rsidRPr="00DC7A14">
        <w:rPr>
          <w:rFonts w:ascii="Times New Roman" w:hAnsi="Times New Roman" w:cs="Times New Roman"/>
          <w:sz w:val="19"/>
          <w:szCs w:val="19"/>
        </w:rPr>
        <w:t xml:space="preserve"> (Report, 14 July 2014) 33 [4.1].</w:t>
      </w:r>
    </w:p>
  </w:footnote>
  <w:footnote w:id="351">
    <w:p w14:paraId="59791C2E" w14:textId="72176537" w:rsidR="00B435F6" w:rsidRPr="00DC7A14" w:rsidRDefault="00B435F6" w:rsidP="00B435F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w:t>
      </w:r>
      <w:r w:rsidR="0016037A" w:rsidRPr="00DC7A14">
        <w:rPr>
          <w:rFonts w:ascii="Times New Roman" w:hAnsi="Times New Roman" w:cs="Times New Roman"/>
          <w:sz w:val="19"/>
          <w:szCs w:val="19"/>
        </w:rPr>
        <w:t>,</w:t>
      </w:r>
      <w:r w:rsidRPr="00DC7A14">
        <w:rPr>
          <w:rFonts w:ascii="Times New Roman" w:hAnsi="Times New Roman" w:cs="Times New Roman"/>
          <w:sz w:val="19"/>
          <w:szCs w:val="19"/>
        </w:rPr>
        <w:t xml:space="preserve"> eg</w:t>
      </w:r>
      <w:r w:rsidR="0016037A"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Civil Aviation Safety Regulations 1998</w:t>
      </w:r>
      <w:r w:rsidRPr="00DC7A14">
        <w:rPr>
          <w:rFonts w:ascii="Times New Roman" w:hAnsi="Times New Roman" w:cs="Times New Roman"/>
          <w:sz w:val="19"/>
          <w:szCs w:val="19"/>
        </w:rPr>
        <w:t xml:space="preserve"> (Cth) s</w:t>
      </w:r>
      <w:r w:rsidR="00B83B82" w:rsidRPr="00DC7A14">
        <w:rPr>
          <w:rFonts w:ascii="Times New Roman" w:hAnsi="Times New Roman" w:cs="Times New Roman"/>
          <w:sz w:val="19"/>
          <w:szCs w:val="19"/>
        </w:rPr>
        <w:t>s</w:t>
      </w:r>
      <w:r w:rsidRPr="00DC7A14">
        <w:rPr>
          <w:rFonts w:ascii="Times New Roman" w:hAnsi="Times New Roman" w:cs="Times New Roman"/>
          <w:sz w:val="19"/>
          <w:szCs w:val="19"/>
        </w:rPr>
        <w:t xml:space="preserve"> 101.025</w:t>
      </w:r>
      <w:r w:rsidR="00B83B82" w:rsidRPr="00DC7A14">
        <w:rPr>
          <w:rFonts w:ascii="Times New Roman" w:hAnsi="Times New Roman" w:cs="Times New Roman"/>
          <w:sz w:val="19"/>
          <w:szCs w:val="19"/>
        </w:rPr>
        <w:t xml:space="preserve">, </w:t>
      </w:r>
      <w:r w:rsidRPr="00DC7A14">
        <w:rPr>
          <w:rFonts w:ascii="Times New Roman" w:hAnsi="Times New Roman" w:cs="Times New Roman"/>
          <w:sz w:val="19"/>
          <w:szCs w:val="19"/>
        </w:rPr>
        <w:t>101.055.</w:t>
      </w:r>
    </w:p>
  </w:footnote>
  <w:footnote w:id="352">
    <w:p w14:paraId="12A35004" w14:textId="3D00B2E8" w:rsidR="00D761C6" w:rsidRPr="00DC7A14" w:rsidRDefault="00D761C6" w:rsidP="00A453A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sz w:val="19"/>
          <w:szCs w:val="19"/>
          <w:lang w:val="en-GB"/>
        </w:rPr>
        <w:t>See a current governmental review of laws applicable to stalking, harassment and similar conduct, conducted by the Victorian Law Reform Commission:</w:t>
      </w:r>
      <w:r w:rsidR="008C594B" w:rsidRPr="00DC7A14">
        <w:rPr>
          <w:rFonts w:ascii="Times New Roman" w:hAnsi="Times New Roman" w:cs="Times New Roman"/>
          <w:sz w:val="19"/>
          <w:szCs w:val="19"/>
          <w:lang w:val="en-GB"/>
        </w:rPr>
        <w:t xml:space="preserve"> Victorian Law Reform Commission,</w:t>
      </w:r>
      <w:r w:rsidRPr="00DC7A14">
        <w:rPr>
          <w:rFonts w:ascii="Times New Roman" w:hAnsi="Times New Roman" w:cs="Times New Roman"/>
          <w:sz w:val="19"/>
          <w:szCs w:val="19"/>
          <w:lang w:val="en-GB"/>
        </w:rPr>
        <w:t xml:space="preserve"> </w:t>
      </w:r>
      <w:r w:rsidRPr="00DC7A14">
        <w:rPr>
          <w:rFonts w:ascii="Times New Roman" w:hAnsi="Times New Roman" w:cs="Times New Roman"/>
          <w:i/>
          <w:sz w:val="19"/>
          <w:szCs w:val="19"/>
          <w:lang w:val="en-GB"/>
        </w:rPr>
        <w:t>Stalking</w:t>
      </w:r>
      <w:r w:rsidR="0068722C" w:rsidRPr="00DC7A14">
        <w:rPr>
          <w:rFonts w:ascii="Times New Roman" w:hAnsi="Times New Roman" w:cs="Times New Roman"/>
          <w:i/>
          <w:sz w:val="19"/>
          <w:szCs w:val="19"/>
          <w:lang w:val="en-GB"/>
        </w:rPr>
        <w:t xml:space="preserve">: Consultation Paper – </w:t>
      </w:r>
      <w:r w:rsidRPr="00DC7A14">
        <w:rPr>
          <w:rFonts w:ascii="Times New Roman" w:hAnsi="Times New Roman" w:cs="Times New Roman"/>
          <w:i/>
          <w:sz w:val="19"/>
          <w:szCs w:val="19"/>
          <w:lang w:val="en-GB"/>
        </w:rPr>
        <w:t>Terms of Reference</w:t>
      </w:r>
      <w:r w:rsidRPr="00DC7A14">
        <w:rPr>
          <w:rFonts w:ascii="Times New Roman" w:hAnsi="Times New Roman" w:cs="Times New Roman"/>
          <w:sz w:val="19"/>
          <w:szCs w:val="19"/>
          <w:lang w:val="en-GB"/>
        </w:rPr>
        <w:t xml:space="preserve"> (</w:t>
      </w:r>
      <w:r w:rsidR="008C594B" w:rsidRPr="00DC7A14">
        <w:rPr>
          <w:rFonts w:ascii="Times New Roman" w:hAnsi="Times New Roman" w:cs="Times New Roman"/>
          <w:sz w:val="19"/>
          <w:szCs w:val="19"/>
          <w:lang w:val="en-GB"/>
        </w:rPr>
        <w:t xml:space="preserve">Web Page, </w:t>
      </w:r>
      <w:r w:rsidRPr="00DC7A14">
        <w:rPr>
          <w:rFonts w:ascii="Times New Roman" w:hAnsi="Times New Roman" w:cs="Times New Roman"/>
          <w:sz w:val="19"/>
          <w:szCs w:val="19"/>
          <w:lang w:val="en-GB"/>
        </w:rPr>
        <w:t>18 February 2021) &lt;</w:t>
      </w:r>
      <w:r w:rsidR="008C594B" w:rsidRPr="00DC7A14">
        <w:rPr>
          <w:rFonts w:ascii="Times New Roman" w:hAnsi="Times New Roman" w:cs="Times New Roman"/>
          <w:sz w:val="19"/>
          <w:szCs w:val="19"/>
          <w:lang w:val="en-GB"/>
        </w:rPr>
        <w:t>https://www.lawreform.vic.gov.au/publication/stalking-2/terms-of-reference/</w:t>
      </w:r>
      <w:r w:rsidRPr="00DC7A14">
        <w:rPr>
          <w:rFonts w:ascii="Times New Roman" w:hAnsi="Times New Roman" w:cs="Times New Roman"/>
          <w:sz w:val="19"/>
          <w:szCs w:val="19"/>
          <w:lang w:val="en-GB"/>
        </w:rPr>
        <w:t xml:space="preserve">&gt;; </w:t>
      </w:r>
      <w:r w:rsidR="00C808CA" w:rsidRPr="00DC7A14">
        <w:rPr>
          <w:rFonts w:ascii="Times New Roman" w:hAnsi="Times New Roman" w:cs="Times New Roman"/>
          <w:sz w:val="19"/>
          <w:szCs w:val="19"/>
          <w:lang w:val="en-GB"/>
        </w:rPr>
        <w:t xml:space="preserve">Victorian Law Reform Commission, </w:t>
      </w:r>
      <w:r w:rsidRPr="00DC7A14">
        <w:rPr>
          <w:rFonts w:ascii="Times New Roman" w:hAnsi="Times New Roman" w:cs="Times New Roman"/>
          <w:i/>
          <w:sz w:val="19"/>
          <w:szCs w:val="19"/>
          <w:lang w:val="en-GB"/>
        </w:rPr>
        <w:t>Stalking</w:t>
      </w:r>
      <w:r w:rsidRPr="00DC7A14">
        <w:rPr>
          <w:rFonts w:ascii="Times New Roman" w:hAnsi="Times New Roman" w:cs="Times New Roman"/>
          <w:sz w:val="19"/>
          <w:szCs w:val="19"/>
          <w:lang w:val="en-GB"/>
        </w:rPr>
        <w:t xml:space="preserve"> (</w:t>
      </w:r>
      <w:r w:rsidR="00C808CA" w:rsidRPr="00DC7A14">
        <w:rPr>
          <w:rFonts w:ascii="Times New Roman" w:hAnsi="Times New Roman" w:cs="Times New Roman"/>
          <w:sz w:val="19"/>
          <w:szCs w:val="19"/>
          <w:lang w:val="en-GB"/>
        </w:rPr>
        <w:t xml:space="preserve">Consultation Paper, </w:t>
      </w:r>
      <w:r w:rsidRPr="00DC7A14">
        <w:rPr>
          <w:rFonts w:ascii="Times New Roman" w:hAnsi="Times New Roman" w:cs="Times New Roman"/>
          <w:sz w:val="19"/>
          <w:szCs w:val="19"/>
          <w:lang w:val="en-GB"/>
        </w:rPr>
        <w:t>24 June 2021)</w:t>
      </w:r>
      <w:r w:rsidR="00C808CA" w:rsidRPr="00DC7A14">
        <w:rPr>
          <w:rFonts w:ascii="Times New Roman" w:hAnsi="Times New Roman" w:cs="Times New Roman"/>
          <w:sz w:val="19"/>
          <w:szCs w:val="19"/>
        </w:rPr>
        <w:t>.</w:t>
      </w:r>
    </w:p>
  </w:footnote>
  <w:footnote w:id="353">
    <w:p w14:paraId="1180607F" w14:textId="5C8CF75E" w:rsidR="00D761C6" w:rsidRPr="00DC7A14" w:rsidRDefault="00D761C6" w:rsidP="00D83805">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Criminal Code </w:t>
      </w:r>
      <w:r w:rsidRPr="00DC7A14">
        <w:rPr>
          <w:rFonts w:ascii="Times New Roman" w:hAnsi="Times New Roman" w:cs="Times New Roman"/>
          <w:iCs/>
          <w:sz w:val="19"/>
          <w:szCs w:val="19"/>
        </w:rPr>
        <w:t>(Tas) s 192</w:t>
      </w:r>
      <w:r w:rsidRPr="00DC7A14">
        <w:rPr>
          <w:rFonts w:ascii="Times New Roman" w:hAnsi="Times New Roman" w:cs="Times New Roman"/>
          <w:i/>
          <w:sz w:val="19"/>
          <w:szCs w:val="19"/>
        </w:rPr>
        <w:t>.</w:t>
      </w:r>
    </w:p>
  </w:footnote>
  <w:footnote w:id="354">
    <w:p w14:paraId="022CA71B" w14:textId="77777777" w:rsidR="00FB2C33" w:rsidRPr="00DC7A14" w:rsidRDefault="00FB2C33" w:rsidP="00FB2C33">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192(2).</w:t>
      </w:r>
    </w:p>
  </w:footnote>
  <w:footnote w:id="355">
    <w:p w14:paraId="41B15B0B" w14:textId="1D143A31" w:rsidR="00FB2C33" w:rsidRPr="00DC7A14" w:rsidRDefault="00FB2C33" w:rsidP="00FB2C33">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D24937">
        <w:rPr>
          <w:rFonts w:ascii="Times New Roman" w:hAnsi="Times New Roman" w:cs="Times New Roman"/>
          <w:sz w:val="19"/>
          <w:szCs w:val="19"/>
        </w:rPr>
        <w:t xml:space="preserve">In this context, </w:t>
      </w:r>
      <w:r w:rsidR="00643905" w:rsidRPr="00DC7A14">
        <w:rPr>
          <w:rFonts w:ascii="Times New Roman" w:hAnsi="Times New Roman" w:cs="Times New Roman"/>
          <w:sz w:val="19"/>
          <w:szCs w:val="19"/>
        </w:rPr>
        <w:t>‘</w:t>
      </w:r>
      <w:r w:rsidR="00D24937">
        <w:rPr>
          <w:rFonts w:ascii="Times New Roman" w:hAnsi="Times New Roman" w:cs="Times New Roman"/>
          <w:sz w:val="19"/>
          <w:szCs w:val="19"/>
        </w:rPr>
        <w:t>k</w:t>
      </w:r>
      <w:r w:rsidR="00643905" w:rsidRPr="00DC7A14">
        <w:rPr>
          <w:rFonts w:ascii="Times New Roman" w:hAnsi="Times New Roman" w:cs="Times New Roman"/>
          <w:sz w:val="19"/>
          <w:szCs w:val="19"/>
        </w:rPr>
        <w:t xml:space="preserve">nowledge’ refers to what the defendant actually knew, or what they ought to have known. </w:t>
      </w:r>
      <w:r w:rsidRPr="00DC7A14">
        <w:rPr>
          <w:rFonts w:ascii="Times New Roman" w:hAnsi="Times New Roman" w:cs="Times New Roman"/>
          <w:sz w:val="19"/>
          <w:szCs w:val="19"/>
        </w:rPr>
        <w:t>See also ibid s 13.</w:t>
      </w:r>
    </w:p>
  </w:footnote>
  <w:footnote w:id="356">
    <w:p w14:paraId="0502ACDA" w14:textId="7EF084EB"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Door to Door Trading Act 1986 </w:t>
      </w:r>
      <w:r w:rsidRPr="00DC7A14">
        <w:rPr>
          <w:rFonts w:ascii="Times New Roman" w:hAnsi="Times New Roman" w:cs="Times New Roman"/>
          <w:iCs/>
          <w:sz w:val="19"/>
          <w:szCs w:val="19"/>
        </w:rPr>
        <w:t>(Tas) s</w:t>
      </w:r>
      <w:r w:rsidR="00E16F19" w:rsidRPr="00DC7A14">
        <w:rPr>
          <w:rFonts w:ascii="Times New Roman" w:hAnsi="Times New Roman" w:cs="Times New Roman"/>
          <w:iCs/>
          <w:sz w:val="19"/>
          <w:szCs w:val="19"/>
        </w:rPr>
        <w:t xml:space="preserve"> </w:t>
      </w:r>
      <w:r w:rsidRPr="00DC7A14">
        <w:rPr>
          <w:rFonts w:ascii="Times New Roman" w:hAnsi="Times New Roman" w:cs="Times New Roman"/>
          <w:iCs/>
          <w:sz w:val="19"/>
          <w:szCs w:val="19"/>
        </w:rPr>
        <w:t>12</w:t>
      </w:r>
      <w:r w:rsidRPr="00DC7A14">
        <w:rPr>
          <w:rFonts w:ascii="Times New Roman" w:hAnsi="Times New Roman" w:cs="Times New Roman"/>
          <w:i/>
          <w:sz w:val="19"/>
          <w:szCs w:val="19"/>
        </w:rPr>
        <w:t>.</w:t>
      </w:r>
    </w:p>
  </w:footnote>
  <w:footnote w:id="357">
    <w:p w14:paraId="52ADC9F6" w14:textId="44E43221" w:rsidR="00D761C6" w:rsidRPr="00DC7A14" w:rsidRDefault="00D761C6" w:rsidP="00D83805">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Family Violence Act 2004 </w:t>
      </w:r>
      <w:r w:rsidRPr="00DC7A14">
        <w:rPr>
          <w:rFonts w:ascii="Times New Roman" w:hAnsi="Times New Roman" w:cs="Times New Roman"/>
          <w:iCs/>
          <w:sz w:val="19"/>
          <w:szCs w:val="19"/>
        </w:rPr>
        <w:t>(Tas) s</w:t>
      </w:r>
      <w:r w:rsidR="00B727A3" w:rsidRPr="00DC7A14">
        <w:rPr>
          <w:rFonts w:ascii="Times New Roman" w:hAnsi="Times New Roman" w:cs="Times New Roman"/>
          <w:iCs/>
          <w:sz w:val="19"/>
          <w:szCs w:val="19"/>
        </w:rPr>
        <w:t>s</w:t>
      </w:r>
      <w:r w:rsidRPr="00DC7A14">
        <w:rPr>
          <w:rFonts w:ascii="Times New Roman" w:hAnsi="Times New Roman" w:cs="Times New Roman"/>
          <w:iCs/>
          <w:sz w:val="19"/>
          <w:szCs w:val="19"/>
        </w:rPr>
        <w:t xml:space="preserve"> 14(3)(d)</w:t>
      </w:r>
      <w:r w:rsidR="00E16F19" w:rsidRPr="00DC7A14">
        <w:rPr>
          <w:rFonts w:ascii="Times New Roman" w:hAnsi="Times New Roman" w:cs="Times New Roman"/>
          <w:iCs/>
          <w:sz w:val="19"/>
          <w:szCs w:val="19"/>
        </w:rPr>
        <w:t>–</w:t>
      </w:r>
      <w:r w:rsidRPr="00DC7A14">
        <w:rPr>
          <w:rFonts w:ascii="Times New Roman" w:hAnsi="Times New Roman" w:cs="Times New Roman"/>
          <w:iCs/>
          <w:sz w:val="19"/>
          <w:szCs w:val="19"/>
        </w:rPr>
        <w:t xml:space="preserve">(f). </w:t>
      </w:r>
    </w:p>
  </w:footnote>
  <w:footnote w:id="358">
    <w:p w14:paraId="7029C6FE" w14:textId="01640365"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Legal Profession (Solicitors Conduct) Rules 2000</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(Tas)</w:t>
      </w:r>
      <w:r w:rsidRPr="00DC7A14">
        <w:rPr>
          <w:rFonts w:ascii="Times New Roman" w:hAnsi="Times New Roman" w:cs="Times New Roman"/>
          <w:i/>
          <w:sz w:val="19"/>
          <w:szCs w:val="19"/>
        </w:rPr>
        <w:t xml:space="preserve"> </w:t>
      </w:r>
      <w:r w:rsidRPr="00DC7A14">
        <w:rPr>
          <w:rFonts w:ascii="Times New Roman" w:hAnsi="Times New Roman" w:cs="Times New Roman"/>
          <w:sz w:val="19"/>
          <w:szCs w:val="19"/>
        </w:rPr>
        <w:t xml:space="preserve">regs 26(1)(c), (2)(c), (8)(a)(ii).  </w:t>
      </w:r>
    </w:p>
  </w:footnote>
  <w:footnote w:id="359">
    <w:p w14:paraId="0DC3FC4E" w14:textId="57DF68FB"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Passenger Transport Regulations 2000 </w:t>
      </w:r>
      <w:r w:rsidRPr="00DC7A14">
        <w:rPr>
          <w:rFonts w:ascii="Times New Roman" w:hAnsi="Times New Roman" w:cs="Times New Roman"/>
          <w:iCs/>
          <w:sz w:val="19"/>
          <w:szCs w:val="19"/>
        </w:rPr>
        <w:t>(Tas)</w:t>
      </w:r>
      <w:r w:rsidRPr="00DC7A14">
        <w:rPr>
          <w:rFonts w:ascii="Times New Roman" w:hAnsi="Times New Roman" w:cs="Times New Roman"/>
          <w:i/>
          <w:sz w:val="19"/>
          <w:szCs w:val="19"/>
        </w:rPr>
        <w:t xml:space="preserve"> </w:t>
      </w:r>
      <w:r w:rsidRPr="00DC7A14">
        <w:rPr>
          <w:rFonts w:ascii="Times New Roman" w:hAnsi="Times New Roman" w:cs="Times New Roman"/>
          <w:iCs/>
          <w:sz w:val="19"/>
          <w:szCs w:val="19"/>
        </w:rPr>
        <w:t>regs 20(2)(b)</w:t>
      </w:r>
      <w:r w:rsidR="006B1BCE" w:rsidRPr="00DC7A14">
        <w:rPr>
          <w:rFonts w:ascii="Times New Roman" w:hAnsi="Times New Roman" w:cs="Times New Roman"/>
          <w:iCs/>
          <w:sz w:val="19"/>
          <w:szCs w:val="19"/>
        </w:rPr>
        <w:t>–</w:t>
      </w:r>
      <w:r w:rsidRPr="00DC7A14">
        <w:rPr>
          <w:rFonts w:ascii="Times New Roman" w:hAnsi="Times New Roman" w:cs="Times New Roman"/>
          <w:iCs/>
          <w:sz w:val="19"/>
          <w:szCs w:val="19"/>
        </w:rPr>
        <w:t xml:space="preserve">(d). </w:t>
      </w:r>
    </w:p>
  </w:footnote>
  <w:footnote w:id="360">
    <w:p w14:paraId="32B303E5" w14:textId="5AB6285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Sex Discrimination Act 1994 </w:t>
      </w:r>
      <w:r w:rsidRPr="00DC7A14">
        <w:rPr>
          <w:rFonts w:ascii="Times New Roman" w:hAnsi="Times New Roman" w:cs="Times New Roman"/>
          <w:bCs/>
          <w:iCs/>
          <w:sz w:val="19"/>
          <w:szCs w:val="19"/>
        </w:rPr>
        <w:t xml:space="preserve">(Tas) s 17(1). </w:t>
      </w:r>
    </w:p>
  </w:footnote>
  <w:footnote w:id="361">
    <w:p w14:paraId="70BC3B63" w14:textId="1BFA4089" w:rsidR="00074F2C" w:rsidRPr="00DC7A14" w:rsidRDefault="00074F2C">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Criminal Code Act 1995 </w:t>
      </w:r>
      <w:r w:rsidRPr="00DC7A14">
        <w:rPr>
          <w:rFonts w:ascii="Times New Roman" w:hAnsi="Times New Roman" w:cs="Times New Roman"/>
          <w:sz w:val="19"/>
          <w:szCs w:val="19"/>
        </w:rPr>
        <w:t>(Cth) vol 2 sch, s 474.17A.</w:t>
      </w:r>
    </w:p>
  </w:footnote>
  <w:footnote w:id="362">
    <w:p w14:paraId="6ECDE905" w14:textId="002F3B81" w:rsidR="00D761C6" w:rsidRPr="00DC7A14" w:rsidRDefault="00D761C6">
      <w:pPr>
        <w:pStyle w:val="FootnoteText"/>
        <w:rPr>
          <w:rFonts w:ascii="Times New Roman" w:hAnsi="Times New Roman" w:cs="Times New Roman"/>
          <w:iCs/>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AE083C" w:rsidRPr="00DC7A14">
        <w:rPr>
          <w:rFonts w:ascii="Times New Roman" w:hAnsi="Times New Roman" w:cs="Times New Roman"/>
          <w:iCs/>
          <w:sz w:val="19"/>
          <w:szCs w:val="19"/>
        </w:rPr>
        <w:t>Supplementary Explanatory Memorandum,</w:t>
      </w:r>
      <w:r w:rsidR="00AE083C" w:rsidRPr="00DC7A14">
        <w:rPr>
          <w:rFonts w:ascii="Times New Roman" w:hAnsi="Times New Roman" w:cs="Times New Roman"/>
          <w:i/>
          <w:sz w:val="19"/>
          <w:szCs w:val="19"/>
        </w:rPr>
        <w:t xml:space="preserve"> </w:t>
      </w:r>
      <w:r w:rsidRPr="00DC7A14">
        <w:rPr>
          <w:rFonts w:ascii="Times New Roman" w:hAnsi="Times New Roman" w:cs="Times New Roman"/>
          <w:iCs/>
          <w:sz w:val="19"/>
          <w:szCs w:val="19"/>
        </w:rPr>
        <w:t>Online Safety Bill 2021</w:t>
      </w:r>
      <w:r w:rsidR="00AE083C" w:rsidRPr="00DC7A14">
        <w:rPr>
          <w:rFonts w:ascii="Times New Roman" w:hAnsi="Times New Roman" w:cs="Times New Roman"/>
          <w:iCs/>
          <w:sz w:val="19"/>
          <w:szCs w:val="19"/>
        </w:rPr>
        <w:t xml:space="preserve"> (Cth)</w:t>
      </w:r>
      <w:r w:rsidRPr="00DC7A14">
        <w:rPr>
          <w:rFonts w:ascii="Times New Roman" w:hAnsi="Times New Roman" w:cs="Times New Roman"/>
          <w:iCs/>
          <w:sz w:val="19"/>
          <w:szCs w:val="19"/>
        </w:rPr>
        <w:t xml:space="preserve"> 1.</w:t>
      </w:r>
    </w:p>
  </w:footnote>
  <w:footnote w:id="363">
    <w:p w14:paraId="03EEAFF5" w14:textId="2F0A6522"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Online Safety Act 2021</w:t>
      </w:r>
      <w:r w:rsidR="00695116" w:rsidRPr="00DC7A14">
        <w:rPr>
          <w:rFonts w:ascii="Times New Roman" w:hAnsi="Times New Roman" w:cs="Times New Roman"/>
          <w:i/>
          <w:sz w:val="19"/>
          <w:szCs w:val="19"/>
        </w:rPr>
        <w:t xml:space="preserve"> </w:t>
      </w:r>
      <w:r w:rsidR="00695116" w:rsidRPr="00DC7A14">
        <w:rPr>
          <w:rFonts w:ascii="Times New Roman" w:hAnsi="Times New Roman" w:cs="Times New Roman"/>
          <w:iCs/>
          <w:sz w:val="19"/>
          <w:szCs w:val="19"/>
        </w:rPr>
        <w:t>(Cth)</w:t>
      </w:r>
      <w:r w:rsidRPr="00DC7A14">
        <w:rPr>
          <w:rFonts w:ascii="Times New Roman" w:hAnsi="Times New Roman" w:cs="Times New Roman"/>
          <w:sz w:val="19"/>
          <w:szCs w:val="19"/>
        </w:rPr>
        <w:t xml:space="preserve"> s 234.</w:t>
      </w:r>
    </w:p>
  </w:footnote>
  <w:footnote w:id="364">
    <w:p w14:paraId="292A84A2" w14:textId="08D795A3" w:rsidR="00F80172" w:rsidRPr="00DC7A14" w:rsidRDefault="00F8017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sz w:val="19"/>
          <w:szCs w:val="19"/>
          <w:lang w:val="en-GB"/>
        </w:rPr>
        <w:t xml:space="preserve">In </w:t>
      </w:r>
      <w:r w:rsidR="00C32647" w:rsidRPr="00DC7A14">
        <w:rPr>
          <w:rFonts w:ascii="Times New Roman" w:hAnsi="Times New Roman" w:cs="Times New Roman"/>
          <w:sz w:val="19"/>
          <w:szCs w:val="19"/>
          <w:lang w:val="en-GB"/>
        </w:rPr>
        <w:t>NSW</w:t>
      </w:r>
      <w:r w:rsidRPr="00DC7A14">
        <w:rPr>
          <w:rFonts w:ascii="Times New Roman" w:hAnsi="Times New Roman" w:cs="Times New Roman"/>
          <w:sz w:val="19"/>
          <w:szCs w:val="19"/>
          <w:lang w:val="en-GB"/>
        </w:rPr>
        <w:t xml:space="preserve">, these offences were introduced in the </w:t>
      </w:r>
      <w:r w:rsidRPr="00DC7A14">
        <w:rPr>
          <w:rFonts w:ascii="Times New Roman" w:hAnsi="Times New Roman" w:cs="Times New Roman"/>
          <w:i/>
          <w:sz w:val="19"/>
          <w:szCs w:val="19"/>
          <w:lang w:val="en-GB"/>
        </w:rPr>
        <w:t xml:space="preserve">Crimes Amendment (Intimate Images) Act 2017 </w:t>
      </w:r>
      <w:r w:rsidRPr="00DC7A14">
        <w:rPr>
          <w:rFonts w:ascii="Times New Roman" w:hAnsi="Times New Roman" w:cs="Times New Roman"/>
          <w:iCs/>
          <w:sz w:val="19"/>
          <w:szCs w:val="19"/>
          <w:lang w:val="en-GB"/>
        </w:rPr>
        <w:t>(NSW)</w:t>
      </w:r>
      <w:r w:rsidRPr="00DC7A14">
        <w:rPr>
          <w:rFonts w:ascii="Times New Roman" w:hAnsi="Times New Roman" w:cs="Times New Roman"/>
          <w:sz w:val="19"/>
          <w:szCs w:val="19"/>
          <w:lang w:val="en-GB"/>
        </w:rPr>
        <w:t xml:space="preserve"> and in Queensland through the </w:t>
      </w:r>
      <w:r w:rsidRPr="00DC7A14">
        <w:rPr>
          <w:rFonts w:ascii="Times New Roman" w:hAnsi="Times New Roman" w:cs="Times New Roman"/>
          <w:i/>
          <w:sz w:val="19"/>
          <w:szCs w:val="19"/>
          <w:lang w:val="en-GB"/>
        </w:rPr>
        <w:t>Criminal Code (Non-consensual Sharing of Intimate Images) Amendment Act</w:t>
      </w:r>
      <w:r w:rsidRPr="00DC7A14">
        <w:rPr>
          <w:rFonts w:ascii="Times New Roman" w:hAnsi="Times New Roman" w:cs="Times New Roman"/>
          <w:sz w:val="19"/>
          <w:szCs w:val="19"/>
          <w:lang w:val="en-GB"/>
        </w:rPr>
        <w:t xml:space="preserve"> </w:t>
      </w:r>
      <w:r w:rsidRPr="00DC7A14">
        <w:rPr>
          <w:rFonts w:ascii="Times New Roman" w:hAnsi="Times New Roman" w:cs="Times New Roman"/>
          <w:i/>
          <w:sz w:val="19"/>
          <w:szCs w:val="19"/>
          <w:lang w:val="en-GB"/>
        </w:rPr>
        <w:t xml:space="preserve">2017 </w:t>
      </w:r>
      <w:r w:rsidRPr="00DC7A14">
        <w:rPr>
          <w:rFonts w:ascii="Times New Roman" w:hAnsi="Times New Roman" w:cs="Times New Roman"/>
          <w:iCs/>
          <w:sz w:val="19"/>
          <w:szCs w:val="19"/>
          <w:lang w:val="en-GB"/>
        </w:rPr>
        <w:t>(Qld).</w:t>
      </w:r>
    </w:p>
  </w:footnote>
  <w:footnote w:id="365">
    <w:p w14:paraId="31E14A02" w14:textId="77777777" w:rsidR="00F80172" w:rsidRPr="00DC7A14" w:rsidRDefault="00F80172" w:rsidP="00F8017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color w:val="000000" w:themeColor="text1"/>
          <w:sz w:val="19"/>
          <w:szCs w:val="19"/>
        </w:rPr>
        <w:t xml:space="preserve">Crimes Act 1900 </w:t>
      </w:r>
      <w:r w:rsidRPr="00DC7A14">
        <w:rPr>
          <w:rFonts w:ascii="Times New Roman" w:hAnsi="Times New Roman" w:cs="Times New Roman"/>
          <w:iCs/>
          <w:color w:val="000000" w:themeColor="text1"/>
          <w:sz w:val="19"/>
          <w:szCs w:val="19"/>
        </w:rPr>
        <w:t>(NSW)</w:t>
      </w:r>
      <w:r w:rsidRPr="00DC7A14">
        <w:rPr>
          <w:rFonts w:ascii="Times New Roman" w:hAnsi="Times New Roman" w:cs="Times New Roman"/>
          <w:sz w:val="19"/>
          <w:szCs w:val="19"/>
        </w:rPr>
        <w:t xml:space="preserve"> s 91P. </w:t>
      </w:r>
    </w:p>
  </w:footnote>
  <w:footnote w:id="366">
    <w:p w14:paraId="453DBA89" w14:textId="77777777" w:rsidR="00F80172" w:rsidRPr="00DC7A14" w:rsidRDefault="00F80172" w:rsidP="00F8017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w:t>
      </w:r>
      <w:r w:rsidRPr="00DC7A14">
        <w:rPr>
          <w:rFonts w:ascii="Times New Roman" w:hAnsi="Times New Roman" w:cs="Times New Roman"/>
          <w:iCs/>
          <w:sz w:val="19"/>
          <w:szCs w:val="19"/>
        </w:rPr>
        <w:t xml:space="preserve"> s 91Q. </w:t>
      </w:r>
    </w:p>
  </w:footnote>
  <w:footnote w:id="367">
    <w:p w14:paraId="49868B60" w14:textId="77777777" w:rsidR="00F80172" w:rsidRPr="00DC7A14" w:rsidRDefault="00F80172" w:rsidP="00F8017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w:t>
      </w:r>
      <w:r w:rsidRPr="00DC7A14">
        <w:rPr>
          <w:rFonts w:ascii="Times New Roman" w:hAnsi="Times New Roman" w:cs="Times New Roman"/>
          <w:iCs/>
          <w:sz w:val="19"/>
          <w:szCs w:val="19"/>
        </w:rPr>
        <w:t xml:space="preserve"> s 91R(1). </w:t>
      </w:r>
    </w:p>
  </w:footnote>
  <w:footnote w:id="368">
    <w:p w14:paraId="32B44967" w14:textId="31BCBFF2" w:rsidR="00F80172" w:rsidRPr="00DC7A14" w:rsidRDefault="00F80172" w:rsidP="00F8017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BA2D97" w:rsidRPr="00DC7A14">
        <w:rPr>
          <w:rFonts w:ascii="Times New Roman" w:hAnsi="Times New Roman" w:cs="Times New Roman"/>
          <w:sz w:val="19"/>
          <w:szCs w:val="19"/>
        </w:rPr>
        <w:t xml:space="preserve">s </w:t>
      </w:r>
      <w:r w:rsidRPr="00DC7A14">
        <w:rPr>
          <w:rFonts w:ascii="Times New Roman" w:hAnsi="Times New Roman" w:cs="Times New Roman"/>
          <w:sz w:val="19"/>
          <w:szCs w:val="19"/>
        </w:rPr>
        <w:t xml:space="preserve">91R(2). </w:t>
      </w:r>
    </w:p>
  </w:footnote>
  <w:footnote w:id="369">
    <w:p w14:paraId="7FF6C8A9" w14:textId="13B3440D" w:rsidR="00F80172" w:rsidRPr="00DC7A14" w:rsidRDefault="00F80172"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BA2D97" w:rsidRPr="00DC7A14">
        <w:rPr>
          <w:rFonts w:ascii="Times New Roman" w:hAnsi="Times New Roman" w:cs="Times New Roman"/>
          <w:sz w:val="19"/>
          <w:szCs w:val="19"/>
        </w:rPr>
        <w:t xml:space="preserve">s </w:t>
      </w:r>
      <w:r w:rsidRPr="00DC7A14">
        <w:rPr>
          <w:rFonts w:ascii="Times New Roman" w:hAnsi="Times New Roman" w:cs="Times New Roman"/>
          <w:sz w:val="19"/>
          <w:szCs w:val="19"/>
        </w:rPr>
        <w:t xml:space="preserve">91N. </w:t>
      </w:r>
    </w:p>
  </w:footnote>
  <w:footnote w:id="370">
    <w:p w14:paraId="32F17CD3" w14:textId="021FB60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Cs/>
          <w:color w:val="000000" w:themeColor="text1"/>
          <w:sz w:val="19"/>
          <w:szCs w:val="19"/>
        </w:rPr>
        <w:t>Civil Digital Communication Bill 2017</w:t>
      </w:r>
      <w:r w:rsidRPr="00DC7A14">
        <w:rPr>
          <w:rFonts w:ascii="Times New Roman" w:hAnsi="Times New Roman" w:cs="Times New Roman"/>
          <w:i/>
          <w:color w:val="000000" w:themeColor="text1"/>
          <w:sz w:val="19"/>
          <w:szCs w:val="19"/>
        </w:rPr>
        <w:t xml:space="preserve"> </w:t>
      </w:r>
      <w:r w:rsidRPr="00DC7A14">
        <w:rPr>
          <w:rFonts w:ascii="Times New Roman" w:hAnsi="Times New Roman" w:cs="Times New Roman"/>
          <w:iCs/>
          <w:color w:val="000000" w:themeColor="text1"/>
          <w:sz w:val="19"/>
          <w:szCs w:val="19"/>
        </w:rPr>
        <w:t>(Tas).</w:t>
      </w:r>
    </w:p>
  </w:footnote>
  <w:footnote w:id="371">
    <w:p w14:paraId="754E7ABF" w14:textId="3CD695B5"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cl</w:t>
      </w:r>
      <w:r w:rsidR="00270088" w:rsidRPr="00DC7A14">
        <w:rPr>
          <w:rFonts w:ascii="Times New Roman" w:hAnsi="Times New Roman" w:cs="Times New Roman"/>
          <w:sz w:val="19"/>
          <w:szCs w:val="19"/>
        </w:rPr>
        <w:t>s</w:t>
      </w:r>
      <w:r w:rsidRPr="00DC7A14">
        <w:rPr>
          <w:rFonts w:ascii="Times New Roman" w:hAnsi="Times New Roman" w:cs="Times New Roman"/>
          <w:sz w:val="19"/>
          <w:szCs w:val="19"/>
        </w:rPr>
        <w:t xml:space="preserve"> 5</w:t>
      </w:r>
      <w:r w:rsidR="00694DA1" w:rsidRPr="00DC7A14">
        <w:rPr>
          <w:rFonts w:ascii="Times New Roman" w:hAnsi="Times New Roman" w:cs="Times New Roman"/>
          <w:sz w:val="19"/>
          <w:szCs w:val="19"/>
        </w:rPr>
        <w:t>–</w:t>
      </w:r>
      <w:r w:rsidRPr="00DC7A14">
        <w:rPr>
          <w:rFonts w:ascii="Times New Roman" w:hAnsi="Times New Roman" w:cs="Times New Roman"/>
          <w:sz w:val="19"/>
          <w:szCs w:val="19"/>
        </w:rPr>
        <w:t>8.</w:t>
      </w:r>
    </w:p>
  </w:footnote>
  <w:footnote w:id="372">
    <w:p w14:paraId="5EC7F842" w14:textId="581A77E9"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cl 9. </w:t>
      </w:r>
    </w:p>
  </w:footnote>
  <w:footnote w:id="373">
    <w:p w14:paraId="388BD405" w14:textId="11B86F48"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cl 11</w:t>
      </w:r>
      <w:r w:rsidRPr="00DC7A14">
        <w:rPr>
          <w:rFonts w:ascii="Times New Roman" w:hAnsi="Times New Roman" w:cs="Times New Roman"/>
          <w:i/>
          <w:color w:val="000000" w:themeColor="text1"/>
          <w:sz w:val="19"/>
          <w:szCs w:val="19"/>
        </w:rPr>
        <w:t>.</w:t>
      </w:r>
    </w:p>
  </w:footnote>
  <w:footnote w:id="374">
    <w:p w14:paraId="675187B3" w14:textId="0F3A062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cl 12.</w:t>
      </w:r>
    </w:p>
  </w:footnote>
  <w:footnote w:id="375">
    <w:p w14:paraId="3DCFCD99" w14:textId="6666BA1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w:t>
      </w:r>
      <w:r w:rsidR="00694DA1" w:rsidRPr="00DC7A14">
        <w:rPr>
          <w:rFonts w:ascii="Times New Roman" w:hAnsi="Times New Roman" w:cs="Times New Roman"/>
          <w:sz w:val="19"/>
          <w:szCs w:val="19"/>
        </w:rPr>
        <w:t xml:space="preserve">cls </w:t>
      </w:r>
      <w:r w:rsidRPr="00DC7A14">
        <w:rPr>
          <w:rFonts w:ascii="Times New Roman" w:hAnsi="Times New Roman" w:cs="Times New Roman"/>
          <w:sz w:val="19"/>
          <w:szCs w:val="19"/>
        </w:rPr>
        <w:t>10, 13</w:t>
      </w:r>
      <w:r w:rsidRPr="00DC7A14">
        <w:rPr>
          <w:rFonts w:ascii="Times New Roman" w:hAnsi="Times New Roman" w:cs="Times New Roman"/>
          <w:i/>
          <w:color w:val="000000" w:themeColor="text1"/>
          <w:sz w:val="19"/>
          <w:szCs w:val="19"/>
        </w:rPr>
        <w:t>.</w:t>
      </w:r>
    </w:p>
  </w:footnote>
  <w:footnote w:id="376">
    <w:p w14:paraId="11C2B250" w14:textId="010ECEFA"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Parliament of Tasmania, ‘Civil Digital Communications Bill 2017’</w:t>
      </w:r>
      <w:r w:rsidR="008C1B7B" w:rsidRPr="00DC7A14">
        <w:rPr>
          <w:rFonts w:ascii="Times New Roman" w:hAnsi="Times New Roman" w:cs="Times New Roman"/>
          <w:sz w:val="19"/>
          <w:szCs w:val="19"/>
        </w:rPr>
        <w:t xml:space="preserve"> (Web Page, 2021) </w:t>
      </w:r>
      <w:r w:rsidRPr="00DC7A14">
        <w:rPr>
          <w:rFonts w:ascii="Times New Roman" w:hAnsi="Times New Roman" w:cs="Times New Roman"/>
          <w:sz w:val="19"/>
          <w:szCs w:val="19"/>
        </w:rPr>
        <w:t>&lt;</w:t>
      </w:r>
      <w:hyperlink r:id="rId19" w:history="1">
        <w:r w:rsidRPr="00DC7A14">
          <w:rPr>
            <w:rStyle w:val="Hyperlink"/>
            <w:rFonts w:ascii="Times New Roman" w:hAnsi="Times New Roman" w:cs="Times New Roman"/>
            <w:sz w:val="19"/>
            <w:szCs w:val="19"/>
          </w:rPr>
          <w:t>https://www.parliament.tas.gov.au/Bills/Bills2017/62_of_2017.html</w:t>
        </w:r>
      </w:hyperlink>
      <w:r w:rsidRPr="00DC7A14">
        <w:rPr>
          <w:rFonts w:ascii="Times New Roman" w:hAnsi="Times New Roman" w:cs="Times New Roman"/>
          <w:sz w:val="19"/>
          <w:szCs w:val="19"/>
        </w:rPr>
        <w:t xml:space="preserve">&gt;. </w:t>
      </w:r>
    </w:p>
  </w:footnote>
  <w:footnote w:id="377">
    <w:p w14:paraId="0D651C03" w14:textId="2F944F79"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Children, Young People and Their Families Act 1997 </w:t>
      </w:r>
      <w:r w:rsidRPr="00DC7A14">
        <w:rPr>
          <w:rFonts w:ascii="Times New Roman" w:hAnsi="Times New Roman" w:cs="Times New Roman"/>
          <w:iCs/>
          <w:sz w:val="19"/>
          <w:szCs w:val="19"/>
        </w:rPr>
        <w:t xml:space="preserve">(Tas) s 10D(1). </w:t>
      </w:r>
    </w:p>
  </w:footnote>
  <w:footnote w:id="378">
    <w:p w14:paraId="7AF05243" w14:textId="570C7575"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bCs/>
          <w:i/>
          <w:sz w:val="19"/>
          <w:szCs w:val="19"/>
        </w:rPr>
        <w:t xml:space="preserve">Health Complaints Act 1995 </w:t>
      </w:r>
      <w:r w:rsidRPr="00DC7A14">
        <w:rPr>
          <w:rFonts w:ascii="Times New Roman" w:hAnsi="Times New Roman" w:cs="Times New Roman"/>
          <w:bCs/>
          <w:iCs/>
          <w:sz w:val="19"/>
          <w:szCs w:val="19"/>
        </w:rPr>
        <w:t>(Tas) s 5(1)(j).</w:t>
      </w:r>
    </w:p>
  </w:footnote>
  <w:footnote w:id="379">
    <w:p w14:paraId="7090D6DD" w14:textId="4DB5FA3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Ibid s 123(1)(f). </w:t>
      </w:r>
    </w:p>
  </w:footnote>
  <w:footnote w:id="380">
    <w:p w14:paraId="7F8FC64E" w14:textId="55CCA9E2"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Residential Tenancy Act 1997 </w:t>
      </w:r>
      <w:r w:rsidRPr="00DC7A14">
        <w:rPr>
          <w:rFonts w:ascii="Times New Roman" w:hAnsi="Times New Roman" w:cs="Times New Roman"/>
          <w:iCs/>
          <w:sz w:val="19"/>
          <w:szCs w:val="19"/>
        </w:rPr>
        <w:t xml:space="preserve">(Tas) s 36N(1). </w:t>
      </w:r>
    </w:p>
  </w:footnote>
  <w:footnote w:id="381">
    <w:p w14:paraId="49B79F70" w14:textId="7C01EA98"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Access to Neighbouring Land Act 1992 </w:t>
      </w:r>
      <w:r w:rsidRPr="00DC7A14">
        <w:rPr>
          <w:rFonts w:ascii="Times New Roman" w:hAnsi="Times New Roman" w:cs="Times New Roman"/>
          <w:iCs/>
          <w:sz w:val="19"/>
          <w:szCs w:val="19"/>
        </w:rPr>
        <w:t xml:space="preserve">(Tas) s 6(2)(b). </w:t>
      </w:r>
    </w:p>
  </w:footnote>
  <w:footnote w:id="382">
    <w:p w14:paraId="34AE2C6E" w14:textId="44199305" w:rsidR="0066571D" w:rsidRPr="00DC7A14" w:rsidRDefault="0066571D">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Evidence Act 2001 </w:t>
      </w:r>
      <w:r w:rsidRPr="00DC7A14">
        <w:rPr>
          <w:rFonts w:ascii="Times New Roman" w:hAnsi="Times New Roman" w:cs="Times New Roman"/>
          <w:sz w:val="19"/>
          <w:szCs w:val="19"/>
        </w:rPr>
        <w:t>(Tas) s 138.</w:t>
      </w:r>
    </w:p>
  </w:footnote>
  <w:footnote w:id="383">
    <w:p w14:paraId="3044372B" w14:textId="7EA2BFDA" w:rsidR="008D2238" w:rsidRPr="00DC7A14" w:rsidRDefault="008D2238">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827B46" w:rsidRPr="00DC7A14">
        <w:rPr>
          <w:rFonts w:ascii="Times New Roman" w:hAnsi="Times New Roman" w:cs="Times New Roman"/>
          <w:iCs/>
          <w:sz w:val="19"/>
          <w:szCs w:val="19"/>
        </w:rPr>
        <w:t>Ibid</w:t>
      </w:r>
      <w:r w:rsidRPr="00DC7A14">
        <w:rPr>
          <w:rFonts w:ascii="Times New Roman" w:hAnsi="Times New Roman" w:cs="Times New Roman"/>
          <w:iCs/>
          <w:sz w:val="19"/>
          <w:szCs w:val="19"/>
        </w:rPr>
        <w:t xml:space="preserve"> s 138(3)(f).</w:t>
      </w:r>
    </w:p>
  </w:footnote>
  <w:footnote w:id="384">
    <w:p w14:paraId="1C9E6D3F" w14:textId="75DFF103" w:rsidR="00D761C6" w:rsidRPr="00DC7A14" w:rsidRDefault="00D761C6" w:rsidP="00D83805">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B83689" w:rsidRPr="00DC7A14">
        <w:rPr>
          <w:rFonts w:ascii="Times New Roman" w:hAnsi="Times New Roman" w:cs="Times New Roman"/>
          <w:iCs/>
          <w:sz w:val="19"/>
          <w:szCs w:val="19"/>
        </w:rPr>
        <w:t>Ibid</w:t>
      </w:r>
      <w:r w:rsidRPr="00DC7A14">
        <w:rPr>
          <w:rFonts w:ascii="Times New Roman" w:hAnsi="Times New Roman" w:cs="Times New Roman"/>
          <w:iCs/>
          <w:sz w:val="19"/>
          <w:szCs w:val="19"/>
        </w:rPr>
        <w:t xml:space="preserve"> s 138(3)(f)</w:t>
      </w:r>
      <w:r w:rsidR="00A723ED">
        <w:rPr>
          <w:rFonts w:ascii="Times New Roman" w:hAnsi="Times New Roman" w:cs="Times New Roman"/>
          <w:sz w:val="19"/>
          <w:szCs w:val="19"/>
        </w:rPr>
        <w:t>.</w:t>
      </w:r>
      <w:r w:rsidRPr="00DC7A14">
        <w:rPr>
          <w:rFonts w:ascii="Times New Roman" w:hAnsi="Times New Roman" w:cs="Times New Roman"/>
          <w:sz w:val="19"/>
          <w:szCs w:val="19"/>
        </w:rPr>
        <w:t xml:space="preserve"> </w:t>
      </w:r>
      <w:r w:rsidR="00A723ED">
        <w:rPr>
          <w:rFonts w:ascii="Times New Roman" w:hAnsi="Times New Roman" w:cs="Times New Roman"/>
          <w:sz w:val="19"/>
          <w:szCs w:val="19"/>
        </w:rPr>
        <w:t>S</w:t>
      </w:r>
      <w:r w:rsidRPr="00DC7A14">
        <w:rPr>
          <w:rFonts w:ascii="Times New Roman" w:hAnsi="Times New Roman" w:cs="Times New Roman"/>
          <w:sz w:val="19"/>
          <w:szCs w:val="19"/>
        </w:rPr>
        <w:t xml:space="preserve">ee also </w:t>
      </w:r>
      <w:r w:rsidRPr="00DC7A14">
        <w:rPr>
          <w:rFonts w:ascii="Times New Roman" w:hAnsi="Times New Roman" w:cs="Times New Roman"/>
          <w:i/>
          <w:sz w:val="19"/>
          <w:szCs w:val="19"/>
        </w:rPr>
        <w:t xml:space="preserve">R v Brown </w:t>
      </w:r>
      <w:r w:rsidRPr="00DC7A14">
        <w:rPr>
          <w:rFonts w:ascii="Times New Roman" w:hAnsi="Times New Roman" w:cs="Times New Roman"/>
          <w:sz w:val="19"/>
          <w:szCs w:val="19"/>
        </w:rPr>
        <w:t>[2014] TASSC 18</w:t>
      </w:r>
      <w:r w:rsidR="00656AC8" w:rsidRPr="00DC7A14">
        <w:rPr>
          <w:rFonts w:ascii="Times New Roman" w:hAnsi="Times New Roman" w:cs="Times New Roman"/>
          <w:iCs/>
          <w:sz w:val="19"/>
          <w:szCs w:val="19"/>
        </w:rPr>
        <w:t>;</w:t>
      </w:r>
      <w:r w:rsidR="00656AC8" w:rsidRPr="00DC7A14">
        <w:rPr>
          <w:rFonts w:ascii="Times New Roman" w:hAnsi="Times New Roman" w:cs="Times New Roman"/>
          <w:i/>
          <w:sz w:val="19"/>
          <w:szCs w:val="19"/>
        </w:rPr>
        <w:t xml:space="preserve"> </w:t>
      </w:r>
      <w:r w:rsidRPr="00DC7A14">
        <w:rPr>
          <w:rFonts w:ascii="Times New Roman" w:hAnsi="Times New Roman" w:cs="Times New Roman"/>
          <w:i/>
          <w:sz w:val="19"/>
          <w:szCs w:val="19"/>
        </w:rPr>
        <w:t xml:space="preserve">R v Pettit </w:t>
      </w:r>
      <w:r w:rsidRPr="00DC7A14">
        <w:rPr>
          <w:rFonts w:ascii="Times New Roman" w:hAnsi="Times New Roman" w:cs="Times New Roman"/>
          <w:sz w:val="19"/>
          <w:szCs w:val="19"/>
        </w:rPr>
        <w:t>[2015] TASSC 14</w:t>
      </w:r>
      <w:r w:rsidR="00656AC8" w:rsidRPr="00DC7A14">
        <w:rPr>
          <w:rFonts w:ascii="Times New Roman" w:hAnsi="Times New Roman" w:cs="Times New Roman"/>
          <w:iCs/>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Tasmania v Wykes</w:t>
      </w:r>
      <w:r w:rsidRPr="00DC7A14">
        <w:rPr>
          <w:rFonts w:ascii="Times New Roman" w:hAnsi="Times New Roman" w:cs="Times New Roman"/>
          <w:sz w:val="19"/>
          <w:szCs w:val="19"/>
        </w:rPr>
        <w:t xml:space="preserve"> [2019] TASSC 18.</w:t>
      </w:r>
    </w:p>
  </w:footnote>
  <w:footnote w:id="385">
    <w:p w14:paraId="04D1D425" w14:textId="5493CD02"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Hibble v B</w:t>
      </w:r>
      <w:r w:rsidRPr="00DC7A14">
        <w:rPr>
          <w:rFonts w:ascii="Times New Roman" w:hAnsi="Times New Roman" w:cs="Times New Roman"/>
          <w:sz w:val="19"/>
          <w:szCs w:val="19"/>
        </w:rPr>
        <w:t xml:space="preserve"> [2012] TASSC 59</w:t>
      </w:r>
      <w:r w:rsidR="009C0837"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R v Brown </w:t>
      </w:r>
      <w:r w:rsidRPr="00DC7A14">
        <w:rPr>
          <w:rFonts w:ascii="Times New Roman" w:hAnsi="Times New Roman" w:cs="Times New Roman"/>
          <w:sz w:val="19"/>
          <w:szCs w:val="19"/>
        </w:rPr>
        <w:t>[2014] TASSC 18</w:t>
      </w:r>
      <w:r w:rsidR="009C0837" w:rsidRPr="00DC7A14">
        <w:rPr>
          <w:rFonts w:ascii="Times New Roman" w:hAnsi="Times New Roman" w:cs="Times New Roman"/>
          <w:iCs/>
          <w:sz w:val="19"/>
          <w:szCs w:val="19"/>
        </w:rPr>
        <w:t>;</w:t>
      </w:r>
      <w:r w:rsidR="009C0837" w:rsidRPr="00DC7A14">
        <w:rPr>
          <w:rFonts w:ascii="Times New Roman" w:hAnsi="Times New Roman" w:cs="Times New Roman"/>
          <w:i/>
          <w:sz w:val="19"/>
          <w:szCs w:val="19"/>
        </w:rPr>
        <w:t xml:space="preserve"> </w:t>
      </w:r>
      <w:r w:rsidRPr="00DC7A14">
        <w:rPr>
          <w:rFonts w:ascii="Times New Roman" w:hAnsi="Times New Roman" w:cs="Times New Roman"/>
          <w:i/>
          <w:sz w:val="19"/>
          <w:szCs w:val="19"/>
        </w:rPr>
        <w:t xml:space="preserve">R v Pettit </w:t>
      </w:r>
      <w:r w:rsidRPr="00DC7A14">
        <w:rPr>
          <w:rFonts w:ascii="Times New Roman" w:hAnsi="Times New Roman" w:cs="Times New Roman"/>
          <w:sz w:val="19"/>
          <w:szCs w:val="19"/>
        </w:rPr>
        <w:t>[2015] TASSC 14</w:t>
      </w:r>
      <w:r w:rsidR="009C0837" w:rsidRPr="00DC7A14">
        <w:rPr>
          <w:rFonts w:ascii="Times New Roman" w:hAnsi="Times New Roman" w:cs="Times New Roman"/>
          <w:iCs/>
          <w:sz w:val="19"/>
          <w:szCs w:val="19"/>
        </w:rPr>
        <w:t>;</w:t>
      </w:r>
      <w:r w:rsidRPr="00DC7A14">
        <w:rPr>
          <w:rFonts w:ascii="Times New Roman" w:hAnsi="Times New Roman" w:cs="Times New Roman"/>
          <w:i/>
          <w:sz w:val="19"/>
          <w:szCs w:val="19"/>
        </w:rPr>
        <w:t xml:space="preserve"> Tasmania v Wykes</w:t>
      </w:r>
      <w:r w:rsidRPr="00DC7A14">
        <w:rPr>
          <w:rFonts w:ascii="Times New Roman" w:hAnsi="Times New Roman" w:cs="Times New Roman"/>
          <w:sz w:val="19"/>
          <w:szCs w:val="19"/>
        </w:rPr>
        <w:t xml:space="preserve"> [2019] TASSC 18. Cf </w:t>
      </w:r>
      <w:r w:rsidRPr="00DC7A14">
        <w:rPr>
          <w:rFonts w:ascii="Times New Roman" w:hAnsi="Times New Roman" w:cs="Times New Roman"/>
          <w:i/>
          <w:sz w:val="19"/>
          <w:szCs w:val="19"/>
        </w:rPr>
        <w:t>Tasmania v Melick</w:t>
      </w:r>
      <w:r w:rsidRPr="00DC7A14">
        <w:rPr>
          <w:rFonts w:ascii="Times New Roman" w:hAnsi="Times New Roman" w:cs="Times New Roman"/>
          <w:sz w:val="19"/>
          <w:szCs w:val="19"/>
        </w:rPr>
        <w:t xml:space="preserve"> [2019] TASSC 19, where the Court held the evidence to be admissible in spite of the privacy interference, because the interests in privacy were outweighed by countervailing public interests in crime detection. </w:t>
      </w:r>
    </w:p>
  </w:footnote>
  <w:footnote w:id="386">
    <w:p w14:paraId="00C44325" w14:textId="2B2DF940"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Hibble v B</w:t>
      </w:r>
      <w:r w:rsidRPr="00DC7A14">
        <w:rPr>
          <w:rFonts w:ascii="Times New Roman" w:hAnsi="Times New Roman" w:cs="Times New Roman"/>
          <w:sz w:val="19"/>
          <w:szCs w:val="19"/>
        </w:rPr>
        <w:t xml:space="preserve"> [2012] TASSC 59 [76].</w:t>
      </w:r>
      <w:r w:rsidR="00417A52" w:rsidRPr="00DC7A14">
        <w:rPr>
          <w:rFonts w:ascii="Times New Roman" w:hAnsi="Times New Roman" w:cs="Times New Roman"/>
          <w:sz w:val="19"/>
          <w:szCs w:val="19"/>
        </w:rPr>
        <w:t xml:space="preserve"> The provisions violated in the </w:t>
      </w:r>
      <w:r w:rsidR="00417A52" w:rsidRPr="00DC7A14">
        <w:rPr>
          <w:rFonts w:ascii="Times New Roman" w:hAnsi="Times New Roman" w:cs="Times New Roman"/>
          <w:iCs/>
          <w:sz w:val="19"/>
          <w:szCs w:val="19"/>
        </w:rPr>
        <w:t>Convention</w:t>
      </w:r>
      <w:r w:rsidR="00417A52" w:rsidRPr="00DC7A14">
        <w:rPr>
          <w:rFonts w:ascii="Times New Roman" w:hAnsi="Times New Roman" w:cs="Times New Roman"/>
          <w:i/>
          <w:sz w:val="19"/>
          <w:szCs w:val="19"/>
        </w:rPr>
        <w:t xml:space="preserve"> </w:t>
      </w:r>
      <w:r w:rsidR="00417A52" w:rsidRPr="00DC7A14">
        <w:rPr>
          <w:rFonts w:ascii="Times New Roman" w:hAnsi="Times New Roman" w:cs="Times New Roman"/>
          <w:iCs/>
          <w:sz w:val="19"/>
          <w:szCs w:val="19"/>
        </w:rPr>
        <w:t xml:space="preserve">were </w:t>
      </w:r>
      <w:r w:rsidR="00417A52" w:rsidRPr="00DC7A14">
        <w:rPr>
          <w:rFonts w:ascii="Times New Roman" w:hAnsi="Times New Roman" w:cs="Times New Roman"/>
          <w:bCs/>
          <w:sz w:val="19"/>
          <w:szCs w:val="19"/>
        </w:rPr>
        <w:t>arts 16.1 and 16.2.</w:t>
      </w:r>
    </w:p>
  </w:footnote>
  <w:footnote w:id="387">
    <w:p w14:paraId="393F7757" w14:textId="1DBFDB27" w:rsidR="00063B81" w:rsidRPr="00DC7A14" w:rsidRDefault="00063B8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Tasmania v Wykes</w:t>
      </w:r>
      <w:r w:rsidRPr="00DC7A14">
        <w:rPr>
          <w:rFonts w:ascii="Times New Roman" w:hAnsi="Times New Roman" w:cs="Times New Roman"/>
          <w:sz w:val="19"/>
          <w:szCs w:val="19"/>
        </w:rPr>
        <w:t xml:space="preserve"> [2019] TASSC 18 [1]–[7].</w:t>
      </w:r>
    </w:p>
  </w:footnote>
  <w:footnote w:id="388">
    <w:p w14:paraId="4A01A5A0" w14:textId="1F22B948" w:rsidR="00571140" w:rsidRPr="00DC7A14" w:rsidRDefault="00571140"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000A1D09" w:rsidRPr="00DC7A14">
        <w:rPr>
          <w:rFonts w:ascii="Times New Roman" w:hAnsi="Times New Roman" w:cs="Times New Roman"/>
          <w:iCs/>
          <w:sz w:val="19"/>
          <w:szCs w:val="19"/>
        </w:rPr>
        <w:t>Ibid</w:t>
      </w:r>
      <w:r w:rsidRPr="00DC7A14">
        <w:rPr>
          <w:rFonts w:ascii="Times New Roman" w:hAnsi="Times New Roman" w:cs="Times New Roman"/>
          <w:sz w:val="19"/>
          <w:szCs w:val="19"/>
        </w:rPr>
        <w:t xml:space="preserve"> [38].</w:t>
      </w:r>
    </w:p>
  </w:footnote>
  <w:footnote w:id="389">
    <w:p w14:paraId="77284FBC" w14:textId="1E2684DC" w:rsidR="00240952" w:rsidRPr="00DC7A14" w:rsidRDefault="00240952" w:rsidP="0024095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Sierra 4 v Moles</w:t>
      </w:r>
      <w:r w:rsidRPr="00DC7A14">
        <w:rPr>
          <w:rFonts w:ascii="Times New Roman" w:hAnsi="Times New Roman" w:cs="Times New Roman"/>
          <w:sz w:val="19"/>
          <w:szCs w:val="19"/>
        </w:rPr>
        <w:t xml:space="preserve"> [1994] TASSC 38</w:t>
      </w:r>
      <w:r w:rsidR="00CB5B8A" w:rsidRPr="00DC7A14">
        <w:rPr>
          <w:rFonts w:ascii="Times New Roman" w:hAnsi="Times New Roman" w:cs="Times New Roman"/>
          <w:sz w:val="19"/>
          <w:szCs w:val="19"/>
        </w:rPr>
        <w:t xml:space="preserve"> [61]–[67]</w:t>
      </w:r>
      <w:r w:rsidRPr="00DC7A14">
        <w:rPr>
          <w:rFonts w:ascii="Times New Roman" w:hAnsi="Times New Roman" w:cs="Times New Roman"/>
          <w:sz w:val="19"/>
          <w:szCs w:val="19"/>
        </w:rPr>
        <w:t xml:space="preserve">. </w:t>
      </w:r>
    </w:p>
  </w:footnote>
  <w:footnote w:id="390">
    <w:p w14:paraId="6087CA85" w14:textId="77777777" w:rsidR="00240952" w:rsidRPr="00DC7A14" w:rsidRDefault="00240952" w:rsidP="00240952">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Evidence Act 2001 </w:t>
      </w:r>
      <w:r w:rsidRPr="00DC7A14">
        <w:rPr>
          <w:rFonts w:ascii="Times New Roman" w:hAnsi="Times New Roman" w:cs="Times New Roman"/>
          <w:iCs/>
          <w:sz w:val="19"/>
          <w:szCs w:val="19"/>
        </w:rPr>
        <w:t xml:space="preserve">(Tas) s 41(3)(b). </w:t>
      </w:r>
    </w:p>
  </w:footnote>
  <w:footnote w:id="391">
    <w:p w14:paraId="101FAA10" w14:textId="77777777" w:rsidR="00CB0431" w:rsidRPr="00DC7A14" w:rsidRDefault="00CB0431" w:rsidP="00CB043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Sierra 4 v Moles</w:t>
      </w:r>
      <w:r w:rsidRPr="00DC7A14">
        <w:rPr>
          <w:rFonts w:ascii="Times New Roman" w:hAnsi="Times New Roman" w:cs="Times New Roman"/>
          <w:sz w:val="19"/>
          <w:szCs w:val="19"/>
        </w:rPr>
        <w:t xml:space="preserve"> [1994] TASSC 38. </w:t>
      </w:r>
    </w:p>
  </w:footnote>
  <w:footnote w:id="392">
    <w:p w14:paraId="5970148E" w14:textId="17152921" w:rsidR="00D761C6" w:rsidRPr="00DC7A14" w:rsidRDefault="00D761C6" w:rsidP="00A90B8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Carnevale v Baker</w:t>
      </w:r>
      <w:r w:rsidRPr="00DC7A14">
        <w:rPr>
          <w:rFonts w:ascii="Times New Roman" w:hAnsi="Times New Roman" w:cs="Times New Roman"/>
          <w:sz w:val="19"/>
          <w:szCs w:val="19"/>
        </w:rPr>
        <w:t xml:space="preserve"> [1996] TASSC 9 [20].</w:t>
      </w:r>
    </w:p>
  </w:footnote>
  <w:footnote w:id="393">
    <w:p w14:paraId="25EC5CCF" w14:textId="21D79063" w:rsidR="007C08C9" w:rsidRPr="00DC7A14" w:rsidRDefault="007C08C9" w:rsidP="007C08C9">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Tasmania v Melick</w:t>
      </w:r>
      <w:r w:rsidRPr="00DC7A14">
        <w:rPr>
          <w:rFonts w:ascii="Times New Roman" w:hAnsi="Times New Roman" w:cs="Times New Roman"/>
          <w:sz w:val="19"/>
          <w:szCs w:val="19"/>
        </w:rPr>
        <w:t xml:space="preserve"> [2019] TASSC 19 [13]</w:t>
      </w:r>
      <w:r w:rsidR="006469E8"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[20](d), citing </w:t>
      </w:r>
      <w:r w:rsidRPr="00DC7A14">
        <w:rPr>
          <w:rFonts w:ascii="Times New Roman" w:hAnsi="Times New Roman" w:cs="Times New Roman"/>
          <w:i/>
          <w:sz w:val="19"/>
          <w:szCs w:val="19"/>
        </w:rPr>
        <w:t xml:space="preserve">Australian Postal Corporation Act 1989 </w:t>
      </w:r>
      <w:r w:rsidRPr="00DC7A14">
        <w:rPr>
          <w:rFonts w:ascii="Times New Roman" w:hAnsi="Times New Roman" w:cs="Times New Roman"/>
          <w:iCs/>
          <w:sz w:val="19"/>
          <w:szCs w:val="19"/>
        </w:rPr>
        <w:t xml:space="preserve">(Cth) pt VII(B) s 90T. </w:t>
      </w:r>
    </w:p>
  </w:footnote>
  <w:footnote w:id="394">
    <w:p w14:paraId="6C106FFA" w14:textId="432A9157"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Australian Broadcasting Corporation v Lenah Game Meats Pty Ltd</w:t>
      </w:r>
      <w:r w:rsidRPr="00DC7A14">
        <w:rPr>
          <w:rFonts w:ascii="Times New Roman" w:hAnsi="Times New Roman" w:cs="Times New Roman"/>
          <w:sz w:val="19"/>
          <w:szCs w:val="19"/>
        </w:rPr>
        <w:t xml:space="preserve"> </w:t>
      </w:r>
      <w:r w:rsidRPr="00DC7A14">
        <w:rPr>
          <w:rFonts w:ascii="Times New Roman" w:hAnsi="Times New Roman" w:cs="Times New Roman"/>
          <w:color w:val="000000" w:themeColor="text1"/>
          <w:sz w:val="19"/>
          <w:szCs w:val="19"/>
        </w:rPr>
        <w:t>(2001) 208 CLR 199</w:t>
      </w:r>
      <w:r w:rsidR="008E3BAF" w:rsidRPr="00DC7A14">
        <w:rPr>
          <w:rFonts w:ascii="Times New Roman" w:hAnsi="Times New Roman" w:cs="Times New Roman"/>
          <w:color w:val="000000" w:themeColor="text1"/>
          <w:sz w:val="19"/>
          <w:szCs w:val="19"/>
        </w:rPr>
        <w:t xml:space="preserve"> (‘</w:t>
      </w:r>
      <w:r w:rsidR="008E3BAF" w:rsidRPr="00DC7A14">
        <w:rPr>
          <w:rFonts w:ascii="Times New Roman" w:hAnsi="Times New Roman" w:cs="Times New Roman"/>
          <w:i/>
          <w:sz w:val="19"/>
          <w:szCs w:val="19"/>
        </w:rPr>
        <w:t>Lenah Game Meats</w:t>
      </w:r>
      <w:r w:rsidR="008E3BAF" w:rsidRPr="00DC7A14">
        <w:rPr>
          <w:rFonts w:ascii="Times New Roman" w:hAnsi="Times New Roman" w:cs="Times New Roman"/>
          <w:color w:val="000000" w:themeColor="text1"/>
          <w:sz w:val="19"/>
          <w:szCs w:val="19"/>
        </w:rPr>
        <w:t>’)</w:t>
      </w:r>
      <w:r w:rsidRPr="00DC7A14">
        <w:rPr>
          <w:rFonts w:ascii="Times New Roman" w:hAnsi="Times New Roman" w:cs="Times New Roman"/>
          <w:color w:val="000000" w:themeColor="text1"/>
          <w:sz w:val="19"/>
          <w:szCs w:val="19"/>
        </w:rPr>
        <w:t>.</w:t>
      </w:r>
    </w:p>
  </w:footnote>
  <w:footnote w:id="395">
    <w:p w14:paraId="327086A5" w14:textId="595F6523"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Gligorijevic, ‘Reaffirming </w:t>
      </w:r>
      <w:r w:rsidRPr="00DC7A14">
        <w:rPr>
          <w:rFonts w:ascii="Times New Roman" w:hAnsi="Times New Roman" w:cs="Times New Roman"/>
          <w:i/>
          <w:iCs/>
          <w:sz w:val="19"/>
          <w:szCs w:val="19"/>
        </w:rPr>
        <w:t>ABC v Lenah Game Meats</w:t>
      </w:r>
      <w:r w:rsidRPr="00DC7A14">
        <w:rPr>
          <w:rFonts w:ascii="Times New Roman" w:hAnsi="Times New Roman" w:cs="Times New Roman"/>
          <w:sz w:val="19"/>
          <w:szCs w:val="19"/>
        </w:rPr>
        <w:t>’ (</w:t>
      </w:r>
      <w:r w:rsidR="00031113" w:rsidRPr="00DC7A14">
        <w:rPr>
          <w:rFonts w:ascii="Times New Roman" w:hAnsi="Times New Roman" w:cs="Times New Roman"/>
          <w:sz w:val="19"/>
          <w:szCs w:val="19"/>
        </w:rPr>
        <w:t xml:space="preserve">n </w:t>
      </w:r>
      <w:r w:rsidR="00A13273" w:rsidRPr="00DC7A14">
        <w:rPr>
          <w:rFonts w:ascii="Times New Roman" w:hAnsi="Times New Roman" w:cs="Times New Roman"/>
          <w:sz w:val="19"/>
          <w:szCs w:val="19"/>
        </w:rPr>
        <w:fldChar w:fldCharType="begin"/>
      </w:r>
      <w:r w:rsidR="00A13273" w:rsidRPr="00DC7A14">
        <w:rPr>
          <w:rFonts w:ascii="Times New Roman" w:hAnsi="Times New Roman" w:cs="Times New Roman"/>
          <w:sz w:val="19"/>
          <w:szCs w:val="19"/>
        </w:rPr>
        <w:instrText xml:space="preserve"> NOTEREF _Ref91831673 \h  \* MERGEFORMAT </w:instrText>
      </w:r>
      <w:r w:rsidR="00A13273" w:rsidRPr="00DC7A14">
        <w:rPr>
          <w:rFonts w:ascii="Times New Roman" w:hAnsi="Times New Roman" w:cs="Times New Roman"/>
          <w:sz w:val="19"/>
          <w:szCs w:val="19"/>
        </w:rPr>
      </w:r>
      <w:r w:rsidR="00A1327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7</w:t>
      </w:r>
      <w:r w:rsidR="00A13273" w:rsidRPr="00DC7A14">
        <w:rPr>
          <w:rFonts w:ascii="Times New Roman" w:hAnsi="Times New Roman" w:cs="Times New Roman"/>
          <w:sz w:val="19"/>
          <w:szCs w:val="19"/>
        </w:rPr>
        <w:fldChar w:fldCharType="end"/>
      </w:r>
      <w:r w:rsidR="00031113" w:rsidRPr="00DC7A14">
        <w:rPr>
          <w:rFonts w:ascii="Times New Roman" w:hAnsi="Times New Roman" w:cs="Times New Roman"/>
          <w:sz w:val="19"/>
          <w:szCs w:val="19"/>
        </w:rPr>
        <w:t>)</w:t>
      </w:r>
      <w:r w:rsidRPr="00DC7A14">
        <w:rPr>
          <w:rFonts w:ascii="Times New Roman" w:hAnsi="Times New Roman" w:cs="Times New Roman"/>
          <w:sz w:val="19"/>
          <w:szCs w:val="19"/>
        </w:rPr>
        <w:t>.</w:t>
      </w:r>
    </w:p>
  </w:footnote>
  <w:footnote w:id="396">
    <w:p w14:paraId="4DA4C826" w14:textId="14F59BAD"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Victoria Park Racing and Recreation Grounds Co Ltd v Taylor </w:t>
      </w:r>
      <w:r w:rsidRPr="00DC7A14">
        <w:rPr>
          <w:rFonts w:ascii="Times New Roman" w:hAnsi="Times New Roman" w:cs="Times New Roman"/>
          <w:sz w:val="19"/>
          <w:szCs w:val="19"/>
        </w:rPr>
        <w:t>(1937) 58 CLR 479</w:t>
      </w:r>
      <w:r w:rsidR="00940103" w:rsidRPr="00DC7A14">
        <w:rPr>
          <w:rFonts w:ascii="Times New Roman" w:hAnsi="Times New Roman" w:cs="Times New Roman"/>
          <w:sz w:val="19"/>
          <w:szCs w:val="19"/>
        </w:rPr>
        <w:t>; see eg,</w:t>
      </w:r>
      <w:r w:rsidR="00940103" w:rsidRPr="00DC7A14">
        <w:rPr>
          <w:rFonts w:ascii="Times New Roman" w:hAnsi="Times New Roman" w:cs="Times New Roman"/>
          <w:i/>
          <w:iCs/>
          <w:sz w:val="19"/>
          <w:szCs w:val="19"/>
        </w:rPr>
        <w:t xml:space="preserve"> Lenah Game Meats</w:t>
      </w:r>
      <w:r w:rsidR="00940103" w:rsidRPr="00DC7A14">
        <w:rPr>
          <w:rFonts w:ascii="Times New Roman" w:hAnsi="Times New Roman" w:cs="Times New Roman"/>
          <w:sz w:val="19"/>
          <w:szCs w:val="19"/>
        </w:rPr>
        <w:t xml:space="preserve"> (n </w:t>
      </w:r>
      <w:r w:rsidR="00940103" w:rsidRPr="00DC7A14">
        <w:rPr>
          <w:rFonts w:ascii="Times New Roman" w:hAnsi="Times New Roman" w:cs="Times New Roman"/>
          <w:sz w:val="19"/>
          <w:szCs w:val="19"/>
        </w:rPr>
        <w:fldChar w:fldCharType="begin"/>
      </w:r>
      <w:r w:rsidR="00940103" w:rsidRPr="00DC7A14">
        <w:rPr>
          <w:rFonts w:ascii="Times New Roman" w:hAnsi="Times New Roman" w:cs="Times New Roman"/>
          <w:sz w:val="19"/>
          <w:szCs w:val="19"/>
        </w:rPr>
        <w:instrText xml:space="preserve"> NOTEREF _Ref91831731 \h </w:instrText>
      </w:r>
      <w:r w:rsidR="008569E2" w:rsidRPr="00DC7A14">
        <w:rPr>
          <w:rFonts w:ascii="Times New Roman" w:hAnsi="Times New Roman" w:cs="Times New Roman"/>
          <w:sz w:val="19"/>
          <w:szCs w:val="19"/>
        </w:rPr>
        <w:instrText xml:space="preserve"> \* MERGEFORMAT </w:instrText>
      </w:r>
      <w:r w:rsidR="00940103" w:rsidRPr="00DC7A14">
        <w:rPr>
          <w:rFonts w:ascii="Times New Roman" w:hAnsi="Times New Roman" w:cs="Times New Roman"/>
          <w:sz w:val="19"/>
          <w:szCs w:val="19"/>
        </w:rPr>
      </w:r>
      <w:r w:rsidR="0094010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393</w:t>
      </w:r>
      <w:r w:rsidR="00940103" w:rsidRPr="00DC7A14">
        <w:rPr>
          <w:rFonts w:ascii="Times New Roman" w:hAnsi="Times New Roman" w:cs="Times New Roman"/>
          <w:sz w:val="19"/>
          <w:szCs w:val="19"/>
        </w:rPr>
        <w:fldChar w:fldCharType="end"/>
      </w:r>
      <w:r w:rsidR="00940103" w:rsidRPr="00DC7A14">
        <w:rPr>
          <w:rFonts w:ascii="Times New Roman" w:hAnsi="Times New Roman" w:cs="Times New Roman"/>
          <w:sz w:val="19"/>
          <w:szCs w:val="19"/>
        </w:rPr>
        <w:t>) [185]–[189].</w:t>
      </w:r>
    </w:p>
  </w:footnote>
  <w:footnote w:id="397">
    <w:p w14:paraId="4BF81A07" w14:textId="1F65E6A9" w:rsidR="0018007A" w:rsidRPr="00DC7A14" w:rsidRDefault="0018007A" w:rsidP="0018007A">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Smethurst v Commissioner of the </w:t>
      </w:r>
      <w:r w:rsidR="00401D01" w:rsidRPr="00DC7A14">
        <w:rPr>
          <w:rFonts w:ascii="Times New Roman" w:hAnsi="Times New Roman" w:cs="Times New Roman"/>
          <w:i/>
          <w:sz w:val="19"/>
          <w:szCs w:val="19"/>
        </w:rPr>
        <w:t>Australian Federal Police</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(2020) 94 ALJR 502</w:t>
      </w:r>
      <w:r w:rsidRPr="00DC7A14">
        <w:rPr>
          <w:rFonts w:ascii="Times New Roman" w:hAnsi="Times New Roman" w:cs="Times New Roman"/>
          <w:sz w:val="19"/>
          <w:szCs w:val="19"/>
        </w:rPr>
        <w:t>, [48], [86], [129].</w:t>
      </w:r>
    </w:p>
  </w:footnote>
  <w:footnote w:id="398">
    <w:p w14:paraId="08FD0210" w14:textId="77777777"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Grosse v Purvis </w:t>
      </w:r>
      <w:r w:rsidRPr="00DC7A14">
        <w:rPr>
          <w:rFonts w:ascii="Times New Roman" w:hAnsi="Times New Roman" w:cs="Times New Roman"/>
          <w:sz w:val="19"/>
          <w:szCs w:val="19"/>
        </w:rPr>
        <w:t xml:space="preserve">[2003] QDC 151; </w:t>
      </w:r>
      <w:r w:rsidRPr="00DC7A14">
        <w:rPr>
          <w:rFonts w:ascii="Times New Roman" w:hAnsi="Times New Roman" w:cs="Times New Roman"/>
          <w:i/>
          <w:sz w:val="19"/>
          <w:szCs w:val="19"/>
        </w:rPr>
        <w:t xml:space="preserve">Doe v Australian Broadcasting Corporation </w:t>
      </w:r>
      <w:r w:rsidRPr="00DC7A14">
        <w:rPr>
          <w:rFonts w:ascii="Times New Roman" w:hAnsi="Times New Roman" w:cs="Times New Roman"/>
          <w:sz w:val="19"/>
          <w:szCs w:val="19"/>
        </w:rPr>
        <w:t>[2007] VCC 281.</w:t>
      </w:r>
    </w:p>
  </w:footnote>
  <w:footnote w:id="399">
    <w:p w14:paraId="6D44DC6D" w14:textId="185FCBE6"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Kalaba v Commonwealth of Australia </w:t>
      </w:r>
      <w:r w:rsidRPr="00DC7A14">
        <w:rPr>
          <w:rFonts w:ascii="Times New Roman" w:hAnsi="Times New Roman" w:cs="Times New Roman"/>
          <w:sz w:val="19"/>
          <w:szCs w:val="19"/>
        </w:rPr>
        <w:t xml:space="preserve">[2004] FCA 763. It was also noted by Callinan J in </w:t>
      </w:r>
      <w:r w:rsidRPr="00DC7A14">
        <w:rPr>
          <w:rFonts w:ascii="Times New Roman" w:hAnsi="Times New Roman" w:cs="Times New Roman"/>
          <w:i/>
          <w:sz w:val="19"/>
          <w:szCs w:val="19"/>
        </w:rPr>
        <w:t xml:space="preserve">Batistatos v Roads &amp; Traffic Authority of New South Wales </w:t>
      </w:r>
      <w:r w:rsidRPr="00DC7A14">
        <w:rPr>
          <w:rFonts w:ascii="Times New Roman" w:hAnsi="Times New Roman" w:cs="Times New Roman"/>
          <w:sz w:val="19"/>
          <w:szCs w:val="19"/>
        </w:rPr>
        <w:t xml:space="preserve">(2006) 226 CLR 256, that, </w:t>
      </w:r>
      <w:r w:rsidR="00685E40">
        <w:rPr>
          <w:rFonts w:ascii="Times New Roman" w:hAnsi="Times New Roman" w:cs="Times New Roman"/>
          <w:sz w:val="19"/>
          <w:szCs w:val="19"/>
        </w:rPr>
        <w:t>following</w:t>
      </w:r>
      <w:r w:rsidR="00685E40" w:rsidRPr="00DC7A14">
        <w:rPr>
          <w:rFonts w:ascii="Times New Roman" w:hAnsi="Times New Roman" w:cs="Times New Roman"/>
          <w:sz w:val="19"/>
          <w:szCs w:val="19"/>
        </w:rPr>
        <w:t xml:space="preserve"> </w:t>
      </w:r>
      <w:r w:rsidRPr="00DC7A14">
        <w:rPr>
          <w:rFonts w:ascii="Times New Roman" w:hAnsi="Times New Roman" w:cs="Times New Roman"/>
          <w:i/>
          <w:sz w:val="19"/>
          <w:szCs w:val="19"/>
        </w:rPr>
        <w:t>Lenah</w:t>
      </w:r>
      <w:r w:rsidR="00401D01" w:rsidRPr="00DC7A14">
        <w:rPr>
          <w:rFonts w:ascii="Times New Roman" w:hAnsi="Times New Roman" w:cs="Times New Roman"/>
          <w:i/>
          <w:sz w:val="19"/>
          <w:szCs w:val="19"/>
        </w:rPr>
        <w:t xml:space="preserve"> Game Meats</w:t>
      </w:r>
      <w:r w:rsidRPr="00DC7A14">
        <w:rPr>
          <w:rFonts w:ascii="Times New Roman" w:hAnsi="Times New Roman" w:cs="Times New Roman"/>
          <w:iCs/>
          <w:sz w:val="19"/>
          <w:szCs w:val="19"/>
        </w:rPr>
        <w:t xml:space="preserve">, </w:t>
      </w:r>
      <w:r w:rsidRPr="00DC7A14">
        <w:rPr>
          <w:rFonts w:ascii="Times New Roman" w:hAnsi="Times New Roman" w:cs="Times New Roman"/>
          <w:sz w:val="19"/>
          <w:szCs w:val="19"/>
        </w:rPr>
        <w:t xml:space="preserve">some courts’ refusal to recognise an actionable privacy claim means Australian common law is not yet ready to entertain standalone privacy claims: </w:t>
      </w:r>
      <w:r w:rsidR="006A64F5" w:rsidRPr="00DC7A14">
        <w:rPr>
          <w:rFonts w:ascii="Times New Roman" w:hAnsi="Times New Roman" w:cs="Times New Roman"/>
          <w:sz w:val="19"/>
          <w:szCs w:val="19"/>
        </w:rPr>
        <w:t xml:space="preserve">at </w:t>
      </w:r>
      <w:r w:rsidRPr="00DC7A14">
        <w:rPr>
          <w:rFonts w:ascii="Times New Roman" w:hAnsi="Times New Roman" w:cs="Times New Roman"/>
          <w:sz w:val="19"/>
          <w:szCs w:val="19"/>
        </w:rPr>
        <w:t>[216].</w:t>
      </w:r>
    </w:p>
  </w:footnote>
  <w:footnote w:id="400">
    <w:p w14:paraId="3D5A68BC" w14:textId="77777777" w:rsidR="0017376F" w:rsidRPr="00DC7A14" w:rsidRDefault="0017376F" w:rsidP="0017376F">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 xml:space="preserve">Giller v Procopets [No 2] </w:t>
      </w:r>
      <w:r w:rsidRPr="00DC7A14">
        <w:rPr>
          <w:rFonts w:ascii="Times New Roman" w:hAnsi="Times New Roman" w:cs="Times New Roman"/>
          <w:sz w:val="19"/>
          <w:szCs w:val="19"/>
        </w:rPr>
        <w:t xml:space="preserve">(2008) 24 VR 1; </w:t>
      </w:r>
      <w:r w:rsidRPr="00DC7A14">
        <w:rPr>
          <w:rFonts w:ascii="Times New Roman" w:hAnsi="Times New Roman" w:cs="Times New Roman"/>
          <w:i/>
          <w:sz w:val="19"/>
          <w:szCs w:val="19"/>
        </w:rPr>
        <w:t xml:space="preserve">Wilson v Ferguson </w:t>
      </w:r>
      <w:r w:rsidRPr="00DC7A14">
        <w:rPr>
          <w:rFonts w:ascii="Times New Roman" w:hAnsi="Times New Roman" w:cs="Times New Roman"/>
          <w:sz w:val="19"/>
          <w:szCs w:val="19"/>
        </w:rPr>
        <w:t>[2015] WASC 15.</w:t>
      </w:r>
    </w:p>
  </w:footnote>
  <w:footnote w:id="401">
    <w:p w14:paraId="12969B29" w14:textId="22588FA4" w:rsidR="00D761C6" w:rsidRPr="00DC7A14" w:rsidRDefault="00D761C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Wilson v Ferguson </w:t>
      </w:r>
      <w:r w:rsidRPr="00DC7A14">
        <w:rPr>
          <w:rFonts w:ascii="Times New Roman" w:hAnsi="Times New Roman" w:cs="Times New Roman"/>
          <w:sz w:val="19"/>
          <w:szCs w:val="19"/>
        </w:rPr>
        <w:t>[2015] WASC 15</w:t>
      </w:r>
      <w:r w:rsidR="006A64F5" w:rsidRPr="00DC7A14">
        <w:rPr>
          <w:rFonts w:ascii="Times New Roman" w:hAnsi="Times New Roman" w:cs="Times New Roman"/>
          <w:sz w:val="19"/>
          <w:szCs w:val="19"/>
        </w:rPr>
        <w:t>.</w:t>
      </w:r>
    </w:p>
  </w:footnote>
  <w:footnote w:id="402">
    <w:p w14:paraId="14A08AA4" w14:textId="203B5F6E"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5F53F1" w:rsidRPr="00DC7A14">
        <w:rPr>
          <w:rFonts w:ascii="Times New Roman" w:hAnsi="Times New Roman" w:cs="Times New Roman"/>
          <w:sz w:val="19"/>
          <w:szCs w:val="19"/>
        </w:rPr>
        <w:t xml:space="preserve">Gligorijevic, ‘Reaffirming </w:t>
      </w:r>
      <w:r w:rsidR="005F53F1" w:rsidRPr="00DC7A14">
        <w:rPr>
          <w:rFonts w:ascii="Times New Roman" w:hAnsi="Times New Roman" w:cs="Times New Roman"/>
          <w:i/>
          <w:iCs/>
          <w:sz w:val="19"/>
          <w:szCs w:val="19"/>
        </w:rPr>
        <w:t>ABC v Lenah Game Meats</w:t>
      </w:r>
      <w:r w:rsidR="005F53F1" w:rsidRPr="00DC7A14">
        <w:rPr>
          <w:rFonts w:ascii="Times New Roman" w:hAnsi="Times New Roman" w:cs="Times New Roman"/>
          <w:sz w:val="19"/>
          <w:szCs w:val="19"/>
        </w:rPr>
        <w:t xml:space="preserve">’ (n </w:t>
      </w:r>
      <w:r w:rsidR="00A13273" w:rsidRPr="00DC7A14">
        <w:rPr>
          <w:rFonts w:ascii="Times New Roman" w:hAnsi="Times New Roman" w:cs="Times New Roman"/>
          <w:sz w:val="19"/>
          <w:szCs w:val="19"/>
        </w:rPr>
        <w:fldChar w:fldCharType="begin"/>
      </w:r>
      <w:r w:rsidR="00A13273" w:rsidRPr="00DC7A14">
        <w:rPr>
          <w:rFonts w:ascii="Times New Roman" w:hAnsi="Times New Roman" w:cs="Times New Roman"/>
          <w:sz w:val="19"/>
          <w:szCs w:val="19"/>
        </w:rPr>
        <w:instrText xml:space="preserve"> NOTEREF _Ref91831673 \h  \* MERGEFORMAT </w:instrText>
      </w:r>
      <w:r w:rsidR="00A13273" w:rsidRPr="00DC7A14">
        <w:rPr>
          <w:rFonts w:ascii="Times New Roman" w:hAnsi="Times New Roman" w:cs="Times New Roman"/>
          <w:sz w:val="19"/>
          <w:szCs w:val="19"/>
        </w:rPr>
      </w:r>
      <w:r w:rsidR="00A13273" w:rsidRPr="00DC7A14">
        <w:rPr>
          <w:rFonts w:ascii="Times New Roman" w:hAnsi="Times New Roman" w:cs="Times New Roman"/>
          <w:sz w:val="19"/>
          <w:szCs w:val="19"/>
        </w:rPr>
        <w:fldChar w:fldCharType="separate"/>
      </w:r>
      <w:r w:rsidR="00E66B60">
        <w:rPr>
          <w:rFonts w:ascii="Times New Roman" w:hAnsi="Times New Roman" w:cs="Times New Roman"/>
          <w:sz w:val="19"/>
          <w:szCs w:val="19"/>
        </w:rPr>
        <w:t>7</w:t>
      </w:r>
      <w:r w:rsidR="00A13273" w:rsidRPr="00DC7A14">
        <w:rPr>
          <w:rFonts w:ascii="Times New Roman" w:hAnsi="Times New Roman" w:cs="Times New Roman"/>
          <w:sz w:val="19"/>
          <w:szCs w:val="19"/>
        </w:rPr>
        <w:fldChar w:fldCharType="end"/>
      </w:r>
      <w:r w:rsidR="005F53F1"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eastAsia="Times New Roman" w:hAnsi="Times New Roman" w:cs="Times New Roman"/>
          <w:sz w:val="19"/>
          <w:szCs w:val="19"/>
        </w:rPr>
        <w:t xml:space="preserve">JD Heydon, MJ Leeming and PG Turner, </w:t>
      </w:r>
      <w:r w:rsidRPr="00DC7A14">
        <w:rPr>
          <w:rFonts w:ascii="Times New Roman" w:eastAsia="Times New Roman" w:hAnsi="Times New Roman" w:cs="Times New Roman"/>
          <w:i/>
          <w:iCs/>
          <w:sz w:val="19"/>
          <w:szCs w:val="19"/>
        </w:rPr>
        <w:t>Meagher, Gummow and Lehane’s Equity: Doctrines and Remedies</w:t>
      </w:r>
      <w:r w:rsidRPr="00DC7A14">
        <w:rPr>
          <w:rFonts w:ascii="Times New Roman" w:eastAsia="Times New Roman" w:hAnsi="Times New Roman" w:cs="Times New Roman"/>
          <w:sz w:val="19"/>
          <w:szCs w:val="19"/>
        </w:rPr>
        <w:t xml:space="preserve"> (LexisNexis Butterworths, 5</w:t>
      </w:r>
      <w:r w:rsidRPr="00DC7A14">
        <w:rPr>
          <w:rFonts w:ascii="Times New Roman" w:eastAsia="Times New Roman" w:hAnsi="Times New Roman" w:cs="Times New Roman"/>
          <w:sz w:val="19"/>
          <w:szCs w:val="19"/>
          <w:vertAlign w:val="superscript"/>
        </w:rPr>
        <w:t>th</w:t>
      </w:r>
      <w:r w:rsidRPr="00DC7A14">
        <w:rPr>
          <w:rFonts w:ascii="Times New Roman" w:eastAsia="Times New Roman" w:hAnsi="Times New Roman" w:cs="Times New Roman"/>
          <w:sz w:val="19"/>
          <w:szCs w:val="19"/>
        </w:rPr>
        <w:t xml:space="preserve"> ed, 2015)</w:t>
      </w:r>
      <w:r w:rsidRPr="00DC7A14">
        <w:rPr>
          <w:rFonts w:ascii="Times New Roman" w:hAnsi="Times New Roman" w:cs="Times New Roman"/>
          <w:sz w:val="19"/>
          <w:szCs w:val="19"/>
        </w:rPr>
        <w:t xml:space="preserve"> 882</w:t>
      </w:r>
      <w:r w:rsidR="00DD1D56" w:rsidRPr="00DC7A14">
        <w:rPr>
          <w:rFonts w:ascii="Times New Roman" w:hAnsi="Times New Roman" w:cs="Times New Roman"/>
          <w:sz w:val="19"/>
          <w:szCs w:val="19"/>
        </w:rPr>
        <w:t>–</w:t>
      </w:r>
      <w:r w:rsidRPr="00DC7A14">
        <w:rPr>
          <w:rFonts w:ascii="Times New Roman" w:hAnsi="Times New Roman" w:cs="Times New Roman"/>
          <w:sz w:val="19"/>
          <w:szCs w:val="19"/>
        </w:rPr>
        <w:t xml:space="preserve">3; </w:t>
      </w:r>
      <w:r w:rsidRPr="00DC7A14">
        <w:rPr>
          <w:rFonts w:ascii="Times New Roman" w:eastAsia="Times New Roman" w:hAnsi="Times New Roman" w:cs="Times New Roman"/>
          <w:sz w:val="19"/>
          <w:szCs w:val="19"/>
        </w:rPr>
        <w:t>PG Turner</w:t>
      </w:r>
      <w:r w:rsidR="00D71C28" w:rsidRPr="00DC7A14">
        <w:rPr>
          <w:rFonts w:ascii="Times New Roman" w:eastAsia="Times New Roman" w:hAnsi="Times New Roman" w:cs="Times New Roman"/>
          <w:sz w:val="19"/>
          <w:szCs w:val="19"/>
        </w:rPr>
        <w:t>,</w:t>
      </w:r>
      <w:r w:rsidRPr="00DC7A14">
        <w:rPr>
          <w:rFonts w:ascii="Times New Roman" w:eastAsia="Times New Roman" w:hAnsi="Times New Roman" w:cs="Times New Roman"/>
          <w:sz w:val="19"/>
          <w:szCs w:val="19"/>
        </w:rPr>
        <w:t xml:space="preserve"> </w:t>
      </w:r>
      <w:r w:rsidR="00D71C28" w:rsidRPr="00DC7A14">
        <w:rPr>
          <w:rFonts w:ascii="Times New Roman" w:eastAsia="Times New Roman" w:hAnsi="Times New Roman" w:cs="Times New Roman"/>
          <w:sz w:val="19"/>
          <w:szCs w:val="19"/>
        </w:rPr>
        <w:t>‘</w:t>
      </w:r>
      <w:r w:rsidRPr="00DC7A14">
        <w:rPr>
          <w:rFonts w:ascii="Times New Roman" w:eastAsia="Times New Roman" w:hAnsi="Times New Roman" w:cs="Times New Roman"/>
          <w:sz w:val="19"/>
          <w:szCs w:val="19"/>
        </w:rPr>
        <w:t>Privacy Remedies Viewed through an Equitable Lens</w:t>
      </w:r>
      <w:r w:rsidR="00D71C28" w:rsidRPr="00DC7A14">
        <w:rPr>
          <w:rFonts w:ascii="Times New Roman" w:eastAsia="Times New Roman" w:hAnsi="Times New Roman" w:cs="Times New Roman"/>
          <w:sz w:val="19"/>
          <w:szCs w:val="19"/>
        </w:rPr>
        <w:t xml:space="preserve">’ </w:t>
      </w:r>
      <w:r w:rsidRPr="00DC7A14">
        <w:rPr>
          <w:rFonts w:ascii="Times New Roman" w:eastAsia="Times New Roman" w:hAnsi="Times New Roman" w:cs="Times New Roman"/>
          <w:sz w:val="19"/>
          <w:szCs w:val="19"/>
        </w:rPr>
        <w:t>in J</w:t>
      </w:r>
      <w:r w:rsidR="00AB08EE" w:rsidRPr="00DC7A14">
        <w:rPr>
          <w:rFonts w:ascii="Times New Roman" w:eastAsia="Times New Roman" w:hAnsi="Times New Roman" w:cs="Times New Roman"/>
          <w:sz w:val="19"/>
          <w:szCs w:val="19"/>
        </w:rPr>
        <w:t xml:space="preserve">ason </w:t>
      </w:r>
      <w:r w:rsidRPr="00DC7A14">
        <w:rPr>
          <w:rFonts w:ascii="Times New Roman" w:eastAsia="Times New Roman" w:hAnsi="Times New Roman" w:cs="Times New Roman"/>
          <w:sz w:val="19"/>
          <w:szCs w:val="19"/>
        </w:rPr>
        <w:t xml:space="preserve">NE Varuhas and NA Moreham (eds), </w:t>
      </w:r>
      <w:r w:rsidRPr="00DC7A14">
        <w:rPr>
          <w:rFonts w:ascii="Times New Roman" w:eastAsia="Times New Roman" w:hAnsi="Times New Roman" w:cs="Times New Roman"/>
          <w:i/>
          <w:iCs/>
          <w:sz w:val="19"/>
          <w:szCs w:val="19"/>
        </w:rPr>
        <w:t>Remedies for Breach of Privacy</w:t>
      </w:r>
      <w:r w:rsidRPr="00DC7A14">
        <w:rPr>
          <w:rFonts w:ascii="Times New Roman" w:eastAsia="Times New Roman" w:hAnsi="Times New Roman" w:cs="Times New Roman"/>
          <w:sz w:val="19"/>
          <w:szCs w:val="19"/>
        </w:rPr>
        <w:t xml:space="preserve"> (Hart Publishing, 2018) 265</w:t>
      </w:r>
      <w:r w:rsidRPr="00DC7A14">
        <w:rPr>
          <w:rFonts w:ascii="Times New Roman" w:hAnsi="Times New Roman" w:cs="Times New Roman"/>
          <w:sz w:val="19"/>
          <w:szCs w:val="19"/>
        </w:rPr>
        <w:t>.</w:t>
      </w:r>
    </w:p>
  </w:footnote>
  <w:footnote w:id="403">
    <w:p w14:paraId="0D11C4AE" w14:textId="47EF019C" w:rsidR="0074774E" w:rsidRPr="00DC7A14" w:rsidRDefault="0074774E">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iCs/>
          <w:sz w:val="19"/>
          <w:szCs w:val="19"/>
        </w:rPr>
        <w:t>Comcare v Banerji</w:t>
      </w:r>
      <w:r w:rsidRPr="00DC7A14">
        <w:rPr>
          <w:rFonts w:ascii="Times New Roman" w:hAnsi="Times New Roman" w:cs="Times New Roman"/>
          <w:sz w:val="19"/>
          <w:szCs w:val="19"/>
        </w:rPr>
        <w:t xml:space="preserve"> (2019) 372 ALR 42, 54 [29].</w:t>
      </w:r>
    </w:p>
  </w:footnote>
  <w:footnote w:id="404">
    <w:p w14:paraId="7845CB2C" w14:textId="0B1672A9"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Clubb v Edwards; Preston v Avery</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(2019) 267 CLR 171</w:t>
      </w:r>
      <w:r w:rsidRPr="00DC7A14">
        <w:rPr>
          <w:rFonts w:ascii="Times New Roman" w:hAnsi="Times New Roman" w:cs="Times New Roman"/>
          <w:sz w:val="19"/>
          <w:szCs w:val="19"/>
        </w:rPr>
        <w:t xml:space="preserve">. </w:t>
      </w:r>
    </w:p>
  </w:footnote>
  <w:footnote w:id="405">
    <w:p w14:paraId="28903D30" w14:textId="45988078"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Police v Preston and Stallard </w:t>
      </w:r>
      <w:r w:rsidRPr="00DC7A14">
        <w:rPr>
          <w:rFonts w:ascii="Times New Roman" w:hAnsi="Times New Roman" w:cs="Times New Roman"/>
          <w:iCs/>
          <w:sz w:val="19"/>
          <w:szCs w:val="19"/>
        </w:rPr>
        <w:t>[2016] (27 July 2016) TASMC 14</w:t>
      </w:r>
      <w:r w:rsidRPr="00DC7A14">
        <w:rPr>
          <w:rFonts w:ascii="Times New Roman" w:hAnsi="Times New Roman" w:cs="Times New Roman"/>
          <w:sz w:val="19"/>
          <w:szCs w:val="19"/>
        </w:rPr>
        <w:t>.</w:t>
      </w:r>
    </w:p>
  </w:footnote>
  <w:footnote w:id="406">
    <w:p w14:paraId="132A3DA5" w14:textId="2E1DF472" w:rsidR="00A80042" w:rsidRPr="00DC7A14" w:rsidRDefault="00A80042" w:rsidP="00A80042">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Clubb v Edwards; Preston v Avery</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(2019) 267 CLR 171</w:t>
      </w:r>
      <w:r w:rsidRPr="00DC7A14">
        <w:rPr>
          <w:rFonts w:ascii="Times New Roman" w:hAnsi="Times New Roman" w:cs="Times New Roman"/>
          <w:sz w:val="19"/>
          <w:szCs w:val="19"/>
        </w:rPr>
        <w:t xml:space="preserve"> [120]. </w:t>
      </w:r>
    </w:p>
  </w:footnote>
  <w:footnote w:id="407">
    <w:p w14:paraId="306B666A" w14:textId="12CDC664" w:rsidR="00D761C6" w:rsidRPr="00DC7A14" w:rsidRDefault="00D761C6" w:rsidP="00857CA1">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Ibid [49]</w:t>
      </w:r>
      <w:r w:rsidR="00683E3E" w:rsidRPr="00DC7A14">
        <w:rPr>
          <w:rFonts w:ascii="Times New Roman" w:hAnsi="Times New Roman" w:cs="Times New Roman"/>
          <w:iCs/>
          <w:sz w:val="19"/>
          <w:szCs w:val="19"/>
        </w:rPr>
        <w:t>–</w:t>
      </w:r>
      <w:r w:rsidRPr="00DC7A14">
        <w:rPr>
          <w:rFonts w:ascii="Times New Roman" w:hAnsi="Times New Roman" w:cs="Times New Roman"/>
          <w:iCs/>
          <w:sz w:val="19"/>
          <w:szCs w:val="19"/>
        </w:rPr>
        <w:t>[51].</w:t>
      </w:r>
    </w:p>
  </w:footnote>
  <w:footnote w:id="408">
    <w:p w14:paraId="6B0B46F8" w14:textId="6A771268" w:rsidR="00D03A75" w:rsidRPr="00DC7A14" w:rsidRDefault="00D03A75" w:rsidP="00D03A7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Smethurst v Commissioner of the </w:t>
      </w:r>
      <w:r w:rsidR="007C6565" w:rsidRPr="00DC7A14">
        <w:rPr>
          <w:rFonts w:ascii="Times New Roman" w:hAnsi="Times New Roman" w:cs="Times New Roman"/>
          <w:i/>
          <w:sz w:val="19"/>
          <w:szCs w:val="19"/>
        </w:rPr>
        <w:t>Australian Federal Police</w:t>
      </w:r>
      <w:r w:rsidRPr="00DC7A14">
        <w:rPr>
          <w:rFonts w:ascii="Times New Roman" w:hAnsi="Times New Roman" w:cs="Times New Roman"/>
          <w:sz w:val="19"/>
          <w:szCs w:val="19"/>
        </w:rPr>
        <w:t xml:space="preserve"> </w:t>
      </w:r>
      <w:r w:rsidRPr="00DC7A14">
        <w:rPr>
          <w:rFonts w:ascii="Times New Roman" w:hAnsi="Times New Roman" w:cs="Times New Roman"/>
          <w:iCs/>
          <w:sz w:val="19"/>
          <w:szCs w:val="19"/>
        </w:rPr>
        <w:t xml:space="preserve">(2020) </w:t>
      </w:r>
      <w:r w:rsidR="000B76B5" w:rsidRPr="00DC7A14">
        <w:rPr>
          <w:rFonts w:ascii="Times New Roman" w:hAnsi="Times New Roman" w:cs="Times New Roman"/>
          <w:iCs/>
          <w:sz w:val="19"/>
          <w:szCs w:val="19"/>
        </w:rPr>
        <w:t>272 CLR 177</w:t>
      </w:r>
      <w:r w:rsidRPr="00DC7A14">
        <w:rPr>
          <w:rFonts w:ascii="Times New Roman" w:hAnsi="Times New Roman" w:cs="Times New Roman"/>
          <w:iCs/>
          <w:sz w:val="19"/>
          <w:szCs w:val="19"/>
        </w:rPr>
        <w:t xml:space="preserve">, </w:t>
      </w:r>
      <w:r w:rsidRPr="00DC7A14">
        <w:rPr>
          <w:rFonts w:ascii="Times New Roman" w:hAnsi="Times New Roman" w:cs="Times New Roman"/>
          <w:sz w:val="19"/>
          <w:szCs w:val="19"/>
        </w:rPr>
        <w:t>[73], [120], [246]. A privacy tort was not pleaded in this case and the Court therefore, explicitly, declined to consider it on the facts: see</w:t>
      </w:r>
      <w:r w:rsidR="00362D5B" w:rsidRPr="00DC7A14">
        <w:rPr>
          <w:rFonts w:ascii="Times New Roman" w:hAnsi="Times New Roman" w:cs="Times New Roman"/>
          <w:sz w:val="19"/>
          <w:szCs w:val="19"/>
        </w:rPr>
        <w:t xml:space="preserve"> at</w:t>
      </w:r>
      <w:r w:rsidRPr="00DC7A14">
        <w:rPr>
          <w:rFonts w:ascii="Times New Roman" w:hAnsi="Times New Roman" w:cs="Times New Roman"/>
          <w:sz w:val="19"/>
          <w:szCs w:val="19"/>
        </w:rPr>
        <w:t xml:space="preserve"> [46], [48], [90], [129], [244]. For an analysis of privacy as a common law constitutional right in the United Kingdom, see K Hughes</w:t>
      </w:r>
      <w:r w:rsidR="00366D9F"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366D9F" w:rsidRPr="00DC7A14">
        <w:rPr>
          <w:rFonts w:ascii="Times New Roman" w:hAnsi="Times New Roman" w:cs="Times New Roman"/>
          <w:sz w:val="19"/>
          <w:szCs w:val="19"/>
        </w:rPr>
        <w:t>‘</w:t>
      </w:r>
      <w:r w:rsidRPr="00DC7A14">
        <w:rPr>
          <w:rFonts w:ascii="Times New Roman" w:hAnsi="Times New Roman" w:cs="Times New Roman"/>
          <w:sz w:val="19"/>
          <w:szCs w:val="19"/>
        </w:rPr>
        <w:t>A Common Law Constitutional Right to Privacy</w:t>
      </w:r>
      <w:r w:rsidR="00E843E2" w:rsidRPr="00DC7A14">
        <w:rPr>
          <w:rFonts w:ascii="Times New Roman" w:hAnsi="Times New Roman" w:cs="Times New Roman"/>
          <w:sz w:val="19"/>
          <w:szCs w:val="19"/>
        </w:rPr>
        <w:t xml:space="preserve"> — </w:t>
      </w:r>
      <w:r w:rsidRPr="00DC7A14">
        <w:rPr>
          <w:rFonts w:ascii="Times New Roman" w:hAnsi="Times New Roman" w:cs="Times New Roman"/>
          <w:sz w:val="19"/>
          <w:szCs w:val="19"/>
        </w:rPr>
        <w:t>Waiting for Godot?</w:t>
      </w:r>
      <w:r w:rsidR="00E843E2" w:rsidRPr="00DC7A14">
        <w:rPr>
          <w:rFonts w:ascii="Times New Roman" w:hAnsi="Times New Roman" w:cs="Times New Roman"/>
          <w:sz w:val="19"/>
          <w:szCs w:val="19"/>
        </w:rPr>
        <w:t>’</w:t>
      </w:r>
      <w:r w:rsidRPr="00DC7A14">
        <w:rPr>
          <w:rFonts w:ascii="Times New Roman" w:hAnsi="Times New Roman" w:cs="Times New Roman"/>
          <w:sz w:val="19"/>
          <w:szCs w:val="19"/>
        </w:rPr>
        <w:t xml:space="preserve"> in M Elliott and K Hughes (eds)</w:t>
      </w:r>
      <w:r w:rsidR="000B5986"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Common Law Constitutional Rights </w:t>
      </w:r>
      <w:r w:rsidRPr="00DC7A14">
        <w:rPr>
          <w:rFonts w:ascii="Times New Roman" w:hAnsi="Times New Roman" w:cs="Times New Roman"/>
          <w:sz w:val="19"/>
          <w:szCs w:val="19"/>
        </w:rPr>
        <w:t>(Hart Publishing, 2019).</w:t>
      </w:r>
    </w:p>
  </w:footnote>
  <w:footnote w:id="409">
    <w:p w14:paraId="533BDFD8" w14:textId="1DA3612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Charter of Human Rights and Responsibilities Act 2006 </w:t>
      </w:r>
      <w:r w:rsidRPr="00DC7A14">
        <w:rPr>
          <w:rFonts w:ascii="Times New Roman" w:hAnsi="Times New Roman" w:cs="Times New Roman"/>
          <w:iCs/>
          <w:sz w:val="19"/>
          <w:szCs w:val="19"/>
        </w:rPr>
        <w:t>(Vic) s 13</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Human Rights Act 2004 </w:t>
      </w:r>
      <w:r w:rsidRPr="00DC7A14">
        <w:rPr>
          <w:rFonts w:ascii="Times New Roman" w:hAnsi="Times New Roman" w:cs="Times New Roman"/>
          <w:iCs/>
          <w:sz w:val="19"/>
          <w:szCs w:val="19"/>
        </w:rPr>
        <w:t>(ACT)</w:t>
      </w:r>
      <w:r w:rsidRPr="00DC7A14">
        <w:rPr>
          <w:rFonts w:ascii="Times New Roman" w:hAnsi="Times New Roman" w:cs="Times New Roman"/>
          <w:i/>
          <w:sz w:val="19"/>
          <w:szCs w:val="19"/>
        </w:rPr>
        <w:t xml:space="preserve"> </w:t>
      </w:r>
      <w:r w:rsidRPr="00DC7A14">
        <w:rPr>
          <w:rFonts w:ascii="Times New Roman" w:hAnsi="Times New Roman" w:cs="Times New Roman"/>
          <w:iCs/>
          <w:sz w:val="19"/>
          <w:szCs w:val="19"/>
        </w:rPr>
        <w:t>s 12</w:t>
      </w:r>
      <w:r w:rsidRPr="00DC7A14">
        <w:rPr>
          <w:rFonts w:ascii="Times New Roman" w:hAnsi="Times New Roman" w:cs="Times New Roman"/>
          <w:sz w:val="19"/>
          <w:szCs w:val="19"/>
        </w:rPr>
        <w:t xml:space="preserve">; </w:t>
      </w:r>
      <w:r w:rsidRPr="00DC7A14">
        <w:rPr>
          <w:rFonts w:ascii="Times New Roman" w:hAnsi="Times New Roman" w:cs="Times New Roman"/>
          <w:i/>
          <w:color w:val="000000" w:themeColor="text1"/>
          <w:sz w:val="19"/>
          <w:szCs w:val="19"/>
        </w:rPr>
        <w:t xml:space="preserve">Human Rights Act 2019 </w:t>
      </w:r>
      <w:r w:rsidRPr="00DC7A14">
        <w:rPr>
          <w:rFonts w:ascii="Times New Roman" w:hAnsi="Times New Roman" w:cs="Times New Roman"/>
          <w:iCs/>
          <w:color w:val="000000" w:themeColor="text1"/>
          <w:sz w:val="19"/>
          <w:szCs w:val="19"/>
        </w:rPr>
        <w:t>(Qld)</w:t>
      </w:r>
      <w:r w:rsidRPr="00DC7A14">
        <w:rPr>
          <w:rFonts w:ascii="Times New Roman" w:hAnsi="Times New Roman" w:cs="Times New Roman"/>
          <w:iCs/>
          <w:sz w:val="19"/>
          <w:szCs w:val="19"/>
        </w:rPr>
        <w:t xml:space="preserve"> s 25. </w:t>
      </w:r>
    </w:p>
  </w:footnote>
  <w:footnote w:id="410">
    <w:p w14:paraId="22D65519" w14:textId="53070F98" w:rsidR="00C34FB5" w:rsidRPr="00DC7A14" w:rsidRDefault="00C34FB5">
      <w:pPr>
        <w:pStyle w:val="FootnoteText"/>
        <w:rPr>
          <w:rFonts w:ascii="Times New Roman" w:hAnsi="Times New Roman" w:cs="Times New Roman"/>
        </w:rPr>
      </w:pPr>
      <w:r w:rsidRPr="00DC7A14">
        <w:rPr>
          <w:rStyle w:val="FootnoteReference"/>
          <w:rFonts w:ascii="Times New Roman" w:hAnsi="Times New Roman" w:cs="Times New Roman"/>
        </w:rPr>
        <w:footnoteRef/>
      </w:r>
      <w:r w:rsidRPr="00DC7A14">
        <w:rPr>
          <w:rFonts w:ascii="Times New Roman" w:hAnsi="Times New Roman" w:cs="Times New Roman"/>
        </w:rPr>
        <w:t xml:space="preserve"> See, eg, David Lindsay, ‘Protection of Privacy under the General Law Following </w:t>
      </w:r>
      <w:r w:rsidRPr="00DC7A14">
        <w:rPr>
          <w:rFonts w:ascii="Times New Roman" w:hAnsi="Times New Roman" w:cs="Times New Roman"/>
          <w:i/>
          <w:iCs/>
        </w:rPr>
        <w:t>ABC v Lenah Game Meats</w:t>
      </w:r>
      <w:r w:rsidRPr="00DC7A14">
        <w:rPr>
          <w:rFonts w:ascii="Times New Roman" w:hAnsi="Times New Roman" w:cs="Times New Roman"/>
        </w:rPr>
        <w:t xml:space="preserve">: Where to Now’ (2002) 9(6) </w:t>
      </w:r>
      <w:r w:rsidRPr="00DC7A14">
        <w:rPr>
          <w:rFonts w:ascii="Times New Roman" w:hAnsi="Times New Roman" w:cs="Times New Roman"/>
          <w:i/>
        </w:rPr>
        <w:t>Privacy Law and Policy Reporter</w:t>
      </w:r>
      <w:r w:rsidRPr="00DC7A14">
        <w:rPr>
          <w:rFonts w:ascii="Times New Roman" w:hAnsi="Times New Roman" w:cs="Times New Roman"/>
        </w:rPr>
        <w:t xml:space="preserve"> 101; Des Butler, ‘A Tort of Invasion of Privacy in Australia?’ (2005) 29(2) Melbourne University Law Review 339; </w:t>
      </w:r>
      <w:r w:rsidRPr="00DC7A14">
        <w:rPr>
          <w:rFonts w:ascii="Times New Roman" w:hAnsi="Times New Roman" w:cs="Times New Roman"/>
          <w:bCs/>
        </w:rPr>
        <w:t xml:space="preserve">Michael Tilbury, </w:t>
      </w:r>
      <w:r w:rsidRPr="00DC7A14">
        <w:rPr>
          <w:rFonts w:ascii="Times New Roman" w:hAnsi="Times New Roman" w:cs="Times New Roman"/>
        </w:rPr>
        <w:t xml:space="preserve">‘Privacy: Common Law or Human Right?’ in Normann Witzleb et al (eds), </w:t>
      </w:r>
      <w:r w:rsidRPr="00DC7A14">
        <w:rPr>
          <w:rFonts w:ascii="Times New Roman" w:hAnsi="Times New Roman" w:cs="Times New Roman"/>
          <w:i/>
          <w:iCs/>
        </w:rPr>
        <w:t>Emerging Challenges in Privacy Law: Comparative Perspectives</w:t>
      </w:r>
      <w:r w:rsidRPr="00DC7A14">
        <w:rPr>
          <w:rFonts w:ascii="Times New Roman" w:hAnsi="Times New Roman" w:cs="Times New Roman"/>
        </w:rPr>
        <w:t xml:space="preserve"> (Cambridge University Press, 2014) 157; </w:t>
      </w:r>
      <w:r w:rsidRPr="00DC7A14">
        <w:rPr>
          <w:rFonts w:ascii="Times New Roman" w:hAnsi="Times New Roman" w:cs="Times New Roman"/>
          <w:bCs/>
        </w:rPr>
        <w:t>Gligorijevic</w:t>
      </w:r>
      <w:r w:rsidRPr="00DC7A14">
        <w:rPr>
          <w:rFonts w:ascii="Times New Roman" w:hAnsi="Times New Roman" w:cs="Times New Roman"/>
        </w:rPr>
        <w:t xml:space="preserve">, </w:t>
      </w:r>
      <w:r w:rsidR="00685E40" w:rsidRPr="00DC7A14">
        <w:rPr>
          <w:rFonts w:ascii="Times New Roman" w:hAnsi="Times New Roman" w:cs="Times New Roman"/>
          <w:sz w:val="19"/>
          <w:szCs w:val="19"/>
        </w:rPr>
        <w:t xml:space="preserve">Reaffirming </w:t>
      </w:r>
      <w:r w:rsidR="00685E40" w:rsidRPr="00DC7A14">
        <w:rPr>
          <w:rFonts w:ascii="Times New Roman" w:hAnsi="Times New Roman" w:cs="Times New Roman"/>
          <w:i/>
          <w:iCs/>
          <w:sz w:val="19"/>
          <w:szCs w:val="19"/>
        </w:rPr>
        <w:t>ABC v Lenah Game Meats</w:t>
      </w:r>
      <w:r w:rsidR="00685E40" w:rsidRPr="00DC7A14">
        <w:rPr>
          <w:rFonts w:ascii="Times New Roman" w:hAnsi="Times New Roman" w:cs="Times New Roman"/>
          <w:sz w:val="19"/>
          <w:szCs w:val="19"/>
        </w:rPr>
        <w:t>’</w:t>
      </w:r>
      <w:r w:rsidR="00685E40">
        <w:rPr>
          <w:rFonts w:ascii="Times New Roman" w:hAnsi="Times New Roman" w:cs="Times New Roman"/>
          <w:sz w:val="19"/>
          <w:szCs w:val="19"/>
        </w:rPr>
        <w:t xml:space="preserve"> (n </w:t>
      </w:r>
      <w:r w:rsidR="00685E40">
        <w:rPr>
          <w:rFonts w:ascii="Times New Roman" w:hAnsi="Times New Roman" w:cs="Times New Roman"/>
          <w:sz w:val="19"/>
          <w:szCs w:val="19"/>
        </w:rPr>
        <w:fldChar w:fldCharType="begin"/>
      </w:r>
      <w:r w:rsidR="00685E40">
        <w:rPr>
          <w:rFonts w:ascii="Times New Roman" w:hAnsi="Times New Roman" w:cs="Times New Roman"/>
          <w:sz w:val="19"/>
          <w:szCs w:val="19"/>
        </w:rPr>
        <w:instrText xml:space="preserve"> NOTEREF _Ref91831673 \h </w:instrText>
      </w:r>
      <w:r w:rsidR="00685E40">
        <w:rPr>
          <w:rFonts w:ascii="Times New Roman" w:hAnsi="Times New Roman" w:cs="Times New Roman"/>
          <w:sz w:val="19"/>
          <w:szCs w:val="19"/>
        </w:rPr>
      </w:r>
      <w:r w:rsidR="00685E40">
        <w:rPr>
          <w:rFonts w:ascii="Times New Roman" w:hAnsi="Times New Roman" w:cs="Times New Roman"/>
          <w:sz w:val="19"/>
          <w:szCs w:val="19"/>
        </w:rPr>
        <w:fldChar w:fldCharType="separate"/>
      </w:r>
      <w:r w:rsidR="00E66B60">
        <w:rPr>
          <w:rFonts w:ascii="Times New Roman" w:hAnsi="Times New Roman" w:cs="Times New Roman"/>
          <w:sz w:val="19"/>
          <w:szCs w:val="19"/>
        </w:rPr>
        <w:t>7</w:t>
      </w:r>
      <w:r w:rsidR="00685E40">
        <w:rPr>
          <w:rFonts w:ascii="Times New Roman" w:hAnsi="Times New Roman" w:cs="Times New Roman"/>
          <w:sz w:val="19"/>
          <w:szCs w:val="19"/>
        </w:rPr>
        <w:fldChar w:fldCharType="end"/>
      </w:r>
      <w:r w:rsidR="00685E40">
        <w:rPr>
          <w:rFonts w:ascii="Times New Roman" w:hAnsi="Times New Roman" w:cs="Times New Roman"/>
          <w:sz w:val="19"/>
          <w:szCs w:val="19"/>
        </w:rPr>
        <w:t>)</w:t>
      </w:r>
      <w:r w:rsidRPr="00DC7A14">
        <w:rPr>
          <w:rFonts w:ascii="Times New Roman" w:hAnsi="Times New Roman" w:cs="Times New Roman"/>
        </w:rPr>
        <w:t>.</w:t>
      </w:r>
    </w:p>
  </w:footnote>
  <w:footnote w:id="411">
    <w:p w14:paraId="4CE4C707" w14:textId="59700A84" w:rsidR="00D761C6" w:rsidRPr="00DC7A14" w:rsidRDefault="00D761C6" w:rsidP="00D83805">
      <w:pPr>
        <w:pStyle w:val="FootnoteText"/>
        <w:rPr>
          <w:rFonts w:ascii="Times New Roman" w:hAnsi="Times New Roman" w:cs="Times New Roman"/>
          <w:i/>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The development of common law privacy protection in jurisdictions outside Australia has largely been </w:t>
      </w:r>
      <w:r w:rsidR="00004CEE" w:rsidRPr="00DC7A14">
        <w:rPr>
          <w:rFonts w:ascii="Times New Roman" w:hAnsi="Times New Roman" w:cs="Times New Roman"/>
          <w:sz w:val="19"/>
          <w:szCs w:val="19"/>
        </w:rPr>
        <w:t>based on</w:t>
      </w:r>
      <w:r w:rsidRPr="00DC7A14">
        <w:rPr>
          <w:rFonts w:ascii="Times New Roman" w:hAnsi="Times New Roman" w:cs="Times New Roman"/>
          <w:sz w:val="19"/>
          <w:szCs w:val="19"/>
        </w:rPr>
        <w:t xml:space="preserve"> media intrusions</w:t>
      </w:r>
      <w:r w:rsidR="00004CEE">
        <w:rPr>
          <w:rFonts w:ascii="Times New Roman" w:hAnsi="Times New Roman" w:cs="Times New Roman"/>
          <w:sz w:val="19"/>
          <w:szCs w:val="19"/>
        </w:rPr>
        <w:t xml:space="preserve">: </w:t>
      </w:r>
      <w:r w:rsidR="00004CEE" w:rsidRPr="00DC7A14">
        <w:rPr>
          <w:rFonts w:ascii="Times New Roman" w:hAnsi="Times New Roman" w:cs="Times New Roman"/>
          <w:sz w:val="19"/>
          <w:szCs w:val="19"/>
        </w:rPr>
        <w:t xml:space="preserve">see, eg, </w:t>
      </w:r>
      <w:r w:rsidR="00004CEE" w:rsidRPr="00DC7A14">
        <w:rPr>
          <w:rFonts w:ascii="Times New Roman" w:hAnsi="Times New Roman" w:cs="Times New Roman"/>
          <w:i/>
          <w:sz w:val="19"/>
          <w:szCs w:val="19"/>
        </w:rPr>
        <w:t xml:space="preserve">Campbell v MGN Ltd </w:t>
      </w:r>
      <w:r w:rsidR="00004CEE" w:rsidRPr="00DC7A14">
        <w:rPr>
          <w:rFonts w:ascii="Times New Roman" w:hAnsi="Times New Roman" w:cs="Times New Roman"/>
          <w:sz w:val="19"/>
          <w:szCs w:val="19"/>
        </w:rPr>
        <w:t xml:space="preserve">[2004] 2 AC 457; </w:t>
      </w:r>
      <w:r w:rsidR="00004CEE" w:rsidRPr="00DC7A14">
        <w:rPr>
          <w:rFonts w:ascii="Times New Roman" w:hAnsi="Times New Roman" w:cs="Times New Roman"/>
          <w:i/>
          <w:sz w:val="19"/>
          <w:szCs w:val="19"/>
        </w:rPr>
        <w:t xml:space="preserve">PJS v News Group Newspapers Ltd </w:t>
      </w:r>
      <w:r w:rsidR="00004CEE" w:rsidRPr="00DC7A14">
        <w:rPr>
          <w:rFonts w:ascii="Times New Roman" w:hAnsi="Times New Roman" w:cs="Times New Roman"/>
          <w:sz w:val="19"/>
          <w:szCs w:val="19"/>
        </w:rPr>
        <w:t xml:space="preserve">[2016] AC 1081; </w:t>
      </w:r>
      <w:r w:rsidR="00004CEE" w:rsidRPr="00DC7A14">
        <w:rPr>
          <w:rFonts w:ascii="Times New Roman" w:hAnsi="Times New Roman" w:cs="Times New Roman"/>
          <w:i/>
          <w:sz w:val="19"/>
          <w:szCs w:val="19"/>
        </w:rPr>
        <w:t xml:space="preserve">Hosking v Runting </w:t>
      </w:r>
      <w:r w:rsidR="00004CEE" w:rsidRPr="00DC7A14">
        <w:rPr>
          <w:rFonts w:ascii="Times New Roman" w:hAnsi="Times New Roman" w:cs="Times New Roman"/>
          <w:sz w:val="19"/>
          <w:szCs w:val="19"/>
        </w:rPr>
        <w:t>[2005] 1 NZLR 1</w:t>
      </w:r>
      <w:r w:rsidR="00004CEE" w:rsidRPr="00DC7A14">
        <w:rPr>
          <w:rFonts w:ascii="Times New Roman" w:hAnsi="Times New Roman" w:cs="Times New Roman"/>
          <w:i/>
          <w:sz w:val="19"/>
          <w:szCs w:val="19"/>
        </w:rPr>
        <w:t>.</w:t>
      </w:r>
      <w:r w:rsidR="00E86AD3">
        <w:rPr>
          <w:rFonts w:ascii="Times New Roman" w:hAnsi="Times New Roman" w:cs="Times New Roman"/>
          <w:sz w:val="19"/>
          <w:szCs w:val="19"/>
        </w:rPr>
        <w:t xml:space="preserve"> However, it is not</w:t>
      </w:r>
      <w:r w:rsidR="007302FD">
        <w:rPr>
          <w:rFonts w:ascii="Times New Roman" w:hAnsi="Times New Roman" w:cs="Times New Roman"/>
          <w:sz w:val="19"/>
          <w:szCs w:val="19"/>
        </w:rPr>
        <w:t>e</w:t>
      </w:r>
      <w:r w:rsidR="00C536DB">
        <w:rPr>
          <w:rFonts w:ascii="Times New Roman" w:hAnsi="Times New Roman" w:cs="Times New Roman"/>
          <w:sz w:val="19"/>
          <w:szCs w:val="19"/>
        </w:rPr>
        <w:t>d</w:t>
      </w:r>
      <w:r w:rsidR="007302FD">
        <w:rPr>
          <w:rFonts w:ascii="Times New Roman" w:hAnsi="Times New Roman" w:cs="Times New Roman"/>
          <w:sz w:val="19"/>
          <w:szCs w:val="19"/>
        </w:rPr>
        <w:t xml:space="preserve"> here and with regard to </w:t>
      </w:r>
      <w:r w:rsidR="006D0D5F" w:rsidRPr="00C34E85">
        <w:rPr>
          <w:rFonts w:ascii="Times New Roman" w:hAnsi="Times New Roman" w:cs="Times New Roman"/>
          <w:color w:val="000000"/>
          <w:sz w:val="19"/>
          <w:szCs w:val="19"/>
          <w:lang w:eastAsia="en-GB"/>
        </w:rPr>
        <w:t xml:space="preserve">n </w:t>
      </w:r>
      <w:r w:rsidR="006D0D5F">
        <w:rPr>
          <w:rFonts w:ascii="Times New Roman" w:hAnsi="Times New Roman" w:cs="Times New Roman"/>
          <w:color w:val="000000"/>
          <w:sz w:val="19"/>
          <w:szCs w:val="19"/>
          <w:lang w:eastAsia="en-GB"/>
        </w:rPr>
        <w:fldChar w:fldCharType="begin"/>
      </w:r>
      <w:r w:rsidR="006D0D5F">
        <w:rPr>
          <w:rFonts w:ascii="Times New Roman" w:hAnsi="Times New Roman" w:cs="Times New Roman"/>
          <w:color w:val="000000"/>
          <w:sz w:val="19"/>
          <w:szCs w:val="19"/>
          <w:lang w:eastAsia="en-GB"/>
        </w:rPr>
        <w:instrText xml:space="preserve"> NOTEREF _Ref129333832 \h </w:instrText>
      </w:r>
      <w:r w:rsidR="006D0D5F">
        <w:rPr>
          <w:rFonts w:ascii="Times New Roman" w:hAnsi="Times New Roman" w:cs="Times New Roman"/>
          <w:color w:val="000000"/>
          <w:sz w:val="19"/>
          <w:szCs w:val="19"/>
          <w:lang w:eastAsia="en-GB"/>
        </w:rPr>
      </w:r>
      <w:r w:rsidR="006D0D5F">
        <w:rPr>
          <w:rFonts w:ascii="Times New Roman" w:hAnsi="Times New Roman" w:cs="Times New Roman"/>
          <w:color w:val="000000"/>
          <w:sz w:val="19"/>
          <w:szCs w:val="19"/>
          <w:lang w:eastAsia="en-GB"/>
        </w:rPr>
        <w:fldChar w:fldCharType="separate"/>
      </w:r>
      <w:r w:rsidR="00E66B60">
        <w:rPr>
          <w:rFonts w:ascii="Times New Roman" w:hAnsi="Times New Roman" w:cs="Times New Roman"/>
          <w:color w:val="000000"/>
          <w:sz w:val="19"/>
          <w:szCs w:val="19"/>
          <w:lang w:eastAsia="en-GB"/>
        </w:rPr>
        <w:t>413</w:t>
      </w:r>
      <w:r w:rsidR="006D0D5F">
        <w:rPr>
          <w:rFonts w:ascii="Times New Roman" w:hAnsi="Times New Roman" w:cs="Times New Roman"/>
          <w:color w:val="000000"/>
          <w:sz w:val="19"/>
          <w:szCs w:val="19"/>
          <w:lang w:eastAsia="en-GB"/>
        </w:rPr>
        <w:fldChar w:fldCharType="end"/>
      </w:r>
      <w:r w:rsidR="007302FD">
        <w:rPr>
          <w:rFonts w:ascii="Times New Roman" w:hAnsi="Times New Roman" w:cs="Times New Roman"/>
          <w:color w:val="000000"/>
          <w:sz w:val="19"/>
          <w:szCs w:val="19"/>
          <w:lang w:eastAsia="en-GB"/>
        </w:rPr>
        <w:t xml:space="preserve"> that</w:t>
      </w:r>
      <w:r w:rsidR="006D0D5F">
        <w:rPr>
          <w:rFonts w:ascii="Times New Roman" w:hAnsi="Times New Roman" w:cs="Times New Roman"/>
          <w:sz w:val="19"/>
          <w:szCs w:val="19"/>
        </w:rPr>
        <w:t xml:space="preserve"> </w:t>
      </w:r>
      <w:r w:rsidR="00693B46">
        <w:rPr>
          <w:rFonts w:ascii="Times New Roman" w:hAnsi="Times New Roman" w:cs="Times New Roman"/>
          <w:sz w:val="19"/>
          <w:szCs w:val="19"/>
        </w:rPr>
        <w:t xml:space="preserve">cases in </w:t>
      </w:r>
      <w:r w:rsidR="000C5B72">
        <w:rPr>
          <w:rFonts w:ascii="Times New Roman" w:hAnsi="Times New Roman" w:cs="Times New Roman"/>
          <w:sz w:val="19"/>
          <w:szCs w:val="19"/>
        </w:rPr>
        <w:t xml:space="preserve">the </w:t>
      </w:r>
      <w:r w:rsidR="00693B46">
        <w:rPr>
          <w:rFonts w:ascii="Times New Roman" w:hAnsi="Times New Roman" w:cs="Times New Roman"/>
          <w:sz w:val="19"/>
          <w:szCs w:val="19"/>
        </w:rPr>
        <w:t xml:space="preserve">jurisdiction of the United Kingdom </w:t>
      </w:r>
      <w:r w:rsidR="00002D87" w:rsidRPr="00DC7A14">
        <w:rPr>
          <w:rFonts w:ascii="Times New Roman" w:hAnsi="Times New Roman" w:cs="Times New Roman"/>
          <w:sz w:val="19"/>
          <w:szCs w:val="19"/>
        </w:rPr>
        <w:t xml:space="preserve">must be seen against the backdrop of the </w:t>
      </w:r>
      <w:r w:rsidR="00002D87" w:rsidRPr="00693B46">
        <w:rPr>
          <w:rFonts w:ascii="Times New Roman" w:hAnsi="Times New Roman" w:cs="Times New Roman"/>
          <w:i/>
          <w:iCs/>
          <w:sz w:val="19"/>
          <w:szCs w:val="19"/>
        </w:rPr>
        <w:t>Human Rights Act 1998</w:t>
      </w:r>
      <w:r w:rsidR="00693B46">
        <w:rPr>
          <w:rFonts w:ascii="Times New Roman" w:hAnsi="Times New Roman" w:cs="Times New Roman"/>
          <w:sz w:val="19"/>
          <w:szCs w:val="19"/>
        </w:rPr>
        <w:t xml:space="preserve"> (UK)</w:t>
      </w:r>
      <w:r w:rsidR="00002D87" w:rsidRPr="00DC7A14">
        <w:rPr>
          <w:rFonts w:ascii="Times New Roman" w:hAnsi="Times New Roman" w:cs="Times New Roman"/>
          <w:sz w:val="19"/>
          <w:szCs w:val="19"/>
        </w:rPr>
        <w:t>, which implements relevant provisions of the E</w:t>
      </w:r>
      <w:r w:rsidR="00004CEE">
        <w:rPr>
          <w:rFonts w:ascii="Times New Roman" w:hAnsi="Times New Roman" w:cs="Times New Roman"/>
          <w:sz w:val="19"/>
          <w:szCs w:val="19"/>
        </w:rPr>
        <w:t>uropean Court of Human Rights</w:t>
      </w:r>
      <w:r w:rsidR="000C5B72">
        <w:rPr>
          <w:rFonts w:ascii="Times New Roman" w:hAnsi="Times New Roman" w:cs="Times New Roman"/>
          <w:sz w:val="19"/>
          <w:szCs w:val="19"/>
        </w:rPr>
        <w:t>. C</w:t>
      </w:r>
      <w:r w:rsidR="00002D87" w:rsidRPr="00DC7A14">
        <w:rPr>
          <w:rFonts w:ascii="Times New Roman" w:hAnsi="Times New Roman" w:cs="Times New Roman"/>
          <w:sz w:val="19"/>
          <w:szCs w:val="19"/>
        </w:rPr>
        <w:t xml:space="preserve">ase law </w:t>
      </w:r>
      <w:r w:rsidR="000C5B72">
        <w:rPr>
          <w:rFonts w:ascii="Times New Roman" w:hAnsi="Times New Roman" w:cs="Times New Roman"/>
          <w:sz w:val="19"/>
          <w:szCs w:val="19"/>
        </w:rPr>
        <w:t xml:space="preserve">in the United Kingdom </w:t>
      </w:r>
      <w:r w:rsidR="00002D87" w:rsidRPr="00DC7A14">
        <w:rPr>
          <w:rFonts w:ascii="Times New Roman" w:hAnsi="Times New Roman" w:cs="Times New Roman"/>
          <w:sz w:val="19"/>
          <w:szCs w:val="19"/>
        </w:rPr>
        <w:t xml:space="preserve">uses the language of a </w:t>
      </w:r>
      <w:r w:rsidR="00693B46">
        <w:rPr>
          <w:rFonts w:ascii="Times New Roman" w:hAnsi="Times New Roman" w:cs="Times New Roman"/>
          <w:sz w:val="19"/>
          <w:szCs w:val="19"/>
        </w:rPr>
        <w:t>‘</w:t>
      </w:r>
      <w:r w:rsidR="00002D87" w:rsidRPr="00DC7A14">
        <w:rPr>
          <w:rFonts w:ascii="Times New Roman" w:hAnsi="Times New Roman" w:cs="Times New Roman"/>
          <w:sz w:val="19"/>
          <w:szCs w:val="19"/>
        </w:rPr>
        <w:t>reasonable expectation of privacy</w:t>
      </w:r>
      <w:r w:rsidR="00693B46">
        <w:rPr>
          <w:rFonts w:ascii="Times New Roman" w:hAnsi="Times New Roman" w:cs="Times New Roman"/>
          <w:sz w:val="19"/>
          <w:szCs w:val="19"/>
        </w:rPr>
        <w:t>’</w:t>
      </w:r>
      <w:r w:rsidR="00002D87" w:rsidRPr="00DC7A14">
        <w:rPr>
          <w:rFonts w:ascii="Times New Roman" w:hAnsi="Times New Roman" w:cs="Times New Roman"/>
          <w:sz w:val="19"/>
          <w:szCs w:val="19"/>
        </w:rPr>
        <w:t xml:space="preserve">, most recently being described as a tort of misuse of private information: </w:t>
      </w:r>
      <w:r w:rsidR="00693B46">
        <w:rPr>
          <w:rFonts w:ascii="Times New Roman" w:hAnsi="Times New Roman" w:cs="Times New Roman"/>
          <w:sz w:val="19"/>
          <w:szCs w:val="19"/>
        </w:rPr>
        <w:t>see</w:t>
      </w:r>
      <w:r w:rsidR="000C5B72">
        <w:rPr>
          <w:rFonts w:ascii="Times New Roman" w:hAnsi="Times New Roman" w:cs="Times New Roman"/>
          <w:sz w:val="19"/>
          <w:szCs w:val="19"/>
        </w:rPr>
        <w:t>,</w:t>
      </w:r>
      <w:r w:rsidR="00693B46">
        <w:rPr>
          <w:rFonts w:ascii="Times New Roman" w:hAnsi="Times New Roman" w:cs="Times New Roman"/>
          <w:sz w:val="19"/>
          <w:szCs w:val="19"/>
        </w:rPr>
        <w:t xml:space="preserve"> </w:t>
      </w:r>
      <w:r w:rsidR="00002D87" w:rsidRPr="00DC7A14">
        <w:rPr>
          <w:rFonts w:ascii="Times New Roman" w:hAnsi="Times New Roman" w:cs="Times New Roman"/>
          <w:sz w:val="19"/>
          <w:szCs w:val="19"/>
        </w:rPr>
        <w:t>eg</w:t>
      </w:r>
      <w:r w:rsidR="000C5B72">
        <w:rPr>
          <w:rFonts w:ascii="Times New Roman" w:hAnsi="Times New Roman" w:cs="Times New Roman"/>
          <w:sz w:val="19"/>
          <w:szCs w:val="19"/>
        </w:rPr>
        <w:t>,</w:t>
      </w:r>
      <w:r w:rsidR="00002D87" w:rsidRPr="00DC7A14">
        <w:rPr>
          <w:rFonts w:ascii="Times New Roman" w:hAnsi="Times New Roman" w:cs="Times New Roman"/>
          <w:sz w:val="19"/>
          <w:szCs w:val="19"/>
        </w:rPr>
        <w:t xml:space="preserve"> </w:t>
      </w:r>
      <w:r w:rsidR="00002D87" w:rsidRPr="00C34E85">
        <w:rPr>
          <w:rFonts w:ascii="Times New Roman" w:hAnsi="Times New Roman" w:cs="Times New Roman"/>
          <w:i/>
          <w:iCs/>
          <w:color w:val="000000"/>
          <w:sz w:val="19"/>
          <w:szCs w:val="19"/>
          <w:lang w:eastAsia="en-GB"/>
        </w:rPr>
        <w:t>ZXC v Bloomberg LP</w:t>
      </w:r>
      <w:r w:rsidR="00002D87" w:rsidRPr="00C34E85">
        <w:rPr>
          <w:rFonts w:ascii="Times New Roman" w:hAnsi="Times New Roman" w:cs="Times New Roman"/>
          <w:color w:val="000000"/>
          <w:sz w:val="19"/>
          <w:szCs w:val="19"/>
          <w:lang w:eastAsia="en-GB"/>
        </w:rPr>
        <w:t xml:space="preserve"> [2022] 2 WLR 424</w:t>
      </w:r>
      <w:r w:rsidR="000C5B72">
        <w:rPr>
          <w:rFonts w:ascii="Times New Roman" w:hAnsi="Times New Roman" w:cs="Times New Roman"/>
          <w:color w:val="000000"/>
          <w:sz w:val="19"/>
          <w:szCs w:val="19"/>
          <w:lang w:eastAsia="en-GB"/>
        </w:rPr>
        <w:t xml:space="preserve">. </w:t>
      </w:r>
      <w:r w:rsidRPr="00DC7A14">
        <w:rPr>
          <w:rFonts w:ascii="Times New Roman" w:hAnsi="Times New Roman" w:cs="Times New Roman"/>
          <w:sz w:val="19"/>
          <w:szCs w:val="19"/>
        </w:rPr>
        <w:t xml:space="preserve">For the Council of Europe jurisdiction and the human right to a private and family life, see </w:t>
      </w:r>
      <w:r w:rsidRPr="00DC7A14">
        <w:rPr>
          <w:rFonts w:ascii="Times New Roman" w:eastAsia="Calibri" w:hAnsi="Times New Roman" w:cs="Times New Roman"/>
          <w:i/>
          <w:color w:val="000000" w:themeColor="text1"/>
          <w:sz w:val="19"/>
          <w:szCs w:val="19"/>
        </w:rPr>
        <w:t>Von</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Hannover</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v</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 xml:space="preserve">Germany </w:t>
      </w:r>
      <w:r w:rsidRPr="00DC7A14">
        <w:rPr>
          <w:rFonts w:ascii="Times New Roman" w:hAnsi="Times New Roman" w:cs="Times New Roman"/>
          <w:i/>
          <w:color w:val="000000" w:themeColor="text1"/>
          <w:sz w:val="19"/>
          <w:szCs w:val="19"/>
        </w:rPr>
        <w:t>(</w:t>
      </w:r>
      <w:r w:rsidRPr="00DC7A14">
        <w:rPr>
          <w:rFonts w:ascii="Times New Roman" w:eastAsia="Calibri" w:hAnsi="Times New Roman" w:cs="Times New Roman"/>
          <w:i/>
          <w:color w:val="000000" w:themeColor="text1"/>
          <w:sz w:val="19"/>
          <w:szCs w:val="19"/>
        </w:rPr>
        <w:t>No</w:t>
      </w:r>
      <w:r w:rsidRPr="00DC7A14">
        <w:rPr>
          <w:rFonts w:ascii="Times New Roman" w:hAnsi="Times New Roman" w:cs="Times New Roman"/>
          <w:i/>
          <w:color w:val="000000" w:themeColor="text1"/>
          <w:sz w:val="19"/>
          <w:szCs w:val="19"/>
        </w:rPr>
        <w:t xml:space="preserve"> 1) </w:t>
      </w:r>
      <w:r w:rsidRPr="00DC7A14">
        <w:rPr>
          <w:rFonts w:ascii="Times New Roman" w:hAnsi="Times New Roman" w:cs="Times New Roman"/>
          <w:color w:val="000000" w:themeColor="text1"/>
          <w:sz w:val="19"/>
          <w:szCs w:val="19"/>
        </w:rPr>
        <w:t xml:space="preserve">[2004] </w:t>
      </w:r>
      <w:r w:rsidRPr="00DC7A14">
        <w:rPr>
          <w:rFonts w:ascii="Times New Roman" w:eastAsia="Calibri" w:hAnsi="Times New Roman" w:cs="Times New Roman"/>
          <w:color w:val="000000" w:themeColor="text1"/>
          <w:sz w:val="19"/>
          <w:szCs w:val="19"/>
        </w:rPr>
        <w:t>EMLR</w:t>
      </w:r>
      <w:r w:rsidRPr="00DC7A14">
        <w:rPr>
          <w:rFonts w:ascii="Times New Roman" w:hAnsi="Times New Roman" w:cs="Times New Roman"/>
          <w:color w:val="000000" w:themeColor="text1"/>
          <w:sz w:val="19"/>
          <w:szCs w:val="19"/>
        </w:rPr>
        <w:t xml:space="preserve"> 21</w:t>
      </w:r>
      <w:r w:rsidRPr="00DC7A14">
        <w:rPr>
          <w:rFonts w:ascii="Times New Roman" w:hAnsi="Times New Roman" w:cs="Times New Roman"/>
          <w:i/>
          <w:sz w:val="19"/>
          <w:szCs w:val="19"/>
        </w:rPr>
        <w:t>.</w:t>
      </w:r>
    </w:p>
  </w:footnote>
  <w:footnote w:id="412">
    <w:p w14:paraId="7FB4387F" w14:textId="4272F938"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Such situations have resulted in equitable remedies in breach of confidence in some Australian courts</w:t>
      </w:r>
      <w:r w:rsidR="002E666F" w:rsidRPr="00DC7A14">
        <w:rPr>
          <w:rFonts w:ascii="Times New Roman" w:hAnsi="Times New Roman" w:cs="Times New Roman"/>
          <w:sz w:val="19"/>
          <w:szCs w:val="19"/>
        </w:rPr>
        <w:t xml:space="preserve">: see, eg, </w:t>
      </w:r>
      <w:r w:rsidRPr="00DC7A14">
        <w:rPr>
          <w:rFonts w:ascii="Times New Roman" w:hAnsi="Times New Roman" w:cs="Times New Roman"/>
          <w:i/>
          <w:sz w:val="19"/>
          <w:szCs w:val="19"/>
        </w:rPr>
        <w:t>Giller v Procopets (No 2)</w:t>
      </w:r>
      <w:r w:rsidRPr="00DC7A14">
        <w:rPr>
          <w:rFonts w:ascii="Times New Roman" w:hAnsi="Times New Roman" w:cs="Times New Roman"/>
          <w:sz w:val="19"/>
          <w:szCs w:val="19"/>
        </w:rPr>
        <w:t xml:space="preserve"> (2008) 24 VR 1</w:t>
      </w:r>
      <w:r w:rsidR="00371109" w:rsidRPr="00DC7A14">
        <w:rPr>
          <w:rFonts w:ascii="Times New Roman" w:hAnsi="Times New Roman" w:cs="Times New Roman"/>
          <w:sz w:val="19"/>
          <w:szCs w:val="19"/>
        </w:rPr>
        <w:t>;</w:t>
      </w:r>
      <w:r w:rsidR="00D101DB">
        <w:rPr>
          <w:rFonts w:ascii="Times New Roman" w:hAnsi="Times New Roman" w:cs="Times New Roman"/>
          <w:sz w:val="19"/>
          <w:szCs w:val="19"/>
        </w:rPr>
        <w:t xml:space="preserve"> cf</w:t>
      </w:r>
      <w:r w:rsidR="00371109" w:rsidRPr="00DC7A14">
        <w:rPr>
          <w:rFonts w:ascii="Times New Roman" w:hAnsi="Times New Roman" w:cs="Times New Roman"/>
          <w:sz w:val="19"/>
          <w:szCs w:val="19"/>
        </w:rPr>
        <w:t xml:space="preserve"> </w:t>
      </w:r>
      <w:r w:rsidR="00371109" w:rsidRPr="00C34E85">
        <w:rPr>
          <w:rFonts w:ascii="Times New Roman" w:hAnsi="Times New Roman" w:cs="Times New Roman"/>
          <w:i/>
          <w:iCs/>
          <w:sz w:val="19"/>
          <w:szCs w:val="19"/>
        </w:rPr>
        <w:t>Wilson v Ferguson</w:t>
      </w:r>
      <w:r w:rsidR="00371109" w:rsidRPr="00DC7A14">
        <w:rPr>
          <w:rFonts w:ascii="Times New Roman" w:hAnsi="Times New Roman" w:cs="Times New Roman"/>
          <w:sz w:val="19"/>
          <w:szCs w:val="19"/>
        </w:rPr>
        <w:t xml:space="preserve"> </w:t>
      </w:r>
      <w:r w:rsidR="00C34E85">
        <w:rPr>
          <w:rFonts w:ascii="Times New Roman" w:hAnsi="Times New Roman" w:cs="Times New Roman"/>
          <w:sz w:val="19"/>
          <w:szCs w:val="19"/>
        </w:rPr>
        <w:t xml:space="preserve">[2015] WASC 15. </w:t>
      </w:r>
      <w:r w:rsidRPr="00DC7A14">
        <w:rPr>
          <w:rFonts w:ascii="Times New Roman" w:hAnsi="Times New Roman" w:cs="Times New Roman"/>
          <w:sz w:val="19"/>
          <w:szCs w:val="19"/>
        </w:rPr>
        <w:t xml:space="preserve">For a critical discussion of why equitable remedies are inappropriate for this type of harm, see </w:t>
      </w:r>
      <w:r w:rsidRPr="00DC7A14">
        <w:rPr>
          <w:rFonts w:ascii="Times New Roman" w:hAnsi="Times New Roman" w:cs="Times New Roman"/>
          <w:color w:val="000000" w:themeColor="text1"/>
          <w:sz w:val="19"/>
          <w:szCs w:val="19"/>
        </w:rPr>
        <w:t>Gligorijevic</w:t>
      </w:r>
      <w:r w:rsidR="00B60F03" w:rsidRPr="00DC7A14">
        <w:rPr>
          <w:rFonts w:ascii="Times New Roman" w:hAnsi="Times New Roman" w:cs="Times New Roman"/>
          <w:color w:val="000000" w:themeColor="text1"/>
          <w:sz w:val="19"/>
          <w:szCs w:val="19"/>
        </w:rPr>
        <w:t xml:space="preserve">, ‘Reaffirming </w:t>
      </w:r>
      <w:r w:rsidR="00B60F03" w:rsidRPr="00DC7A14">
        <w:rPr>
          <w:rFonts w:ascii="Times New Roman" w:hAnsi="Times New Roman" w:cs="Times New Roman"/>
          <w:i/>
          <w:color w:val="000000" w:themeColor="text1"/>
          <w:sz w:val="19"/>
          <w:szCs w:val="19"/>
        </w:rPr>
        <w:t>ABC v Lenah Game</w:t>
      </w:r>
      <w:r w:rsidR="002B1735" w:rsidRPr="00DC7A14">
        <w:rPr>
          <w:rFonts w:ascii="Times New Roman" w:hAnsi="Times New Roman" w:cs="Times New Roman"/>
          <w:i/>
          <w:color w:val="000000" w:themeColor="text1"/>
          <w:sz w:val="19"/>
          <w:szCs w:val="19"/>
        </w:rPr>
        <w:t xml:space="preserve"> Meat</w:t>
      </w:r>
      <w:r w:rsidR="00D2765B" w:rsidRPr="00DC7A14">
        <w:rPr>
          <w:rFonts w:ascii="Times New Roman" w:hAnsi="Times New Roman" w:cs="Times New Roman"/>
          <w:i/>
          <w:color w:val="000000" w:themeColor="text1"/>
          <w:sz w:val="19"/>
          <w:szCs w:val="19"/>
        </w:rPr>
        <w:t>s</w:t>
      </w:r>
      <w:r w:rsidR="002B1735" w:rsidRPr="00DC7A14">
        <w:rPr>
          <w:rFonts w:ascii="Times New Roman" w:hAnsi="Times New Roman" w:cs="Times New Roman"/>
          <w:iCs/>
          <w:color w:val="000000" w:themeColor="text1"/>
          <w:sz w:val="19"/>
          <w:szCs w:val="19"/>
        </w:rPr>
        <w:t>’</w:t>
      </w:r>
      <w:r w:rsidRPr="00DC7A14">
        <w:rPr>
          <w:rFonts w:ascii="Times New Roman" w:hAnsi="Times New Roman" w:cs="Times New Roman"/>
          <w:color w:val="000000" w:themeColor="text1"/>
          <w:sz w:val="19"/>
          <w:szCs w:val="19"/>
        </w:rPr>
        <w:t xml:space="preserve"> </w:t>
      </w:r>
      <w:r w:rsidR="008E5F12" w:rsidRPr="00DC7A14">
        <w:rPr>
          <w:rFonts w:ascii="Times New Roman" w:hAnsi="Times New Roman" w:cs="Times New Roman"/>
          <w:color w:val="000000" w:themeColor="text1"/>
          <w:sz w:val="19"/>
          <w:szCs w:val="19"/>
        </w:rPr>
        <w:t>(</w:t>
      </w:r>
      <w:r w:rsidR="007D6C73" w:rsidRPr="00DC7A14">
        <w:rPr>
          <w:rFonts w:ascii="Times New Roman" w:hAnsi="Times New Roman" w:cs="Times New Roman"/>
          <w:color w:val="000000" w:themeColor="text1"/>
          <w:sz w:val="19"/>
          <w:szCs w:val="19"/>
        </w:rPr>
        <w:t xml:space="preserve">n </w:t>
      </w:r>
      <w:r w:rsidR="00A13273" w:rsidRPr="00DC7A14">
        <w:rPr>
          <w:rFonts w:ascii="Times New Roman" w:hAnsi="Times New Roman" w:cs="Times New Roman"/>
          <w:color w:val="000000" w:themeColor="text1"/>
          <w:sz w:val="19"/>
          <w:szCs w:val="19"/>
        </w:rPr>
        <w:fldChar w:fldCharType="begin"/>
      </w:r>
      <w:r w:rsidR="00A13273" w:rsidRPr="00DC7A14">
        <w:rPr>
          <w:rFonts w:ascii="Times New Roman" w:hAnsi="Times New Roman" w:cs="Times New Roman"/>
          <w:color w:val="000000" w:themeColor="text1"/>
          <w:sz w:val="19"/>
          <w:szCs w:val="19"/>
        </w:rPr>
        <w:instrText xml:space="preserve"> NOTEREF _Ref91831673 \h </w:instrText>
      </w:r>
      <w:r w:rsidR="008569E2" w:rsidRPr="00DC7A14">
        <w:rPr>
          <w:rFonts w:ascii="Times New Roman" w:hAnsi="Times New Roman" w:cs="Times New Roman"/>
          <w:color w:val="000000" w:themeColor="text1"/>
          <w:sz w:val="19"/>
          <w:szCs w:val="19"/>
        </w:rPr>
        <w:instrText xml:space="preserve"> \* MERGEFORMAT </w:instrText>
      </w:r>
      <w:r w:rsidR="00A13273" w:rsidRPr="00DC7A14">
        <w:rPr>
          <w:rFonts w:ascii="Times New Roman" w:hAnsi="Times New Roman" w:cs="Times New Roman"/>
          <w:color w:val="000000" w:themeColor="text1"/>
          <w:sz w:val="19"/>
          <w:szCs w:val="19"/>
        </w:rPr>
      </w:r>
      <w:r w:rsidR="00A13273" w:rsidRPr="00DC7A14">
        <w:rPr>
          <w:rFonts w:ascii="Times New Roman" w:hAnsi="Times New Roman" w:cs="Times New Roman"/>
          <w:color w:val="000000" w:themeColor="text1"/>
          <w:sz w:val="19"/>
          <w:szCs w:val="19"/>
        </w:rPr>
        <w:fldChar w:fldCharType="separate"/>
      </w:r>
      <w:r w:rsidR="00E66B60">
        <w:rPr>
          <w:rFonts w:ascii="Times New Roman" w:hAnsi="Times New Roman" w:cs="Times New Roman"/>
          <w:color w:val="000000" w:themeColor="text1"/>
          <w:sz w:val="19"/>
          <w:szCs w:val="19"/>
        </w:rPr>
        <w:t>7</w:t>
      </w:r>
      <w:r w:rsidR="00A13273" w:rsidRPr="00DC7A14">
        <w:rPr>
          <w:rFonts w:ascii="Times New Roman" w:hAnsi="Times New Roman" w:cs="Times New Roman"/>
          <w:color w:val="000000" w:themeColor="text1"/>
          <w:sz w:val="19"/>
          <w:szCs w:val="19"/>
        </w:rPr>
        <w:fldChar w:fldCharType="end"/>
      </w:r>
      <w:r w:rsidR="008E5F12" w:rsidRPr="00DC7A14">
        <w:rPr>
          <w:rFonts w:ascii="Times New Roman" w:hAnsi="Times New Roman" w:cs="Times New Roman"/>
          <w:color w:val="000000" w:themeColor="text1"/>
          <w:sz w:val="19"/>
          <w:szCs w:val="19"/>
        </w:rPr>
        <w:t>)</w:t>
      </w:r>
      <w:r w:rsidRPr="00DC7A14">
        <w:rPr>
          <w:rFonts w:ascii="Times New Roman" w:hAnsi="Times New Roman" w:cs="Times New Roman"/>
          <w:color w:val="000000" w:themeColor="text1"/>
          <w:sz w:val="19"/>
          <w:szCs w:val="19"/>
        </w:rPr>
        <w:t>; and</w:t>
      </w:r>
      <w:r w:rsidRPr="00DC7A14">
        <w:rPr>
          <w:rFonts w:ascii="Times New Roman" w:hAnsi="Times New Roman" w:cs="Times New Roman"/>
          <w:sz w:val="19"/>
          <w:szCs w:val="19"/>
        </w:rPr>
        <w:t xml:space="preserve"> </w:t>
      </w:r>
      <w:r w:rsidRPr="00DC7A14">
        <w:rPr>
          <w:rFonts w:ascii="Times New Roman" w:eastAsia="Times New Roman" w:hAnsi="Times New Roman" w:cs="Times New Roman"/>
          <w:sz w:val="19"/>
          <w:szCs w:val="19"/>
        </w:rPr>
        <w:t>Turner</w:t>
      </w:r>
      <w:r w:rsidR="00905A8C" w:rsidRPr="00DC7A14">
        <w:rPr>
          <w:rFonts w:ascii="Times New Roman" w:eastAsia="Times New Roman" w:hAnsi="Times New Roman" w:cs="Times New Roman"/>
          <w:sz w:val="19"/>
          <w:szCs w:val="19"/>
        </w:rPr>
        <w:t xml:space="preserve"> (n </w:t>
      </w:r>
      <w:r w:rsidR="00A13273" w:rsidRPr="00DC7A14">
        <w:rPr>
          <w:rFonts w:ascii="Times New Roman" w:eastAsia="Times New Roman" w:hAnsi="Times New Roman" w:cs="Times New Roman"/>
          <w:sz w:val="19"/>
          <w:szCs w:val="19"/>
        </w:rPr>
        <w:fldChar w:fldCharType="begin"/>
      </w:r>
      <w:r w:rsidR="00A13273" w:rsidRPr="00DC7A14">
        <w:rPr>
          <w:rFonts w:ascii="Times New Roman" w:eastAsia="Times New Roman" w:hAnsi="Times New Roman" w:cs="Times New Roman"/>
          <w:sz w:val="19"/>
          <w:szCs w:val="19"/>
        </w:rPr>
        <w:instrText xml:space="preserve"> NOTEREF _Ref91831705 \h </w:instrText>
      </w:r>
      <w:r w:rsidR="008569E2" w:rsidRPr="00DC7A14">
        <w:rPr>
          <w:rFonts w:ascii="Times New Roman" w:eastAsia="Times New Roman" w:hAnsi="Times New Roman" w:cs="Times New Roman"/>
          <w:sz w:val="19"/>
          <w:szCs w:val="19"/>
        </w:rPr>
        <w:instrText xml:space="preserve"> \* MERGEFORMAT </w:instrText>
      </w:r>
      <w:r w:rsidR="00A13273" w:rsidRPr="00DC7A14">
        <w:rPr>
          <w:rFonts w:ascii="Times New Roman" w:eastAsia="Times New Roman" w:hAnsi="Times New Roman" w:cs="Times New Roman"/>
          <w:sz w:val="19"/>
          <w:szCs w:val="19"/>
        </w:rPr>
      </w:r>
      <w:r w:rsidR="00A13273" w:rsidRPr="00DC7A14">
        <w:rPr>
          <w:rFonts w:ascii="Times New Roman" w:eastAsia="Times New Roman" w:hAnsi="Times New Roman" w:cs="Times New Roman"/>
          <w:sz w:val="19"/>
          <w:szCs w:val="19"/>
        </w:rPr>
        <w:fldChar w:fldCharType="separate"/>
      </w:r>
      <w:r w:rsidR="00E66B60">
        <w:rPr>
          <w:rFonts w:ascii="Times New Roman" w:eastAsia="Times New Roman" w:hAnsi="Times New Roman" w:cs="Times New Roman"/>
          <w:sz w:val="19"/>
          <w:szCs w:val="19"/>
        </w:rPr>
        <w:t>401</w:t>
      </w:r>
      <w:r w:rsidR="00A13273" w:rsidRPr="00DC7A14">
        <w:rPr>
          <w:rFonts w:ascii="Times New Roman" w:eastAsia="Times New Roman" w:hAnsi="Times New Roman" w:cs="Times New Roman"/>
          <w:sz w:val="19"/>
          <w:szCs w:val="19"/>
        </w:rPr>
        <w:fldChar w:fldCharType="end"/>
      </w:r>
      <w:r w:rsidR="00905A8C" w:rsidRPr="00DC7A14">
        <w:rPr>
          <w:rFonts w:ascii="Times New Roman" w:eastAsia="Times New Roman" w:hAnsi="Times New Roman" w:cs="Times New Roman"/>
          <w:sz w:val="19"/>
          <w:szCs w:val="19"/>
        </w:rPr>
        <w:t xml:space="preserve">) </w:t>
      </w:r>
      <w:r w:rsidRPr="00DC7A14">
        <w:rPr>
          <w:rFonts w:ascii="Times New Roman" w:eastAsia="Times New Roman" w:hAnsi="Times New Roman" w:cs="Times New Roman"/>
          <w:sz w:val="19"/>
          <w:szCs w:val="19"/>
        </w:rPr>
        <w:t>265</w:t>
      </w:r>
      <w:r w:rsidRPr="00DC7A14">
        <w:rPr>
          <w:rFonts w:ascii="Times New Roman" w:hAnsi="Times New Roman" w:cs="Times New Roman"/>
          <w:sz w:val="19"/>
          <w:szCs w:val="19"/>
        </w:rPr>
        <w:t xml:space="preserve">. For an example of where a sexual photograph of an unidentifiable individual was made public </w:t>
      </w:r>
      <w:r w:rsidR="00B1399B" w:rsidRPr="00DC7A14">
        <w:rPr>
          <w:rFonts w:ascii="Times New Roman" w:hAnsi="Times New Roman" w:cs="Times New Roman"/>
          <w:sz w:val="19"/>
          <w:szCs w:val="19"/>
        </w:rPr>
        <w:t xml:space="preserve">and </w:t>
      </w:r>
      <w:r w:rsidRPr="00DC7A14">
        <w:rPr>
          <w:rFonts w:ascii="Times New Roman" w:hAnsi="Times New Roman" w:cs="Times New Roman"/>
          <w:sz w:val="19"/>
          <w:szCs w:val="19"/>
        </w:rPr>
        <w:t>led to a remedy</w:t>
      </w:r>
      <w:r w:rsidR="00B1399B" w:rsidRPr="00DC7A14">
        <w:rPr>
          <w:rFonts w:ascii="Times New Roman" w:hAnsi="Times New Roman" w:cs="Times New Roman"/>
          <w:sz w:val="19"/>
          <w:szCs w:val="19"/>
        </w:rPr>
        <w:t xml:space="preserve"> when litigated</w:t>
      </w:r>
      <w:r w:rsidRPr="00DC7A14">
        <w:rPr>
          <w:rFonts w:ascii="Times New Roman" w:hAnsi="Times New Roman" w:cs="Times New Roman"/>
          <w:sz w:val="19"/>
          <w:szCs w:val="19"/>
        </w:rPr>
        <w:t xml:space="preserve">, see </w:t>
      </w:r>
      <w:r w:rsidRPr="00DC7A14">
        <w:rPr>
          <w:rFonts w:ascii="Times New Roman" w:hAnsi="Times New Roman" w:cs="Times New Roman"/>
          <w:i/>
          <w:sz w:val="19"/>
          <w:szCs w:val="19"/>
        </w:rPr>
        <w:t xml:space="preserve">L v G </w:t>
      </w:r>
      <w:r w:rsidRPr="00DC7A14">
        <w:rPr>
          <w:rFonts w:ascii="Times New Roman" w:hAnsi="Times New Roman" w:cs="Times New Roman"/>
          <w:sz w:val="19"/>
          <w:szCs w:val="19"/>
        </w:rPr>
        <w:t>[2002] DCR 234 (</w:t>
      </w:r>
      <w:r w:rsidR="003479EC" w:rsidRPr="00DC7A14">
        <w:rPr>
          <w:rFonts w:ascii="Times New Roman" w:hAnsi="Times New Roman" w:cs="Times New Roman"/>
          <w:sz w:val="19"/>
          <w:szCs w:val="19"/>
        </w:rPr>
        <w:t>District Court of New Zealand</w:t>
      </w:r>
      <w:r w:rsidRPr="00DC7A14">
        <w:rPr>
          <w:rFonts w:ascii="Times New Roman" w:hAnsi="Times New Roman" w:cs="Times New Roman"/>
          <w:sz w:val="19"/>
          <w:szCs w:val="19"/>
        </w:rPr>
        <w:t>). Judge Abbott reasoned that there was sufficient dignitary harm and humiliation in the fact that the plaintiff could identify herself from the photograph, and that that was sufficient to ground a remedy in tort law.</w:t>
      </w:r>
    </w:p>
  </w:footnote>
  <w:footnote w:id="413">
    <w:p w14:paraId="3FE861FD" w14:textId="6FFC3C0A"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Interim injunction applications in response to privacy blackmail threats are common in England</w:t>
      </w:r>
      <w:r w:rsidR="00371109" w:rsidRPr="00DC7A14">
        <w:rPr>
          <w:rFonts w:ascii="Times New Roman" w:hAnsi="Times New Roman" w:cs="Times New Roman"/>
          <w:sz w:val="19"/>
          <w:szCs w:val="19"/>
        </w:rPr>
        <w:t xml:space="preserve"> and</w:t>
      </w:r>
      <w:r w:rsidRPr="00DC7A14">
        <w:rPr>
          <w:rFonts w:ascii="Times New Roman" w:hAnsi="Times New Roman" w:cs="Times New Roman"/>
          <w:sz w:val="19"/>
          <w:szCs w:val="19"/>
        </w:rPr>
        <w:t xml:space="preserve"> Wales</w:t>
      </w:r>
      <w:r w:rsidR="003B0333"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3B0333" w:rsidRPr="00DC7A14">
        <w:rPr>
          <w:rFonts w:ascii="Times New Roman" w:hAnsi="Times New Roman" w:cs="Times New Roman"/>
          <w:sz w:val="19"/>
          <w:szCs w:val="19"/>
        </w:rPr>
        <w:t>See</w:t>
      </w:r>
      <w:r w:rsidRPr="00DC7A14">
        <w:rPr>
          <w:rFonts w:ascii="Times New Roman" w:hAnsi="Times New Roman" w:cs="Times New Roman"/>
          <w:sz w:val="19"/>
          <w:szCs w:val="19"/>
        </w:rPr>
        <w:t xml:space="preserve">, </w:t>
      </w:r>
      <w:r w:rsidR="003B0333"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 xml:space="preserve">AMM v HXW </w:t>
      </w:r>
      <w:r w:rsidRPr="00DC7A14">
        <w:rPr>
          <w:rFonts w:ascii="Times New Roman" w:hAnsi="Times New Roman" w:cs="Times New Roman"/>
          <w:sz w:val="19"/>
          <w:szCs w:val="19"/>
        </w:rPr>
        <w:t xml:space="preserve">[2010] EWHC 2457 (QB); </w:t>
      </w:r>
      <w:r w:rsidRPr="00DC7A14">
        <w:rPr>
          <w:rFonts w:ascii="Times New Roman" w:eastAsia="Calibri" w:hAnsi="Times New Roman" w:cs="Times New Roman"/>
          <w:bCs/>
          <w:i/>
          <w:color w:val="000000" w:themeColor="text1"/>
          <w:sz w:val="19"/>
          <w:szCs w:val="19"/>
        </w:rPr>
        <w:t>KJH</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v</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HGF</w:t>
      </w:r>
      <w:r w:rsidRPr="00DC7A14">
        <w:rPr>
          <w:rFonts w:ascii="Times New Roman" w:hAnsi="Times New Roman" w:cs="Times New Roman"/>
          <w:bCs/>
          <w:i/>
          <w:color w:val="000000" w:themeColor="text1"/>
          <w:sz w:val="19"/>
          <w:szCs w:val="19"/>
        </w:rPr>
        <w:t xml:space="preserve"> </w:t>
      </w:r>
      <w:r w:rsidRPr="00DC7A14">
        <w:rPr>
          <w:rFonts w:ascii="Times New Roman" w:hAnsi="Times New Roman" w:cs="Times New Roman"/>
          <w:bCs/>
          <w:color w:val="000000" w:themeColor="text1"/>
          <w:sz w:val="19"/>
          <w:szCs w:val="19"/>
        </w:rPr>
        <w:t xml:space="preserve">[2010] </w:t>
      </w:r>
      <w:r w:rsidRPr="00DC7A14">
        <w:rPr>
          <w:rFonts w:ascii="Times New Roman" w:eastAsia="Calibri" w:hAnsi="Times New Roman" w:cs="Times New Roman"/>
          <w:bCs/>
          <w:color w:val="000000" w:themeColor="text1"/>
          <w:sz w:val="19"/>
          <w:szCs w:val="19"/>
        </w:rPr>
        <w:t>EWHC</w:t>
      </w:r>
      <w:r w:rsidRPr="00DC7A14">
        <w:rPr>
          <w:rFonts w:ascii="Times New Roman" w:hAnsi="Times New Roman" w:cs="Times New Roman"/>
          <w:bCs/>
          <w:color w:val="000000" w:themeColor="text1"/>
          <w:sz w:val="19"/>
          <w:szCs w:val="19"/>
        </w:rPr>
        <w:t xml:space="preserve"> 3064</w:t>
      </w:r>
      <w:r w:rsidR="00AB7836" w:rsidRPr="00DC7A14">
        <w:rPr>
          <w:rFonts w:ascii="Times New Roman" w:hAnsi="Times New Roman" w:cs="Times New Roman"/>
          <w:bCs/>
          <w:color w:val="000000" w:themeColor="text1"/>
          <w:sz w:val="19"/>
          <w:szCs w:val="19"/>
        </w:rPr>
        <w:t xml:space="preserve"> </w:t>
      </w:r>
      <w:r w:rsidRPr="00DC7A14">
        <w:rPr>
          <w:rFonts w:ascii="Times New Roman" w:hAnsi="Times New Roman" w:cs="Times New Roman"/>
          <w:bCs/>
          <w:color w:val="000000" w:themeColor="text1"/>
          <w:sz w:val="19"/>
          <w:szCs w:val="19"/>
        </w:rPr>
        <w:t>(</w:t>
      </w:r>
      <w:r w:rsidRPr="00DC7A14">
        <w:rPr>
          <w:rFonts w:ascii="Times New Roman" w:eastAsia="Calibri" w:hAnsi="Times New Roman" w:cs="Times New Roman"/>
          <w:bCs/>
          <w:color w:val="000000" w:themeColor="text1"/>
          <w:sz w:val="19"/>
          <w:szCs w:val="19"/>
        </w:rPr>
        <w:t>QB</w:t>
      </w:r>
      <w:r w:rsidRPr="00DC7A14">
        <w:rPr>
          <w:rFonts w:ascii="Times New Roman" w:hAnsi="Times New Roman" w:cs="Times New Roman"/>
          <w:bCs/>
          <w:color w:val="000000" w:themeColor="text1"/>
          <w:sz w:val="19"/>
          <w:szCs w:val="19"/>
        </w:rPr>
        <w:t xml:space="preserve">); </w:t>
      </w:r>
      <w:r w:rsidRPr="00DC7A14">
        <w:rPr>
          <w:rFonts w:ascii="Times New Roman" w:hAnsi="Times New Roman" w:cs="Times New Roman"/>
          <w:i/>
          <w:sz w:val="19"/>
          <w:szCs w:val="19"/>
        </w:rPr>
        <w:t>LJY v Persons Unknown</w:t>
      </w:r>
      <w:r w:rsidRPr="00DC7A14">
        <w:rPr>
          <w:rFonts w:ascii="Times New Roman" w:hAnsi="Times New Roman" w:cs="Times New Roman"/>
          <w:sz w:val="19"/>
          <w:szCs w:val="19"/>
        </w:rPr>
        <w:t xml:space="preserve"> [2018] </w:t>
      </w:r>
      <w:r w:rsidRPr="00DC7A14">
        <w:rPr>
          <w:rFonts w:ascii="Times New Roman" w:eastAsia="Calibri" w:hAnsi="Times New Roman" w:cs="Times New Roman"/>
          <w:sz w:val="19"/>
          <w:szCs w:val="19"/>
        </w:rPr>
        <w:t>EMLR 9</w:t>
      </w:r>
      <w:r w:rsidRPr="00004CEE">
        <w:rPr>
          <w:rFonts w:ascii="Times New Roman" w:hAnsi="Times New Roman" w:cs="Times New Roman"/>
          <w:bCs/>
          <w:color w:val="000000" w:themeColor="text1"/>
          <w:sz w:val="19"/>
          <w:szCs w:val="19"/>
        </w:rPr>
        <w:t xml:space="preserve">; </w:t>
      </w:r>
      <w:r w:rsidRPr="00004CEE">
        <w:rPr>
          <w:rFonts w:ascii="Times New Roman" w:hAnsi="Times New Roman" w:cs="Times New Roman"/>
          <w:i/>
          <w:color w:val="000000" w:themeColor="text1"/>
          <w:sz w:val="19"/>
          <w:szCs w:val="19"/>
        </w:rPr>
        <w:t>AXB v BXA</w:t>
      </w:r>
      <w:r w:rsidRPr="00004CEE">
        <w:rPr>
          <w:rFonts w:ascii="Times New Roman" w:hAnsi="Times New Roman" w:cs="Times New Roman"/>
          <w:color w:val="000000" w:themeColor="text1"/>
          <w:sz w:val="19"/>
          <w:szCs w:val="19"/>
        </w:rPr>
        <w:t xml:space="preserve"> [2018] EWHC 588 (QB).</w:t>
      </w:r>
    </w:p>
  </w:footnote>
  <w:footnote w:id="414">
    <w:p w14:paraId="5103F882" w14:textId="14673121"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recent instance of media misuse of private information in such circumstances in England, see </w:t>
      </w:r>
      <w:r w:rsidRPr="00DC7A14">
        <w:rPr>
          <w:rFonts w:ascii="Times New Roman" w:hAnsi="Times New Roman" w:cs="Times New Roman"/>
          <w:i/>
          <w:sz w:val="19"/>
          <w:szCs w:val="19"/>
        </w:rPr>
        <w:t xml:space="preserve">Richard v British Broadcasting Corporation </w:t>
      </w:r>
      <w:r w:rsidRPr="00DC7A14">
        <w:rPr>
          <w:rFonts w:ascii="Times New Roman" w:hAnsi="Times New Roman" w:cs="Times New Roman"/>
          <w:iCs/>
          <w:sz w:val="19"/>
          <w:szCs w:val="19"/>
        </w:rPr>
        <w:t>[2019] Ch 169</w:t>
      </w:r>
      <w:r w:rsidRPr="00DC7A14">
        <w:rPr>
          <w:rFonts w:ascii="Times New Roman" w:hAnsi="Times New Roman" w:cs="Times New Roman"/>
          <w:sz w:val="19"/>
          <w:szCs w:val="19"/>
        </w:rPr>
        <w:t>. See also NA Moreham and Y Tinsley</w:t>
      </w:r>
      <w:r w:rsidR="0041510C"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41510C" w:rsidRPr="00DC7A14">
        <w:rPr>
          <w:rFonts w:ascii="Times New Roman" w:hAnsi="Times New Roman" w:cs="Times New Roman"/>
          <w:sz w:val="19"/>
          <w:szCs w:val="19"/>
        </w:rPr>
        <w:t>‘</w:t>
      </w:r>
      <w:r w:rsidRPr="00DC7A14">
        <w:rPr>
          <w:rFonts w:ascii="Times New Roman" w:hAnsi="Times New Roman" w:cs="Times New Roman"/>
          <w:sz w:val="19"/>
          <w:szCs w:val="19"/>
        </w:rPr>
        <w:t>Media Intrusion into Grief: Lessons from the Pike River Mining Disaster</w:t>
      </w:r>
      <w:r w:rsidR="0041510C"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in AT Kenyon (ed), </w:t>
      </w:r>
      <w:r w:rsidRPr="00DC7A14">
        <w:rPr>
          <w:rFonts w:ascii="Times New Roman" w:hAnsi="Times New Roman" w:cs="Times New Roman"/>
          <w:i/>
          <w:sz w:val="19"/>
          <w:szCs w:val="19"/>
        </w:rPr>
        <w:t>Comparative Defamation and Privacy Law</w:t>
      </w:r>
      <w:r w:rsidRPr="00DC7A14">
        <w:rPr>
          <w:rFonts w:ascii="Times New Roman" w:hAnsi="Times New Roman" w:cs="Times New Roman"/>
          <w:sz w:val="19"/>
          <w:szCs w:val="19"/>
        </w:rPr>
        <w:t xml:space="preserve"> (</w:t>
      </w:r>
      <w:r w:rsidR="000B3BA5" w:rsidRPr="00DC7A14">
        <w:rPr>
          <w:rFonts w:ascii="Times New Roman" w:hAnsi="Times New Roman" w:cs="Times New Roman"/>
          <w:sz w:val="19"/>
          <w:szCs w:val="19"/>
        </w:rPr>
        <w:t>Cambridge University Press</w:t>
      </w:r>
      <w:r w:rsidRPr="00DC7A14">
        <w:rPr>
          <w:rFonts w:ascii="Times New Roman" w:hAnsi="Times New Roman" w:cs="Times New Roman"/>
          <w:sz w:val="19"/>
          <w:szCs w:val="19"/>
        </w:rPr>
        <w:t>, 2016) 115.</w:t>
      </w:r>
    </w:p>
  </w:footnote>
  <w:footnote w:id="415">
    <w:p w14:paraId="206165A6" w14:textId="32646899"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Pr="00DC7A14">
        <w:rPr>
          <w:rFonts w:ascii="Times New Roman" w:hAnsi="Times New Roman" w:cs="Times New Roman"/>
          <w:color w:val="000000" w:themeColor="text1"/>
          <w:sz w:val="19"/>
          <w:szCs w:val="19"/>
        </w:rPr>
        <w:t>J</w:t>
      </w:r>
      <w:r w:rsidR="00DC56AC" w:rsidRPr="00DC7A14">
        <w:rPr>
          <w:rFonts w:ascii="Times New Roman" w:hAnsi="Times New Roman" w:cs="Times New Roman"/>
          <w:color w:val="000000" w:themeColor="text1"/>
          <w:sz w:val="19"/>
          <w:szCs w:val="19"/>
        </w:rPr>
        <w:t>elena</w:t>
      </w:r>
      <w:r w:rsidRPr="00DC7A14">
        <w:rPr>
          <w:rFonts w:ascii="Times New Roman" w:hAnsi="Times New Roman" w:cs="Times New Roman"/>
          <w:color w:val="000000" w:themeColor="text1"/>
          <w:sz w:val="19"/>
          <w:szCs w:val="19"/>
        </w:rPr>
        <w:t xml:space="preserve"> Gligorijevic</w:t>
      </w:r>
      <w:r w:rsidR="00DC56AC" w:rsidRPr="00DC7A14">
        <w:rPr>
          <w:rFonts w:ascii="Times New Roman" w:hAnsi="Times New Roman" w:cs="Times New Roman"/>
          <w:color w:val="000000" w:themeColor="text1"/>
          <w:sz w:val="19"/>
          <w:szCs w:val="19"/>
        </w:rPr>
        <w:t xml:space="preserve">, </w:t>
      </w:r>
      <w:r w:rsidR="0030621A" w:rsidRPr="00DC7A14">
        <w:rPr>
          <w:rFonts w:ascii="Times New Roman" w:hAnsi="Times New Roman" w:cs="Times New Roman"/>
          <w:color w:val="000000" w:themeColor="text1"/>
          <w:sz w:val="19"/>
          <w:szCs w:val="19"/>
        </w:rPr>
        <w:t>‘</w:t>
      </w:r>
      <w:r w:rsidRPr="00DC7A14">
        <w:rPr>
          <w:rFonts w:ascii="Times New Roman" w:hAnsi="Times New Roman" w:cs="Times New Roman"/>
          <w:color w:val="000000" w:themeColor="text1"/>
          <w:sz w:val="19"/>
          <w:szCs w:val="19"/>
        </w:rPr>
        <w:t xml:space="preserve">Children’s </w:t>
      </w:r>
      <w:r w:rsidR="006D0D5F">
        <w:rPr>
          <w:rFonts w:ascii="Times New Roman" w:hAnsi="Times New Roman" w:cs="Times New Roman"/>
          <w:color w:val="000000" w:themeColor="text1"/>
          <w:sz w:val="19"/>
          <w:szCs w:val="19"/>
        </w:rPr>
        <w:t>P</w:t>
      </w:r>
      <w:r w:rsidRPr="00DC7A14">
        <w:rPr>
          <w:rFonts w:ascii="Times New Roman" w:hAnsi="Times New Roman" w:cs="Times New Roman"/>
          <w:color w:val="000000" w:themeColor="text1"/>
          <w:sz w:val="19"/>
          <w:szCs w:val="19"/>
        </w:rPr>
        <w:t>rivacy: The Role of Parental Control and Consent</w:t>
      </w:r>
      <w:r w:rsidR="0030621A" w:rsidRPr="00DC7A14">
        <w:rPr>
          <w:rFonts w:ascii="Times New Roman" w:hAnsi="Times New Roman" w:cs="Times New Roman"/>
          <w:color w:val="000000" w:themeColor="text1"/>
          <w:sz w:val="19"/>
          <w:szCs w:val="19"/>
        </w:rPr>
        <w:t xml:space="preserve">’ </w:t>
      </w:r>
      <w:r w:rsidRPr="00DC7A14">
        <w:rPr>
          <w:rFonts w:ascii="Times New Roman" w:hAnsi="Times New Roman" w:cs="Times New Roman"/>
          <w:color w:val="000000" w:themeColor="text1"/>
          <w:sz w:val="19"/>
          <w:szCs w:val="19"/>
        </w:rPr>
        <w:t xml:space="preserve">(2019) 19(2) </w:t>
      </w:r>
      <w:r w:rsidRPr="00DC7A14">
        <w:rPr>
          <w:rFonts w:ascii="Times New Roman" w:hAnsi="Times New Roman" w:cs="Times New Roman"/>
          <w:i/>
          <w:color w:val="000000" w:themeColor="text1"/>
          <w:sz w:val="19"/>
          <w:szCs w:val="19"/>
        </w:rPr>
        <w:t>Human Rights Law Review</w:t>
      </w:r>
      <w:r w:rsidRPr="00DC7A14">
        <w:rPr>
          <w:rFonts w:ascii="Times New Roman" w:hAnsi="Times New Roman" w:cs="Times New Roman"/>
          <w:color w:val="000000" w:themeColor="text1"/>
          <w:sz w:val="19"/>
          <w:szCs w:val="19"/>
        </w:rPr>
        <w:t xml:space="preserve"> 201</w:t>
      </w:r>
      <w:r w:rsidRPr="00DC7A14">
        <w:rPr>
          <w:rFonts w:ascii="Times New Roman" w:hAnsi="Times New Roman" w:cs="Times New Roman"/>
          <w:sz w:val="19"/>
          <w:szCs w:val="19"/>
        </w:rPr>
        <w:t>.</w:t>
      </w:r>
    </w:p>
  </w:footnote>
  <w:footnote w:id="416">
    <w:p w14:paraId="538563A6" w14:textId="2477C338"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summary of how the </w:t>
      </w:r>
      <w:r w:rsidR="004974D2" w:rsidRPr="00DC7A14">
        <w:rPr>
          <w:rFonts w:ascii="Times New Roman" w:hAnsi="Times New Roman" w:cs="Times New Roman"/>
          <w:sz w:val="19"/>
          <w:szCs w:val="19"/>
        </w:rPr>
        <w:t xml:space="preserve">courts in England and Wales </w:t>
      </w:r>
      <w:r w:rsidRPr="00DC7A14">
        <w:rPr>
          <w:rFonts w:ascii="Times New Roman" w:hAnsi="Times New Roman" w:cs="Times New Roman"/>
          <w:sz w:val="19"/>
          <w:szCs w:val="19"/>
        </w:rPr>
        <w:t>have addressed the conflict between privacy and open justice (and freedom of expression) in processes and publications associated with the administration of justice, see J</w:t>
      </w:r>
      <w:r w:rsidR="006804BF" w:rsidRPr="00DC7A14">
        <w:rPr>
          <w:rFonts w:ascii="Times New Roman" w:hAnsi="Times New Roman" w:cs="Times New Roman"/>
          <w:sz w:val="19"/>
          <w:szCs w:val="19"/>
        </w:rPr>
        <w:t>elena</w:t>
      </w:r>
      <w:r w:rsidRPr="00DC7A14">
        <w:rPr>
          <w:rFonts w:ascii="Times New Roman" w:hAnsi="Times New Roman" w:cs="Times New Roman"/>
          <w:sz w:val="19"/>
          <w:szCs w:val="19"/>
        </w:rPr>
        <w:t xml:space="preserve"> Gligorijevic</w:t>
      </w:r>
      <w:r w:rsidR="006B2165"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6B2165" w:rsidRPr="00DC7A14">
        <w:rPr>
          <w:rFonts w:ascii="Times New Roman" w:hAnsi="Times New Roman" w:cs="Times New Roman"/>
          <w:sz w:val="19"/>
          <w:szCs w:val="19"/>
        </w:rPr>
        <w:t>‘</w:t>
      </w:r>
      <w:r w:rsidRPr="00DC7A14">
        <w:rPr>
          <w:rFonts w:ascii="Times New Roman" w:hAnsi="Times New Roman" w:cs="Times New Roman"/>
          <w:sz w:val="19"/>
          <w:szCs w:val="19"/>
        </w:rPr>
        <w:t xml:space="preserve">Publication </w:t>
      </w:r>
      <w:r w:rsidR="00771122" w:rsidRPr="00DC7A14">
        <w:rPr>
          <w:rFonts w:ascii="Times New Roman" w:hAnsi="Times New Roman" w:cs="Times New Roman"/>
          <w:sz w:val="19"/>
          <w:szCs w:val="19"/>
        </w:rPr>
        <w:t xml:space="preserve">Restrictions </w:t>
      </w:r>
      <w:r w:rsidRPr="00DC7A14">
        <w:rPr>
          <w:rFonts w:ascii="Times New Roman" w:hAnsi="Times New Roman" w:cs="Times New Roman"/>
          <w:sz w:val="19"/>
          <w:szCs w:val="19"/>
        </w:rPr>
        <w:t xml:space="preserve">on </w:t>
      </w:r>
      <w:r w:rsidR="00771122" w:rsidRPr="00DC7A14">
        <w:rPr>
          <w:rFonts w:ascii="Times New Roman" w:hAnsi="Times New Roman" w:cs="Times New Roman"/>
          <w:sz w:val="19"/>
          <w:szCs w:val="19"/>
        </w:rPr>
        <w:t>J</w:t>
      </w:r>
      <w:r w:rsidR="0059735A" w:rsidRPr="00DC7A14">
        <w:rPr>
          <w:rFonts w:ascii="Times New Roman" w:hAnsi="Times New Roman" w:cs="Times New Roman"/>
          <w:sz w:val="19"/>
          <w:szCs w:val="19"/>
        </w:rPr>
        <w:t>udgement</w:t>
      </w:r>
      <w:r w:rsidRPr="00DC7A14">
        <w:rPr>
          <w:rFonts w:ascii="Times New Roman" w:hAnsi="Times New Roman" w:cs="Times New Roman"/>
          <w:sz w:val="19"/>
          <w:szCs w:val="19"/>
        </w:rPr>
        <w:t xml:space="preserve">s and </w:t>
      </w:r>
      <w:r w:rsidR="00771122" w:rsidRPr="00DC7A14">
        <w:rPr>
          <w:rFonts w:ascii="Times New Roman" w:hAnsi="Times New Roman" w:cs="Times New Roman"/>
          <w:sz w:val="19"/>
          <w:szCs w:val="19"/>
        </w:rPr>
        <w:t>Judicial Proceedings</w:t>
      </w:r>
      <w:r w:rsidRPr="00DC7A14">
        <w:rPr>
          <w:rFonts w:ascii="Times New Roman" w:hAnsi="Times New Roman" w:cs="Times New Roman"/>
          <w:sz w:val="19"/>
          <w:szCs w:val="19"/>
        </w:rPr>
        <w:t xml:space="preserve">: </w:t>
      </w:r>
      <w:r w:rsidR="00771122" w:rsidRPr="00DC7A14">
        <w:rPr>
          <w:rFonts w:ascii="Times New Roman" w:hAnsi="Times New Roman" w:cs="Times New Roman"/>
          <w:sz w:val="19"/>
          <w:szCs w:val="19"/>
        </w:rPr>
        <w:t xml:space="preserve">Problems </w:t>
      </w:r>
      <w:r w:rsidRPr="00DC7A14">
        <w:rPr>
          <w:rFonts w:ascii="Times New Roman" w:hAnsi="Times New Roman" w:cs="Times New Roman"/>
          <w:sz w:val="19"/>
          <w:szCs w:val="19"/>
        </w:rPr>
        <w:t xml:space="preserve">with the </w:t>
      </w:r>
      <w:r w:rsidR="00771122" w:rsidRPr="00DC7A14">
        <w:rPr>
          <w:rFonts w:ascii="Times New Roman" w:hAnsi="Times New Roman" w:cs="Times New Roman"/>
          <w:sz w:val="19"/>
          <w:szCs w:val="19"/>
        </w:rPr>
        <w:t xml:space="preserve">Presumptive Equivalence </w:t>
      </w:r>
      <w:r w:rsidRPr="00DC7A14">
        <w:rPr>
          <w:rFonts w:ascii="Times New Roman" w:hAnsi="Times New Roman" w:cs="Times New Roman"/>
          <w:sz w:val="19"/>
          <w:szCs w:val="19"/>
        </w:rPr>
        <w:t xml:space="preserve">of </w:t>
      </w:r>
      <w:r w:rsidR="00771122" w:rsidRPr="00DC7A14">
        <w:rPr>
          <w:rFonts w:ascii="Times New Roman" w:hAnsi="Times New Roman" w:cs="Times New Roman"/>
          <w:sz w:val="19"/>
          <w:szCs w:val="19"/>
        </w:rPr>
        <w:t>Rights</w:t>
      </w:r>
      <w:r w:rsidR="00616BEB" w:rsidRPr="00DC7A14">
        <w:rPr>
          <w:rFonts w:ascii="Times New Roman" w:hAnsi="Times New Roman" w:cs="Times New Roman"/>
          <w:sz w:val="19"/>
          <w:szCs w:val="19"/>
        </w:rPr>
        <w:t xml:space="preserve">’ </w:t>
      </w:r>
      <w:r w:rsidRPr="00DC7A14">
        <w:rPr>
          <w:rFonts w:ascii="Times New Roman" w:hAnsi="Times New Roman" w:cs="Times New Roman"/>
          <w:sz w:val="19"/>
          <w:szCs w:val="19"/>
        </w:rPr>
        <w:t xml:space="preserve">(2017) 9(2) </w:t>
      </w:r>
      <w:r w:rsidRPr="00DC7A14">
        <w:rPr>
          <w:rFonts w:ascii="Times New Roman" w:hAnsi="Times New Roman" w:cs="Times New Roman"/>
          <w:i/>
          <w:sz w:val="19"/>
          <w:szCs w:val="19"/>
        </w:rPr>
        <w:t>Journal of Media Law</w:t>
      </w:r>
      <w:r w:rsidRPr="00DC7A14">
        <w:rPr>
          <w:rFonts w:ascii="Times New Roman" w:hAnsi="Times New Roman" w:cs="Times New Roman"/>
          <w:sz w:val="19"/>
          <w:szCs w:val="19"/>
        </w:rPr>
        <w:t xml:space="preserve"> 215.</w:t>
      </w:r>
    </w:p>
  </w:footnote>
  <w:footnote w:id="417">
    <w:p w14:paraId="3F4CC90C" w14:textId="27FD93D3"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For a summary of the public figure doctrine in English and Welsh privacy law</w:t>
      </w:r>
      <w:r w:rsidR="00764800" w:rsidRPr="00DC7A14">
        <w:rPr>
          <w:rFonts w:ascii="Times New Roman" w:hAnsi="Times New Roman" w:cs="Times New Roman"/>
          <w:sz w:val="19"/>
          <w:szCs w:val="19"/>
        </w:rPr>
        <w:t xml:space="preserve"> and European human rights law</w:t>
      </w:r>
      <w:r w:rsidRPr="00DC7A14">
        <w:rPr>
          <w:rFonts w:ascii="Times New Roman" w:hAnsi="Times New Roman" w:cs="Times New Roman"/>
          <w:sz w:val="19"/>
          <w:szCs w:val="19"/>
        </w:rPr>
        <w:t>, see K</w:t>
      </w:r>
      <w:r w:rsidR="00A35F58" w:rsidRPr="00DC7A14">
        <w:rPr>
          <w:rFonts w:ascii="Times New Roman" w:hAnsi="Times New Roman" w:cs="Times New Roman"/>
          <w:sz w:val="19"/>
          <w:szCs w:val="19"/>
        </w:rPr>
        <w:t>irsty</w:t>
      </w:r>
      <w:r w:rsidRPr="00DC7A14">
        <w:rPr>
          <w:rFonts w:ascii="Times New Roman" w:hAnsi="Times New Roman" w:cs="Times New Roman"/>
          <w:sz w:val="19"/>
          <w:szCs w:val="19"/>
        </w:rPr>
        <w:t xml:space="preserve"> Hughes</w:t>
      </w:r>
      <w:r w:rsidR="00923F8A"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923F8A" w:rsidRPr="00DC7A14">
        <w:rPr>
          <w:rFonts w:ascii="Times New Roman" w:hAnsi="Times New Roman" w:cs="Times New Roman"/>
          <w:sz w:val="19"/>
          <w:szCs w:val="19"/>
        </w:rPr>
        <w:t>‘</w:t>
      </w:r>
      <w:r w:rsidRPr="00DC7A14">
        <w:rPr>
          <w:rFonts w:ascii="Times New Roman" w:hAnsi="Times New Roman" w:cs="Times New Roman"/>
          <w:sz w:val="19"/>
          <w:szCs w:val="19"/>
        </w:rPr>
        <w:t>The Public Figure Doctrine and the Right to Privacy</w:t>
      </w:r>
      <w:r w:rsidR="00923F8A" w:rsidRPr="00DC7A14">
        <w:rPr>
          <w:rFonts w:ascii="Times New Roman" w:hAnsi="Times New Roman" w:cs="Times New Roman"/>
          <w:sz w:val="19"/>
          <w:szCs w:val="19"/>
        </w:rPr>
        <w:t xml:space="preserve">’ </w:t>
      </w:r>
      <w:r w:rsidRPr="00DC7A14">
        <w:rPr>
          <w:rFonts w:ascii="Times New Roman" w:hAnsi="Times New Roman" w:cs="Times New Roman"/>
          <w:sz w:val="19"/>
          <w:szCs w:val="19"/>
        </w:rPr>
        <w:t>(2019)</w:t>
      </w:r>
      <w:r w:rsidR="00A35F58" w:rsidRPr="00DC7A14">
        <w:rPr>
          <w:rFonts w:ascii="Times New Roman" w:hAnsi="Times New Roman" w:cs="Times New Roman"/>
          <w:sz w:val="19"/>
          <w:szCs w:val="19"/>
        </w:rPr>
        <w:t xml:space="preserve"> 78(1)</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Cambridge Law Journal</w:t>
      </w:r>
      <w:r w:rsidRPr="00DC7A14">
        <w:rPr>
          <w:rFonts w:ascii="Times New Roman" w:hAnsi="Times New Roman" w:cs="Times New Roman"/>
          <w:sz w:val="19"/>
          <w:szCs w:val="19"/>
        </w:rPr>
        <w:t xml:space="preserve"> 70.</w:t>
      </w:r>
    </w:p>
  </w:footnote>
  <w:footnote w:id="418">
    <w:p w14:paraId="7FC9A0DB" w14:textId="7F7EBF9B"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Such actions have resulted in privacy injunctions (at least interim injunctions) in the English and Welsh jurisdiction</w:t>
      </w:r>
      <w:r w:rsidR="006E289F" w:rsidRPr="00DC7A14">
        <w:rPr>
          <w:rFonts w:ascii="Times New Roman" w:hAnsi="Times New Roman" w:cs="Times New Roman"/>
          <w:sz w:val="19"/>
          <w:szCs w:val="19"/>
        </w:rPr>
        <w:t>:</w:t>
      </w:r>
      <w:r w:rsidRPr="00DC7A14">
        <w:rPr>
          <w:rFonts w:ascii="Times New Roman" w:hAnsi="Times New Roman" w:cs="Times New Roman"/>
          <w:sz w:val="19"/>
          <w:szCs w:val="19"/>
        </w:rPr>
        <w:t xml:space="preserve"> </w:t>
      </w:r>
      <w:r w:rsidR="006E289F" w:rsidRPr="00DC7A14">
        <w:rPr>
          <w:rFonts w:ascii="Times New Roman" w:hAnsi="Times New Roman" w:cs="Times New Roman"/>
          <w:sz w:val="19"/>
          <w:szCs w:val="19"/>
        </w:rPr>
        <w:t>s</w:t>
      </w:r>
      <w:r w:rsidR="00D020E4" w:rsidRPr="00DC7A14">
        <w:rPr>
          <w:rFonts w:ascii="Times New Roman" w:hAnsi="Times New Roman" w:cs="Times New Roman"/>
          <w:sz w:val="19"/>
          <w:szCs w:val="19"/>
        </w:rPr>
        <w:t>ee</w:t>
      </w:r>
      <w:r w:rsidRPr="00DC7A14">
        <w:rPr>
          <w:rFonts w:ascii="Times New Roman" w:hAnsi="Times New Roman" w:cs="Times New Roman"/>
          <w:sz w:val="19"/>
          <w:szCs w:val="19"/>
        </w:rPr>
        <w:t xml:space="preserve">, </w:t>
      </w:r>
      <w:r w:rsidR="006E289F"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Pr="00DC7A14">
        <w:rPr>
          <w:rFonts w:ascii="Times New Roman" w:eastAsia="Calibri" w:hAnsi="Times New Roman" w:cs="Times New Roman"/>
          <w:i/>
          <w:color w:val="000000" w:themeColor="text1"/>
          <w:sz w:val="19"/>
          <w:szCs w:val="19"/>
        </w:rPr>
        <w:t>CTB</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v</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NGN</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Ltd</w:t>
      </w:r>
      <w:r w:rsidRPr="00DC7A14">
        <w:rPr>
          <w:rFonts w:ascii="Times New Roman" w:hAnsi="Times New Roman" w:cs="Times New Roman"/>
          <w:i/>
          <w:color w:val="000000" w:themeColor="text1"/>
          <w:sz w:val="19"/>
          <w:szCs w:val="19"/>
        </w:rPr>
        <w:t xml:space="preserve"> </w:t>
      </w:r>
      <w:r w:rsidRPr="00DC7A14">
        <w:rPr>
          <w:rFonts w:ascii="Times New Roman" w:hAnsi="Times New Roman" w:cs="Times New Roman"/>
          <w:color w:val="000000" w:themeColor="text1"/>
          <w:sz w:val="19"/>
          <w:szCs w:val="19"/>
        </w:rPr>
        <w:t xml:space="preserve">[2011] </w:t>
      </w:r>
      <w:r w:rsidRPr="00DC7A14">
        <w:rPr>
          <w:rFonts w:ascii="Times New Roman" w:eastAsia="Calibri" w:hAnsi="Times New Roman" w:cs="Times New Roman"/>
          <w:color w:val="000000" w:themeColor="text1"/>
          <w:sz w:val="19"/>
          <w:szCs w:val="19"/>
        </w:rPr>
        <w:t>EWHC</w:t>
      </w:r>
      <w:r w:rsidRPr="00DC7A14">
        <w:rPr>
          <w:rFonts w:ascii="Times New Roman" w:hAnsi="Times New Roman" w:cs="Times New Roman"/>
          <w:color w:val="000000" w:themeColor="text1"/>
          <w:sz w:val="19"/>
          <w:szCs w:val="19"/>
        </w:rPr>
        <w:t xml:space="preserve"> 1326 (</w:t>
      </w:r>
      <w:r w:rsidRPr="00DC7A14">
        <w:rPr>
          <w:rFonts w:ascii="Times New Roman" w:eastAsia="Calibri" w:hAnsi="Times New Roman" w:cs="Times New Roman"/>
          <w:color w:val="000000" w:themeColor="text1"/>
          <w:sz w:val="19"/>
          <w:szCs w:val="19"/>
        </w:rPr>
        <w:t xml:space="preserve">QB); </w:t>
      </w:r>
      <w:r w:rsidRPr="00DC7A14">
        <w:rPr>
          <w:rFonts w:ascii="Times New Roman" w:hAnsi="Times New Roman" w:cs="Times New Roman"/>
          <w:i/>
          <w:sz w:val="19"/>
          <w:szCs w:val="19"/>
        </w:rPr>
        <w:t xml:space="preserve">PJS v News Group Newspapers Ltd </w:t>
      </w:r>
      <w:r w:rsidRPr="00DC7A14">
        <w:rPr>
          <w:rFonts w:ascii="Times New Roman" w:hAnsi="Times New Roman" w:cs="Times New Roman"/>
          <w:sz w:val="19"/>
          <w:szCs w:val="19"/>
        </w:rPr>
        <w:t xml:space="preserve">[2016] AC 1081. </w:t>
      </w:r>
      <w:r w:rsidR="006E289F" w:rsidRPr="00DC7A14">
        <w:rPr>
          <w:rFonts w:ascii="Times New Roman" w:hAnsi="Times New Roman" w:cs="Times New Roman"/>
          <w:sz w:val="19"/>
          <w:szCs w:val="19"/>
        </w:rPr>
        <w:t xml:space="preserve">However, </w:t>
      </w:r>
      <w:r w:rsidRPr="00DC7A14">
        <w:rPr>
          <w:rFonts w:ascii="Times New Roman" w:hAnsi="Times New Roman" w:cs="Times New Roman"/>
          <w:sz w:val="19"/>
          <w:szCs w:val="19"/>
        </w:rPr>
        <w:t xml:space="preserve">some such applications have </w:t>
      </w:r>
      <w:r w:rsidR="006E289F" w:rsidRPr="00DC7A14">
        <w:rPr>
          <w:rFonts w:ascii="Times New Roman" w:hAnsi="Times New Roman" w:cs="Times New Roman"/>
          <w:sz w:val="19"/>
          <w:szCs w:val="19"/>
        </w:rPr>
        <w:t xml:space="preserve">also </w:t>
      </w:r>
      <w:r w:rsidRPr="00DC7A14">
        <w:rPr>
          <w:rFonts w:ascii="Times New Roman" w:hAnsi="Times New Roman" w:cs="Times New Roman"/>
          <w:sz w:val="19"/>
          <w:szCs w:val="19"/>
        </w:rPr>
        <w:t>failed</w:t>
      </w:r>
      <w:r w:rsidR="006E289F" w:rsidRPr="00DC7A14">
        <w:rPr>
          <w:rFonts w:ascii="Times New Roman" w:hAnsi="Times New Roman" w:cs="Times New Roman"/>
          <w:sz w:val="19"/>
          <w:szCs w:val="19"/>
        </w:rPr>
        <w:t>: see, eg</w:t>
      </w:r>
      <w:r w:rsidRPr="00DC7A14">
        <w:rPr>
          <w:rFonts w:ascii="Times New Roman" w:hAnsi="Times New Roman" w:cs="Times New Roman"/>
          <w:sz w:val="19"/>
          <w:szCs w:val="19"/>
        </w:rPr>
        <w:t xml:space="preserve">, </w:t>
      </w:r>
      <w:r w:rsidRPr="00DC7A14">
        <w:rPr>
          <w:rFonts w:ascii="Times New Roman" w:eastAsia="Calibri" w:hAnsi="Times New Roman" w:cs="Times New Roman"/>
          <w:i/>
          <w:color w:val="000000" w:themeColor="text1"/>
          <w:sz w:val="19"/>
          <w:szCs w:val="19"/>
        </w:rPr>
        <w:t>Theakston</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v</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MGN</w:t>
      </w:r>
      <w:r w:rsidRPr="00DC7A14">
        <w:rPr>
          <w:rFonts w:ascii="Times New Roman" w:hAnsi="Times New Roman" w:cs="Times New Roman"/>
          <w:i/>
          <w:color w:val="000000" w:themeColor="text1"/>
          <w:sz w:val="19"/>
          <w:szCs w:val="19"/>
        </w:rPr>
        <w:t xml:space="preserve"> </w:t>
      </w:r>
      <w:r w:rsidRPr="00DC7A14">
        <w:rPr>
          <w:rFonts w:ascii="Times New Roman" w:eastAsia="Calibri" w:hAnsi="Times New Roman" w:cs="Times New Roman"/>
          <w:i/>
          <w:color w:val="000000" w:themeColor="text1"/>
          <w:sz w:val="19"/>
          <w:szCs w:val="19"/>
        </w:rPr>
        <w:t>Ltd</w:t>
      </w:r>
      <w:r w:rsidRPr="00DC7A14">
        <w:rPr>
          <w:rFonts w:ascii="Times New Roman" w:hAnsi="Times New Roman" w:cs="Times New Roman"/>
          <w:color w:val="000000" w:themeColor="text1"/>
          <w:sz w:val="19"/>
          <w:szCs w:val="19"/>
        </w:rPr>
        <w:t xml:space="preserve"> [2002] </w:t>
      </w:r>
      <w:r w:rsidRPr="00DC7A14">
        <w:rPr>
          <w:rFonts w:ascii="Times New Roman" w:eastAsia="Calibri" w:hAnsi="Times New Roman" w:cs="Times New Roman"/>
          <w:color w:val="000000" w:themeColor="text1"/>
          <w:sz w:val="19"/>
          <w:szCs w:val="19"/>
        </w:rPr>
        <w:t>EMLR 22</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rPr>
        <w:t>YXB v TNO</w:t>
      </w:r>
      <w:r w:rsidRPr="00DC7A14">
        <w:rPr>
          <w:rFonts w:ascii="Times New Roman" w:hAnsi="Times New Roman" w:cs="Times New Roman"/>
          <w:sz w:val="19"/>
          <w:szCs w:val="19"/>
        </w:rPr>
        <w:t xml:space="preserve"> [2015] EWHC 826 (QB). Other such cases resulted in anonymity orders, requiring any publication of the relevant information not to reveal the identity of the other party: </w:t>
      </w:r>
      <w:r w:rsidR="008E1575" w:rsidRPr="00DC7A14">
        <w:rPr>
          <w:rFonts w:ascii="Times New Roman" w:hAnsi="Times New Roman" w:cs="Times New Roman"/>
          <w:sz w:val="19"/>
          <w:szCs w:val="19"/>
        </w:rPr>
        <w:t xml:space="preserve">see, eg, </w:t>
      </w:r>
      <w:r w:rsidRPr="00DC7A14">
        <w:rPr>
          <w:rFonts w:ascii="Times New Roman" w:hAnsi="Times New Roman" w:cs="Times New Roman"/>
          <w:bCs/>
          <w:i/>
          <w:iCs/>
          <w:color w:val="000000" w:themeColor="text1"/>
          <w:sz w:val="19"/>
          <w:szCs w:val="19"/>
        </w:rPr>
        <w:t>NEJ v BDZ</w:t>
      </w:r>
      <w:r w:rsidRPr="00DC7A14">
        <w:rPr>
          <w:rFonts w:ascii="Times New Roman" w:hAnsi="Times New Roman" w:cs="Times New Roman"/>
          <w:bCs/>
          <w:color w:val="000000" w:themeColor="text1"/>
          <w:sz w:val="19"/>
          <w:szCs w:val="19"/>
        </w:rPr>
        <w:t xml:space="preserve"> [2011] EWHC 1972 (QB); </w:t>
      </w:r>
      <w:r w:rsidRPr="00DC7A14">
        <w:rPr>
          <w:rFonts w:ascii="Times New Roman" w:hAnsi="Times New Roman" w:cs="Times New Roman"/>
          <w:bCs/>
          <w:i/>
          <w:iCs/>
          <w:color w:val="000000" w:themeColor="text1"/>
          <w:sz w:val="19"/>
          <w:szCs w:val="19"/>
        </w:rPr>
        <w:t xml:space="preserve">MJN v NGN Ltd </w:t>
      </w:r>
      <w:r w:rsidRPr="00DC7A14">
        <w:rPr>
          <w:rFonts w:ascii="Times New Roman" w:hAnsi="Times New Roman" w:cs="Times New Roman"/>
          <w:bCs/>
          <w:iCs/>
          <w:color w:val="000000" w:themeColor="text1"/>
          <w:sz w:val="19"/>
          <w:szCs w:val="19"/>
        </w:rPr>
        <w:t>[2011] EWHC 1192 (QB).</w:t>
      </w:r>
    </w:p>
  </w:footnote>
  <w:footnote w:id="419">
    <w:p w14:paraId="752CE70B" w14:textId="3B3D5EC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B14DB9"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Pr="00DC7A14">
        <w:rPr>
          <w:rFonts w:ascii="Times New Roman" w:eastAsia="Calibri" w:hAnsi="Times New Roman" w:cs="Times New Roman"/>
          <w:bCs/>
          <w:i/>
          <w:color w:val="000000" w:themeColor="text1"/>
          <w:sz w:val="19"/>
          <w:szCs w:val="19"/>
        </w:rPr>
        <w:t>Murray</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v</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Big</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Pictures</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Ltd</w:t>
      </w:r>
      <w:r w:rsidRPr="00DC7A14">
        <w:rPr>
          <w:rFonts w:ascii="Times New Roman" w:hAnsi="Times New Roman" w:cs="Times New Roman"/>
          <w:bCs/>
          <w:color w:val="000000" w:themeColor="text1"/>
          <w:sz w:val="19"/>
          <w:szCs w:val="19"/>
        </w:rPr>
        <w:t xml:space="preserve"> [2008] 3 </w:t>
      </w:r>
      <w:r w:rsidRPr="00DC7A14">
        <w:rPr>
          <w:rFonts w:ascii="Times New Roman" w:eastAsia="Calibri" w:hAnsi="Times New Roman" w:cs="Times New Roman"/>
          <w:bCs/>
          <w:color w:val="000000" w:themeColor="text1"/>
          <w:sz w:val="19"/>
          <w:szCs w:val="19"/>
        </w:rPr>
        <w:t>WLR</w:t>
      </w:r>
      <w:r w:rsidRPr="00DC7A14">
        <w:rPr>
          <w:rFonts w:ascii="Times New Roman" w:hAnsi="Times New Roman" w:cs="Times New Roman"/>
          <w:bCs/>
          <w:color w:val="000000" w:themeColor="text1"/>
          <w:sz w:val="19"/>
          <w:szCs w:val="19"/>
        </w:rPr>
        <w:t xml:space="preserve"> 1360</w:t>
      </w:r>
      <w:r w:rsidR="009A03F0" w:rsidRPr="00DC7A14">
        <w:rPr>
          <w:rFonts w:ascii="Times New Roman" w:hAnsi="Times New Roman" w:cs="Times New Roman"/>
          <w:bCs/>
          <w:color w:val="000000" w:themeColor="text1"/>
          <w:sz w:val="19"/>
          <w:szCs w:val="19"/>
        </w:rPr>
        <w:t xml:space="preserve">; </w:t>
      </w:r>
      <w:r w:rsidRPr="00DC7A14">
        <w:rPr>
          <w:rFonts w:ascii="Times New Roman" w:eastAsia="Calibri" w:hAnsi="Times New Roman" w:cs="Times New Roman"/>
          <w:bCs/>
          <w:i/>
          <w:color w:val="000000" w:themeColor="text1"/>
          <w:sz w:val="19"/>
          <w:szCs w:val="19"/>
        </w:rPr>
        <w:t>Weller</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v</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Associated</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Newspapers</w:t>
      </w:r>
      <w:r w:rsidRPr="00DC7A14">
        <w:rPr>
          <w:rFonts w:ascii="Times New Roman" w:hAnsi="Times New Roman" w:cs="Times New Roman"/>
          <w:bCs/>
          <w:i/>
          <w:color w:val="000000" w:themeColor="text1"/>
          <w:sz w:val="19"/>
          <w:szCs w:val="19"/>
        </w:rPr>
        <w:t xml:space="preserve"> </w:t>
      </w:r>
      <w:r w:rsidRPr="00DC7A14">
        <w:rPr>
          <w:rFonts w:ascii="Times New Roman" w:eastAsia="Calibri" w:hAnsi="Times New Roman" w:cs="Times New Roman"/>
          <w:bCs/>
          <w:i/>
          <w:color w:val="000000" w:themeColor="text1"/>
          <w:sz w:val="19"/>
          <w:szCs w:val="19"/>
        </w:rPr>
        <w:t>Ltd</w:t>
      </w:r>
      <w:r w:rsidRPr="00DC7A14">
        <w:rPr>
          <w:rFonts w:ascii="Times New Roman" w:hAnsi="Times New Roman" w:cs="Times New Roman"/>
          <w:color w:val="000000" w:themeColor="text1"/>
          <w:sz w:val="19"/>
          <w:szCs w:val="19"/>
        </w:rPr>
        <w:t xml:space="preserve"> [2016] 1 </w:t>
      </w:r>
      <w:r w:rsidRPr="00DC7A14">
        <w:rPr>
          <w:rFonts w:ascii="Times New Roman" w:eastAsia="Calibri" w:hAnsi="Times New Roman" w:cs="Times New Roman"/>
          <w:color w:val="000000" w:themeColor="text1"/>
          <w:sz w:val="19"/>
          <w:szCs w:val="19"/>
        </w:rPr>
        <w:t>WLR</w:t>
      </w:r>
      <w:r w:rsidRPr="00DC7A14">
        <w:rPr>
          <w:rFonts w:ascii="Times New Roman" w:hAnsi="Times New Roman" w:cs="Times New Roman"/>
          <w:color w:val="000000" w:themeColor="text1"/>
          <w:sz w:val="19"/>
          <w:szCs w:val="19"/>
        </w:rPr>
        <w:t xml:space="preserve"> 1541</w:t>
      </w:r>
      <w:r w:rsidRPr="00DC7A14">
        <w:rPr>
          <w:rFonts w:ascii="Times New Roman" w:hAnsi="Times New Roman" w:cs="Times New Roman"/>
          <w:sz w:val="19"/>
          <w:szCs w:val="19"/>
        </w:rPr>
        <w:t>.</w:t>
      </w:r>
    </w:p>
  </w:footnote>
  <w:footnote w:id="420">
    <w:p w14:paraId="56A88A01" w14:textId="3C694857"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As noted above, there is no privacy-specific regulation </w:t>
      </w:r>
      <w:r w:rsidR="00DB3208" w:rsidRPr="00DC7A14">
        <w:rPr>
          <w:rFonts w:ascii="Times New Roman" w:hAnsi="Times New Roman" w:cs="Times New Roman"/>
          <w:sz w:val="19"/>
          <w:szCs w:val="19"/>
        </w:rPr>
        <w:t xml:space="preserve">on </w:t>
      </w:r>
      <w:r w:rsidRPr="00DC7A14">
        <w:rPr>
          <w:rFonts w:ascii="Times New Roman" w:hAnsi="Times New Roman" w:cs="Times New Roman"/>
          <w:sz w:val="19"/>
          <w:szCs w:val="19"/>
        </w:rPr>
        <w:t>the use of drones in Australia.</w:t>
      </w:r>
    </w:p>
  </w:footnote>
  <w:footnote w:id="421">
    <w:p w14:paraId="1AC32FB1" w14:textId="2A98F6A4"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w:t>
      </w:r>
      <w:r w:rsidR="00B62709" w:rsidRPr="00DC7A14">
        <w:rPr>
          <w:rFonts w:ascii="Times New Roman" w:hAnsi="Times New Roman" w:cs="Times New Roman"/>
          <w:sz w:val="19"/>
          <w:szCs w:val="19"/>
        </w:rPr>
        <w:t>eg</w:t>
      </w:r>
      <w:r w:rsidRPr="00DC7A14">
        <w:rPr>
          <w:rFonts w:ascii="Times New Roman" w:hAnsi="Times New Roman" w:cs="Times New Roman"/>
          <w:sz w:val="19"/>
          <w:szCs w:val="19"/>
        </w:rPr>
        <w:t xml:space="preserve">, </w:t>
      </w:r>
      <w:r w:rsidRPr="00DC7A14">
        <w:rPr>
          <w:rFonts w:ascii="Times New Roman" w:hAnsi="Times New Roman" w:cs="Times New Roman"/>
          <w:i/>
          <w:sz w:val="19"/>
          <w:szCs w:val="19"/>
          <w:lang w:val="de-DE"/>
        </w:rPr>
        <w:t xml:space="preserve">C v Holland </w:t>
      </w:r>
      <w:r w:rsidRPr="00DC7A14">
        <w:rPr>
          <w:rFonts w:ascii="Times New Roman" w:hAnsi="Times New Roman" w:cs="Times New Roman"/>
          <w:sz w:val="19"/>
          <w:szCs w:val="19"/>
          <w:lang w:val="de-DE"/>
        </w:rPr>
        <w:t>[2012] 3 NZLR 672</w:t>
      </w:r>
      <w:r w:rsidR="00A9132C" w:rsidRPr="00DC7A14">
        <w:rPr>
          <w:rFonts w:ascii="Times New Roman" w:hAnsi="Times New Roman" w:cs="Times New Roman"/>
          <w:sz w:val="19"/>
          <w:szCs w:val="19"/>
          <w:lang w:val="de-DE"/>
        </w:rPr>
        <w:t xml:space="preserve"> (</w:t>
      </w:r>
      <w:r w:rsidR="00B4330D" w:rsidRPr="00DC7A14">
        <w:rPr>
          <w:rFonts w:ascii="Times New Roman" w:hAnsi="Times New Roman" w:cs="Times New Roman"/>
          <w:sz w:val="19"/>
          <w:szCs w:val="19"/>
          <w:lang w:val="de-DE"/>
        </w:rPr>
        <w:t>High Court of New Zealand</w:t>
      </w:r>
      <w:r w:rsidR="00A9132C" w:rsidRPr="00DC7A14">
        <w:rPr>
          <w:rFonts w:ascii="Times New Roman" w:hAnsi="Times New Roman" w:cs="Times New Roman"/>
          <w:sz w:val="19"/>
          <w:szCs w:val="19"/>
          <w:lang w:val="de-DE"/>
        </w:rPr>
        <w:t>)</w:t>
      </w:r>
      <w:r w:rsidRPr="00DC7A14">
        <w:rPr>
          <w:rFonts w:ascii="Times New Roman" w:hAnsi="Times New Roman" w:cs="Times New Roman"/>
          <w:sz w:val="19"/>
          <w:szCs w:val="19"/>
        </w:rPr>
        <w:t xml:space="preserve">. See also </w:t>
      </w:r>
      <w:r w:rsidRPr="00DC7A14">
        <w:rPr>
          <w:rFonts w:ascii="Times New Roman" w:eastAsia="Times New Roman" w:hAnsi="Times New Roman" w:cs="Times New Roman"/>
          <w:sz w:val="19"/>
          <w:szCs w:val="19"/>
        </w:rPr>
        <w:t xml:space="preserve">NA Moreham, ‘Beyond Information: Physical Privacy in English Law’ (2014) 73(2) </w:t>
      </w:r>
      <w:r w:rsidRPr="00DC7A14">
        <w:rPr>
          <w:rFonts w:ascii="Times New Roman" w:eastAsia="Times New Roman" w:hAnsi="Times New Roman" w:cs="Times New Roman"/>
          <w:i/>
          <w:sz w:val="19"/>
          <w:szCs w:val="19"/>
        </w:rPr>
        <w:t>Cambridge Law Journal</w:t>
      </w:r>
      <w:r w:rsidRPr="00DC7A14">
        <w:rPr>
          <w:rFonts w:ascii="Times New Roman" w:eastAsia="Times New Roman" w:hAnsi="Times New Roman" w:cs="Times New Roman"/>
          <w:sz w:val="19"/>
          <w:szCs w:val="19"/>
        </w:rPr>
        <w:t xml:space="preserve"> 350</w:t>
      </w:r>
      <w:r w:rsidRPr="00DC7A14">
        <w:rPr>
          <w:rFonts w:ascii="Times New Roman" w:hAnsi="Times New Roman" w:cs="Times New Roman"/>
          <w:sz w:val="19"/>
          <w:szCs w:val="19"/>
        </w:rPr>
        <w:t xml:space="preserve">; P </w:t>
      </w:r>
      <w:r w:rsidRPr="00DC7A14">
        <w:rPr>
          <w:rFonts w:ascii="Times New Roman" w:eastAsia="Times New Roman" w:hAnsi="Times New Roman" w:cs="Times New Roman"/>
          <w:sz w:val="19"/>
          <w:szCs w:val="19"/>
        </w:rPr>
        <w:t xml:space="preserve">Wragg, ‘Recognising a Privacy-Invasion Tort: The Conceptual Unity of Informational and Intrusion Claims’ (2019) 78(2) </w:t>
      </w:r>
      <w:r w:rsidRPr="00DC7A14">
        <w:rPr>
          <w:rFonts w:ascii="Times New Roman" w:eastAsia="Times New Roman" w:hAnsi="Times New Roman" w:cs="Times New Roman"/>
          <w:i/>
          <w:sz w:val="19"/>
          <w:szCs w:val="19"/>
        </w:rPr>
        <w:t xml:space="preserve">Cambridge Law Journal </w:t>
      </w:r>
      <w:r w:rsidRPr="00DC7A14">
        <w:rPr>
          <w:rFonts w:ascii="Times New Roman" w:eastAsia="Times New Roman" w:hAnsi="Times New Roman" w:cs="Times New Roman"/>
          <w:sz w:val="19"/>
          <w:szCs w:val="19"/>
        </w:rPr>
        <w:t>409</w:t>
      </w:r>
      <w:r w:rsidRPr="00DC7A14">
        <w:rPr>
          <w:rFonts w:ascii="Times New Roman" w:hAnsi="Times New Roman" w:cs="Times New Roman"/>
          <w:sz w:val="19"/>
          <w:szCs w:val="19"/>
        </w:rPr>
        <w:t>.</w:t>
      </w:r>
    </w:p>
  </w:footnote>
  <w:footnote w:id="422">
    <w:p w14:paraId="2C0297D0" w14:textId="4BC804B2" w:rsidR="006A5AB7" w:rsidRDefault="006A5AB7">
      <w:pPr>
        <w:pStyle w:val="FootnoteText"/>
      </w:pPr>
      <w:r w:rsidRPr="006A5AB7">
        <w:rPr>
          <w:rStyle w:val="FootnoteReference"/>
          <w:rFonts w:ascii="Times New Roman" w:hAnsi="Times New Roman" w:cs="Times New Roman"/>
          <w:sz w:val="19"/>
          <w:szCs w:val="19"/>
        </w:rPr>
        <w:footnoteRef/>
      </w:r>
      <w:r w:rsidRPr="006A5AB7">
        <w:rPr>
          <w:rStyle w:val="FootnoteReference"/>
          <w:rFonts w:ascii="Times New Roman" w:hAnsi="Times New Roman" w:cs="Times New Roman"/>
          <w:sz w:val="19"/>
          <w:szCs w:val="19"/>
        </w:rPr>
        <w:t xml:space="preserve"> </w:t>
      </w:r>
      <w:r>
        <w:rPr>
          <w:rFonts w:ascii="Times New Roman" w:eastAsia="Times New Roman" w:hAnsi="Times New Roman" w:cs="Times New Roman"/>
          <w:sz w:val="19"/>
          <w:szCs w:val="19"/>
        </w:rPr>
        <w:t>E</w:t>
      </w:r>
      <w:r w:rsidRPr="006A5AB7">
        <w:rPr>
          <w:rFonts w:ascii="Times New Roman" w:eastAsia="Times New Roman" w:hAnsi="Times New Roman" w:cs="Times New Roman"/>
          <w:sz w:val="19"/>
          <w:szCs w:val="19"/>
        </w:rPr>
        <w:t>g</w:t>
      </w:r>
      <w:r>
        <w:rPr>
          <w:rFonts w:ascii="Times New Roman" w:eastAsia="Times New Roman" w:hAnsi="Times New Roman" w:cs="Times New Roman"/>
          <w:i/>
          <w:iCs/>
          <w:sz w:val="19"/>
          <w:szCs w:val="19"/>
        </w:rPr>
        <w:t xml:space="preserve"> P</w:t>
      </w:r>
      <w:r w:rsidRPr="006A5AB7">
        <w:rPr>
          <w:rFonts w:ascii="Times New Roman" w:eastAsia="Times New Roman" w:hAnsi="Times New Roman" w:cs="Times New Roman"/>
          <w:i/>
          <w:iCs/>
          <w:sz w:val="19"/>
          <w:szCs w:val="19"/>
        </w:rPr>
        <w:t>eters v Attorney-General</w:t>
      </w:r>
      <w:r w:rsidRPr="006A5AB7">
        <w:rPr>
          <w:rFonts w:ascii="Times New Roman" w:eastAsia="Times New Roman" w:hAnsi="Times New Roman" w:cs="Times New Roman"/>
          <w:sz w:val="19"/>
          <w:szCs w:val="19"/>
        </w:rPr>
        <w:t xml:space="preserve"> [2021] 3 NZLR 191; </w:t>
      </w:r>
      <w:r w:rsidRPr="006A5AB7">
        <w:rPr>
          <w:rFonts w:ascii="Times New Roman" w:eastAsia="Times New Roman" w:hAnsi="Times New Roman" w:cs="Times New Roman"/>
          <w:i/>
          <w:iCs/>
          <w:sz w:val="19"/>
          <w:szCs w:val="19"/>
        </w:rPr>
        <w:t>Hyndman v Walker</w:t>
      </w:r>
      <w:r w:rsidRPr="006A5AB7">
        <w:rPr>
          <w:rFonts w:ascii="Times New Roman" w:eastAsia="Times New Roman" w:hAnsi="Times New Roman" w:cs="Times New Roman"/>
          <w:sz w:val="19"/>
          <w:szCs w:val="19"/>
        </w:rPr>
        <w:t xml:space="preserve"> (2021) 12 NRNZ 503</w:t>
      </w:r>
      <w:r>
        <w:rPr>
          <w:rFonts w:ascii="Times New Roman" w:eastAsia="Times New Roman" w:hAnsi="Times New Roman" w:cs="Times New Roman"/>
          <w:sz w:val="19"/>
          <w:szCs w:val="19"/>
        </w:rPr>
        <w:t>.</w:t>
      </w:r>
    </w:p>
  </w:footnote>
  <w:footnote w:id="423">
    <w:p w14:paraId="76835740" w14:textId="5DA654F8" w:rsidR="00EE0776" w:rsidRPr="00DC7A14" w:rsidRDefault="00EE0776" w:rsidP="00EE077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Government of South Australia, Attorney-General’s Department, ‘State Records; Privacy Committee of South Australia’, available at </w:t>
      </w:r>
      <w:hyperlink r:id="rId20" w:history="1">
        <w:r w:rsidRPr="00DC7A14">
          <w:rPr>
            <w:rStyle w:val="Hyperlink"/>
            <w:rFonts w:ascii="Times New Roman" w:hAnsi="Times New Roman" w:cs="Times New Roman"/>
            <w:sz w:val="19"/>
            <w:szCs w:val="19"/>
          </w:rPr>
          <w:t>https://archives.sa.gov.au/general-information/privacy-committee/privacy-committee-sa</w:t>
        </w:r>
      </w:hyperlink>
      <w:r w:rsidRPr="00DC7A14">
        <w:rPr>
          <w:rFonts w:ascii="Times New Roman" w:hAnsi="Times New Roman" w:cs="Times New Roman"/>
          <w:sz w:val="19"/>
          <w:szCs w:val="19"/>
        </w:rPr>
        <w:t xml:space="preserve">. </w:t>
      </w:r>
    </w:p>
  </w:footnote>
  <w:footnote w:id="424">
    <w:p w14:paraId="27B72F28" w14:textId="6835EFD2" w:rsidR="00EE0776" w:rsidRPr="00DC7A14" w:rsidRDefault="00EE0776" w:rsidP="00EE077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Premier and Cabinet Circular, PC 012 – Information Privacy Principles (IPPs) Instruction, effective from May 2020, available at </w:t>
      </w:r>
      <w:hyperlink r:id="rId21" w:history="1">
        <w:r w:rsidRPr="00DC7A14">
          <w:rPr>
            <w:rStyle w:val="Hyperlink"/>
            <w:rFonts w:ascii="Times New Roman" w:hAnsi="Times New Roman" w:cs="Times New Roman"/>
            <w:sz w:val="19"/>
            <w:szCs w:val="19"/>
          </w:rPr>
          <w:t>https://www.dpc.sa.gov.au/resources-and-publications/premier-and-cabinet-circulars/DPC-Circular-Information-Privacy-Principles-IPPS-Instruction.pdf</w:t>
        </w:r>
      </w:hyperlink>
      <w:r w:rsidRPr="00DC7A14">
        <w:rPr>
          <w:rFonts w:ascii="Times New Roman" w:hAnsi="Times New Roman" w:cs="Times New Roman"/>
          <w:sz w:val="19"/>
          <w:szCs w:val="19"/>
        </w:rPr>
        <w:t xml:space="preserve">. </w:t>
      </w:r>
    </w:p>
  </w:footnote>
  <w:footnote w:id="425">
    <w:p w14:paraId="3998E394" w14:textId="086FF79F" w:rsidR="00EE0776" w:rsidRPr="00DC7A14" w:rsidRDefault="00EE0776" w:rsidP="00EE0776">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Health and Community Services Complaints Commissioner, ‘HCSCC Charter of Rights’, available at </w:t>
      </w:r>
      <w:hyperlink r:id="rId22" w:history="1">
        <w:r w:rsidRPr="00DC7A14">
          <w:rPr>
            <w:rStyle w:val="Hyperlink"/>
            <w:rFonts w:ascii="Times New Roman" w:hAnsi="Times New Roman" w:cs="Times New Roman"/>
            <w:sz w:val="19"/>
            <w:szCs w:val="19"/>
          </w:rPr>
          <w:t>https://www.hcscc.sa.gov.au/hcscc-charter-of-rights/</w:t>
        </w:r>
      </w:hyperlink>
      <w:r w:rsidRPr="00DC7A14">
        <w:rPr>
          <w:rFonts w:ascii="Times New Roman" w:hAnsi="Times New Roman" w:cs="Times New Roman"/>
          <w:sz w:val="19"/>
          <w:szCs w:val="19"/>
        </w:rPr>
        <w:t xml:space="preserve">. </w:t>
      </w:r>
    </w:p>
  </w:footnote>
  <w:footnote w:id="426">
    <w:p w14:paraId="48BB36C5" w14:textId="7B6092CE" w:rsidR="00D761C6" w:rsidRPr="00DC7A14" w:rsidRDefault="00D761C6" w:rsidP="00D83805">
      <w:pPr>
        <w:pStyle w:val="FootnoteText"/>
        <w:rPr>
          <w:rFonts w:ascii="Times New Roman" w:hAnsi="Times New Roman" w:cs="Times New Roman"/>
          <w:sz w:val="19"/>
          <w:szCs w:val="19"/>
        </w:rPr>
      </w:pPr>
      <w:r w:rsidRPr="00DC7A14">
        <w:rPr>
          <w:rStyle w:val="FootnoteReference"/>
          <w:rFonts w:ascii="Times New Roman" w:hAnsi="Times New Roman" w:cs="Times New Roman"/>
          <w:sz w:val="19"/>
          <w:szCs w:val="19"/>
        </w:rPr>
        <w:footnoteRef/>
      </w:r>
      <w:r w:rsidRPr="00DC7A14">
        <w:rPr>
          <w:rFonts w:ascii="Times New Roman" w:hAnsi="Times New Roman" w:cs="Times New Roman"/>
          <w:sz w:val="19"/>
          <w:szCs w:val="19"/>
        </w:rPr>
        <w:t xml:space="preserve"> See summaries and critical commentary</w:t>
      </w:r>
      <w:r w:rsidR="00B37C5A" w:rsidRPr="00DC7A14">
        <w:rPr>
          <w:rFonts w:ascii="Times New Roman" w:hAnsi="Times New Roman" w:cs="Times New Roman"/>
          <w:sz w:val="19"/>
          <w:szCs w:val="19"/>
        </w:rPr>
        <w:t xml:space="preserve"> at</w:t>
      </w:r>
      <w:r w:rsidRPr="00DC7A14">
        <w:rPr>
          <w:rFonts w:ascii="Times New Roman" w:hAnsi="Times New Roman" w:cs="Times New Roman"/>
          <w:sz w:val="19"/>
          <w:szCs w:val="19"/>
        </w:rPr>
        <w:t xml:space="preserve"> T Wilson ‘Privacy </w:t>
      </w:r>
      <w:r w:rsidR="003F7D41" w:rsidRPr="00DC7A14">
        <w:rPr>
          <w:rFonts w:ascii="Times New Roman" w:hAnsi="Times New Roman" w:cs="Times New Roman"/>
          <w:sz w:val="19"/>
          <w:szCs w:val="19"/>
        </w:rPr>
        <w:t xml:space="preserve">Law Recommended’ </w:t>
      </w:r>
      <w:r w:rsidRPr="00DC7A14">
        <w:rPr>
          <w:rFonts w:ascii="Times New Roman" w:hAnsi="Times New Roman" w:cs="Times New Roman"/>
          <w:sz w:val="19"/>
          <w:szCs w:val="19"/>
        </w:rPr>
        <w:t xml:space="preserve">(2007) 4 </w:t>
      </w:r>
      <w:r w:rsidRPr="00DC7A14">
        <w:rPr>
          <w:rFonts w:ascii="Times New Roman" w:hAnsi="Times New Roman" w:cs="Times New Roman"/>
          <w:i/>
          <w:sz w:val="19"/>
          <w:szCs w:val="19"/>
        </w:rPr>
        <w:t>Privacy Law Bulletin</w:t>
      </w:r>
      <w:r w:rsidRPr="00DC7A14">
        <w:rPr>
          <w:rFonts w:ascii="Times New Roman" w:hAnsi="Times New Roman" w:cs="Times New Roman"/>
          <w:sz w:val="19"/>
          <w:szCs w:val="19"/>
        </w:rPr>
        <w:t xml:space="preserve"> 38; N</w:t>
      </w:r>
      <w:r w:rsidR="00872F1B" w:rsidRPr="00DC7A14">
        <w:rPr>
          <w:rFonts w:ascii="Times New Roman" w:hAnsi="Times New Roman" w:cs="Times New Roman"/>
          <w:sz w:val="19"/>
          <w:szCs w:val="19"/>
        </w:rPr>
        <w:t>ormann</w:t>
      </w:r>
      <w:r w:rsidRPr="00DC7A14">
        <w:rPr>
          <w:rFonts w:ascii="Times New Roman" w:hAnsi="Times New Roman" w:cs="Times New Roman"/>
          <w:sz w:val="19"/>
          <w:szCs w:val="19"/>
        </w:rPr>
        <w:t xml:space="preserve"> Witzleb</w:t>
      </w:r>
      <w:r w:rsidR="00872F1B" w:rsidRPr="00DC7A14">
        <w:rPr>
          <w:rFonts w:ascii="Times New Roman" w:hAnsi="Times New Roman" w:cs="Times New Roman"/>
          <w:sz w:val="19"/>
          <w:szCs w:val="19"/>
        </w:rPr>
        <w:t>,</w:t>
      </w:r>
      <w:r w:rsidRPr="00DC7A14">
        <w:rPr>
          <w:rFonts w:ascii="Times New Roman" w:hAnsi="Times New Roman" w:cs="Times New Roman"/>
          <w:sz w:val="19"/>
          <w:szCs w:val="19"/>
        </w:rPr>
        <w:t xml:space="preserve"> ‘A </w:t>
      </w:r>
      <w:r w:rsidR="00872F1B" w:rsidRPr="00DC7A14">
        <w:rPr>
          <w:rFonts w:ascii="Times New Roman" w:hAnsi="Times New Roman" w:cs="Times New Roman"/>
          <w:sz w:val="19"/>
          <w:szCs w:val="19"/>
        </w:rPr>
        <w:t xml:space="preserve">Statutory Cause </w:t>
      </w:r>
      <w:r w:rsidRPr="00DC7A14">
        <w:rPr>
          <w:rFonts w:ascii="Times New Roman" w:hAnsi="Times New Roman" w:cs="Times New Roman"/>
          <w:sz w:val="19"/>
          <w:szCs w:val="19"/>
        </w:rPr>
        <w:t xml:space="preserve">of </w:t>
      </w:r>
      <w:r w:rsidR="00872F1B" w:rsidRPr="00DC7A14">
        <w:rPr>
          <w:rFonts w:ascii="Times New Roman" w:hAnsi="Times New Roman" w:cs="Times New Roman"/>
          <w:sz w:val="19"/>
          <w:szCs w:val="19"/>
        </w:rPr>
        <w:t xml:space="preserve">Action </w:t>
      </w:r>
      <w:r w:rsidRPr="00DC7A14">
        <w:rPr>
          <w:rFonts w:ascii="Times New Roman" w:hAnsi="Times New Roman" w:cs="Times New Roman"/>
          <w:sz w:val="19"/>
          <w:szCs w:val="19"/>
        </w:rPr>
        <w:t xml:space="preserve">for </w:t>
      </w:r>
      <w:r w:rsidR="00872F1B" w:rsidRPr="00DC7A14">
        <w:rPr>
          <w:rFonts w:ascii="Times New Roman" w:hAnsi="Times New Roman" w:cs="Times New Roman"/>
          <w:sz w:val="19"/>
          <w:szCs w:val="19"/>
        </w:rPr>
        <w:t>Privacy</w:t>
      </w:r>
      <w:r w:rsidRPr="00DC7A14">
        <w:rPr>
          <w:rFonts w:ascii="Times New Roman" w:hAnsi="Times New Roman" w:cs="Times New Roman"/>
          <w:sz w:val="19"/>
          <w:szCs w:val="19"/>
        </w:rPr>
        <w:t xml:space="preserve">? A </w:t>
      </w:r>
      <w:r w:rsidR="00872F1B" w:rsidRPr="00DC7A14">
        <w:rPr>
          <w:rFonts w:ascii="Times New Roman" w:hAnsi="Times New Roman" w:cs="Times New Roman"/>
          <w:sz w:val="19"/>
          <w:szCs w:val="19"/>
        </w:rPr>
        <w:t xml:space="preserve">Critical Appraisal </w:t>
      </w:r>
      <w:r w:rsidRPr="00DC7A14">
        <w:rPr>
          <w:rFonts w:ascii="Times New Roman" w:hAnsi="Times New Roman" w:cs="Times New Roman"/>
          <w:sz w:val="19"/>
          <w:szCs w:val="19"/>
        </w:rPr>
        <w:t xml:space="preserve">of </w:t>
      </w:r>
      <w:r w:rsidR="00872F1B" w:rsidRPr="00DC7A14">
        <w:rPr>
          <w:rFonts w:ascii="Times New Roman" w:hAnsi="Times New Roman" w:cs="Times New Roman"/>
          <w:sz w:val="19"/>
          <w:szCs w:val="19"/>
        </w:rPr>
        <w:t xml:space="preserve">Three Recent </w:t>
      </w:r>
      <w:r w:rsidRPr="00DC7A14">
        <w:rPr>
          <w:rFonts w:ascii="Times New Roman" w:hAnsi="Times New Roman" w:cs="Times New Roman"/>
          <w:sz w:val="19"/>
          <w:szCs w:val="19"/>
        </w:rPr>
        <w:t xml:space="preserve">Australian </w:t>
      </w:r>
      <w:r w:rsidR="00872F1B" w:rsidRPr="00DC7A14">
        <w:rPr>
          <w:rFonts w:ascii="Times New Roman" w:hAnsi="Times New Roman" w:cs="Times New Roman"/>
          <w:sz w:val="19"/>
          <w:szCs w:val="19"/>
        </w:rPr>
        <w:t xml:space="preserve">Law Reform Proposals’ </w:t>
      </w:r>
      <w:r w:rsidRPr="00DC7A14">
        <w:rPr>
          <w:rFonts w:ascii="Times New Roman" w:hAnsi="Times New Roman" w:cs="Times New Roman"/>
          <w:sz w:val="19"/>
          <w:szCs w:val="19"/>
        </w:rPr>
        <w:t xml:space="preserve">(2011) 19 </w:t>
      </w:r>
      <w:r w:rsidRPr="00DC7A14">
        <w:rPr>
          <w:rFonts w:ascii="Times New Roman" w:hAnsi="Times New Roman" w:cs="Times New Roman"/>
          <w:i/>
          <w:sz w:val="19"/>
          <w:szCs w:val="19"/>
        </w:rPr>
        <w:t>Torts Law Journal</w:t>
      </w:r>
      <w:r w:rsidRPr="00DC7A14">
        <w:rPr>
          <w:rFonts w:ascii="Times New Roman" w:hAnsi="Times New Roman" w:cs="Times New Roman"/>
          <w:sz w:val="19"/>
          <w:szCs w:val="19"/>
        </w:rPr>
        <w:t xml:space="preserve"> 104; </w:t>
      </w:r>
      <w:r w:rsidRPr="00DC7A14">
        <w:rPr>
          <w:rFonts w:ascii="Times New Roman" w:eastAsia="Times New Roman" w:hAnsi="Times New Roman" w:cs="Times New Roman"/>
          <w:sz w:val="19"/>
          <w:szCs w:val="19"/>
        </w:rPr>
        <w:t>N</w:t>
      </w:r>
      <w:r w:rsidR="004C68F3" w:rsidRPr="00DC7A14">
        <w:rPr>
          <w:rFonts w:ascii="Times New Roman" w:eastAsia="Times New Roman" w:hAnsi="Times New Roman" w:cs="Times New Roman"/>
          <w:sz w:val="19"/>
          <w:szCs w:val="19"/>
        </w:rPr>
        <w:t>ormann</w:t>
      </w:r>
      <w:r w:rsidRPr="00DC7A14">
        <w:rPr>
          <w:rFonts w:ascii="Times New Roman" w:eastAsia="Times New Roman" w:hAnsi="Times New Roman" w:cs="Times New Roman"/>
          <w:sz w:val="19"/>
          <w:szCs w:val="19"/>
        </w:rPr>
        <w:t xml:space="preserve"> Witzleb ‘Another Push for an Australian Privacy Tort’ (2020) 94(10) </w:t>
      </w:r>
      <w:r w:rsidRPr="00DC7A14">
        <w:rPr>
          <w:rFonts w:ascii="Times New Roman" w:eastAsia="Times New Roman" w:hAnsi="Times New Roman" w:cs="Times New Roman"/>
          <w:i/>
          <w:sz w:val="19"/>
          <w:szCs w:val="19"/>
        </w:rPr>
        <w:t>Australian Law Journal</w:t>
      </w:r>
      <w:r w:rsidRPr="00DC7A14">
        <w:rPr>
          <w:rFonts w:ascii="Times New Roman" w:eastAsia="Times New Roman" w:hAnsi="Times New Roman" w:cs="Times New Roman"/>
          <w:sz w:val="19"/>
          <w:szCs w:val="19"/>
        </w:rPr>
        <w:t xml:space="preserve"> 765.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AAFC" w14:textId="77777777" w:rsidR="008F4B00" w:rsidRPr="00CD4A93" w:rsidRDefault="008F4B00" w:rsidP="008F4B00">
    <w:pPr>
      <w:pBdr>
        <w:bottom w:val="single" w:sz="4" w:space="1" w:color="auto"/>
      </w:pBdr>
      <w:tabs>
        <w:tab w:val="right" w:pos="8931"/>
      </w:tabs>
      <w:spacing w:after="0" w:line="240" w:lineRule="auto"/>
      <w:rPr>
        <w:rFonts w:ascii="Times New Roman" w:hAnsi="Times New Roman" w:cs="Times New Roman"/>
        <w:sz w:val="20"/>
        <w:szCs w:val="20"/>
      </w:rPr>
    </w:pPr>
    <w:r w:rsidRPr="00CD4A93">
      <w:rPr>
        <w:rFonts w:ascii="Times New Roman" w:hAnsi="Times New Roman" w:cs="Times New Roman"/>
        <w:i/>
        <w:iCs/>
        <w:sz w:val="20"/>
        <w:szCs w:val="20"/>
      </w:rPr>
      <w:t>Review of Privacy Laws in Tasmania: TLRI Issues Paper no 32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99D" w14:textId="77777777" w:rsidR="008F4B00" w:rsidRPr="00CD4A93" w:rsidRDefault="008F4B00" w:rsidP="008F4B00">
    <w:pPr>
      <w:pBdr>
        <w:bottom w:val="single" w:sz="4" w:space="1" w:color="auto"/>
      </w:pBdr>
      <w:tabs>
        <w:tab w:val="right" w:pos="8931"/>
      </w:tabs>
      <w:spacing w:after="0" w:line="240" w:lineRule="auto"/>
      <w:rPr>
        <w:rFonts w:ascii="Times New Roman" w:hAnsi="Times New Roman" w:cs="Times New Roman"/>
        <w:sz w:val="20"/>
        <w:szCs w:val="20"/>
      </w:rPr>
    </w:pPr>
    <w:r w:rsidRPr="00CD4A93">
      <w:rPr>
        <w:rFonts w:ascii="Times New Roman" w:hAnsi="Times New Roman" w:cs="Times New Roman"/>
        <w:i/>
        <w:iCs/>
        <w:sz w:val="20"/>
        <w:szCs w:val="20"/>
      </w:rPr>
      <w:t>Review of Privacy Laws in Tasmania: TLRI Issues Paper no 32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FBF5" w14:textId="008577F3" w:rsidR="000A2BA3"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Part 4: Other protections of privacy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460" w14:textId="77777777" w:rsidR="008F4B00" w:rsidRPr="00CD4A93" w:rsidRDefault="008F4B00" w:rsidP="008F4B00">
    <w:pPr>
      <w:pBdr>
        <w:bottom w:val="single" w:sz="4" w:space="1" w:color="auto"/>
      </w:pBdr>
      <w:tabs>
        <w:tab w:val="right" w:pos="8931"/>
      </w:tabs>
      <w:spacing w:after="0" w:line="240" w:lineRule="auto"/>
      <w:rPr>
        <w:rFonts w:ascii="Times New Roman" w:hAnsi="Times New Roman" w:cs="Times New Roman"/>
        <w:sz w:val="20"/>
        <w:szCs w:val="20"/>
      </w:rPr>
    </w:pPr>
    <w:r w:rsidRPr="00CD4A93">
      <w:rPr>
        <w:rFonts w:ascii="Times New Roman" w:hAnsi="Times New Roman" w:cs="Times New Roman"/>
        <w:i/>
        <w:iCs/>
        <w:sz w:val="20"/>
        <w:szCs w:val="20"/>
      </w:rPr>
      <w:t>Review of Privacy Laws in Tasmania: TLRI Issues Paper no 32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98DA" w14:textId="77777777" w:rsidR="008F4B00"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Appendix 1: State and territory protection of privacy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9D0A" w14:textId="77777777" w:rsidR="008F4B00" w:rsidRPr="00CD4A93" w:rsidRDefault="008F4B00" w:rsidP="008F4B00">
    <w:pPr>
      <w:pBdr>
        <w:bottom w:val="single" w:sz="4" w:space="1" w:color="auto"/>
      </w:pBdr>
      <w:tabs>
        <w:tab w:val="right" w:pos="8931"/>
      </w:tabs>
      <w:spacing w:after="0" w:line="240" w:lineRule="auto"/>
      <w:rPr>
        <w:rFonts w:ascii="Times New Roman" w:hAnsi="Times New Roman" w:cs="Times New Roman"/>
        <w:sz w:val="20"/>
        <w:szCs w:val="20"/>
      </w:rPr>
    </w:pPr>
    <w:r w:rsidRPr="00CD4A93">
      <w:rPr>
        <w:rFonts w:ascii="Times New Roman" w:hAnsi="Times New Roman" w:cs="Times New Roman"/>
        <w:i/>
        <w:iCs/>
        <w:sz w:val="20"/>
        <w:szCs w:val="20"/>
      </w:rPr>
      <w:t>Review of Privacy Laws in Tasmania: TLRI Issues Paper no 32</w:t>
    </w:r>
  </w:p>
  <w:p w14:paraId="36E755B6" w14:textId="77777777" w:rsidR="00AD1632" w:rsidRPr="00CD4A93" w:rsidRDefault="00AD1632" w:rsidP="00AD1632">
    <w:pPr>
      <w:pStyle w:val="Header"/>
      <w:jc w:val="right"/>
      <w:rPr>
        <w:rFonts w:ascii="Times New Roman" w:hAnsi="Times New Roman" w:cs="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E445" w14:textId="77777777" w:rsidR="008F4B00"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Appendix 2: Law reform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A347" w14:textId="62586C60" w:rsidR="00AD1632" w:rsidRPr="00D912CD" w:rsidRDefault="00AD1632" w:rsidP="00D9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0F53" w14:textId="0CF14CA1" w:rsidR="00D912CD"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Part 1: Privacy protection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D4B" w14:textId="77777777" w:rsidR="008F4B00"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Part 2: Personal Information Protection Act 2004 (Tas) (‘PIPA’)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360" w14:textId="77777777" w:rsidR="008F4B00" w:rsidRPr="00CD4A93" w:rsidRDefault="008F4B00" w:rsidP="008F4B00">
    <w:pPr>
      <w:pBdr>
        <w:bottom w:val="single" w:sz="4" w:space="1" w:color="auto"/>
      </w:pBdr>
      <w:tabs>
        <w:tab w:val="right" w:pos="8931"/>
      </w:tabs>
      <w:spacing w:after="0" w:line="240" w:lineRule="auto"/>
      <w:rPr>
        <w:rFonts w:ascii="Times New Roman" w:hAnsi="Times New Roman" w:cs="Times New Roman"/>
        <w:sz w:val="20"/>
        <w:szCs w:val="20"/>
      </w:rPr>
    </w:pPr>
    <w:r w:rsidRPr="00CD4A93">
      <w:rPr>
        <w:rFonts w:ascii="Times New Roman" w:hAnsi="Times New Roman" w:cs="Times New Roman"/>
        <w:i/>
        <w:iCs/>
        <w:sz w:val="20"/>
        <w:szCs w:val="20"/>
      </w:rPr>
      <w:t>Review of Privacy Laws in Tasmania: TLRI Issues Paper no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828F" w14:textId="465F9E82" w:rsidR="008F4B00" w:rsidRPr="008F4B00" w:rsidRDefault="008F4B00" w:rsidP="008F4B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434B" w14:textId="71324047" w:rsidR="008F4B00" w:rsidRPr="00CD4A93" w:rsidRDefault="008F4B00" w:rsidP="008F4B00">
    <w:pPr>
      <w:pStyle w:val="Header"/>
      <w:pBdr>
        <w:bottom w:val="single" w:sz="2" w:space="1" w:color="auto"/>
      </w:pBdr>
      <w:jc w:val="right"/>
      <w:rPr>
        <w:rFonts w:ascii="Times New Roman" w:hAnsi="Times New Roman" w:cs="Times New Roman"/>
        <w:i/>
        <w:iCs/>
      </w:rPr>
    </w:pPr>
    <w:r w:rsidRPr="00CD4A93">
      <w:rPr>
        <w:rFonts w:ascii="Times New Roman" w:hAnsi="Times New Roman" w:cs="Times New Roman"/>
        <w:i/>
        <w:iCs/>
        <w:sz w:val="20"/>
        <w:szCs w:val="20"/>
      </w:rPr>
      <w:t>Part 3: Other legislation impacting the privacy of government held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192F" w14:textId="77777777" w:rsidR="0001286D" w:rsidRDefault="0001286D" w:rsidP="00AD1632">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D5BF" w14:textId="1EFFCDEF" w:rsidR="000A2BA3" w:rsidRPr="000A2BA3" w:rsidRDefault="000A2BA3" w:rsidP="000A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827C0"/>
    <w:multiLevelType w:val="multilevel"/>
    <w:tmpl w:val="CD0830E2"/>
    <w:styleLink w:val="CurrentList2"/>
    <w:lvl w:ilvl="0">
      <w:start w:val="1"/>
      <w:numFmt w:val="decimal"/>
      <w:lvlText w:val="%1."/>
      <w:lvlJc w:val="left"/>
      <w:pPr>
        <w:ind w:left="500" w:hanging="500"/>
      </w:pPr>
      <w:rPr>
        <w:rFonts w:ascii="Calibri" w:eastAsia="Calibri" w:hAnsi="Calibri" w:cs="Calibri" w:hint="default"/>
      </w:rPr>
    </w:lvl>
    <w:lvl w:ilvl="1">
      <w:start w:val="1"/>
      <w:numFmt w:val="decimal"/>
      <w:lvlText w:val="%1.%2."/>
      <w:lvlJc w:val="left"/>
      <w:pPr>
        <w:ind w:left="500" w:hanging="50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 w15:restartNumberingAfterBreak="0">
    <w:nsid w:val="094F5AE5"/>
    <w:multiLevelType w:val="hybridMultilevel"/>
    <w:tmpl w:val="8A60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A77D5"/>
    <w:multiLevelType w:val="hybridMultilevel"/>
    <w:tmpl w:val="E7B6E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B154B"/>
    <w:multiLevelType w:val="hybridMultilevel"/>
    <w:tmpl w:val="2BA0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81D75"/>
    <w:multiLevelType w:val="hybridMultilevel"/>
    <w:tmpl w:val="9EB28A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2987F43"/>
    <w:multiLevelType w:val="hybridMultilevel"/>
    <w:tmpl w:val="0F6290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5DE0E5A"/>
    <w:multiLevelType w:val="multilevel"/>
    <w:tmpl w:val="DBF6E92A"/>
    <w:styleLink w:val="CurrentList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6C0CAE"/>
    <w:multiLevelType w:val="hybridMultilevel"/>
    <w:tmpl w:val="43E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75F2A"/>
    <w:multiLevelType w:val="hybridMultilevel"/>
    <w:tmpl w:val="4378B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14685"/>
    <w:multiLevelType w:val="multilevel"/>
    <w:tmpl w:val="04F0DDFE"/>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74430C"/>
    <w:multiLevelType w:val="multilevel"/>
    <w:tmpl w:val="3E800742"/>
    <w:styleLink w:val="CurrentList9"/>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00E08"/>
    <w:multiLevelType w:val="multilevel"/>
    <w:tmpl w:val="DBD8A17E"/>
    <w:styleLink w:val="CurrentList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D5D78BA"/>
    <w:multiLevelType w:val="multilevel"/>
    <w:tmpl w:val="A40AA968"/>
    <w:styleLink w:val="CurrentList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9676BB"/>
    <w:multiLevelType w:val="hybridMultilevel"/>
    <w:tmpl w:val="8FC2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220D0"/>
    <w:multiLevelType w:val="hybridMultilevel"/>
    <w:tmpl w:val="EE2A5D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09F027A"/>
    <w:multiLevelType w:val="hybridMultilevel"/>
    <w:tmpl w:val="1D302B1A"/>
    <w:lvl w:ilvl="0" w:tplc="8D580F9A">
      <w:start w:val="1"/>
      <w:numFmt w:val="bullet"/>
      <w:pStyle w:val="DotPointTLR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604E2"/>
    <w:multiLevelType w:val="hybridMultilevel"/>
    <w:tmpl w:val="18AAB8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7EE5700"/>
    <w:multiLevelType w:val="hybridMultilevel"/>
    <w:tmpl w:val="D7F0C57A"/>
    <w:lvl w:ilvl="0" w:tplc="0C09000F">
      <w:start w:val="1"/>
      <w:numFmt w:val="decimal"/>
      <w:lvlText w:val="%1."/>
      <w:lvlJc w:val="left"/>
      <w:pPr>
        <w:ind w:left="0" w:hanging="360"/>
      </w:p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19" w15:restartNumberingAfterBreak="0">
    <w:nsid w:val="3A0169B8"/>
    <w:multiLevelType w:val="hybridMultilevel"/>
    <w:tmpl w:val="DD7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6306A"/>
    <w:multiLevelType w:val="hybridMultilevel"/>
    <w:tmpl w:val="02A02F5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715EF7"/>
    <w:multiLevelType w:val="hybridMultilevel"/>
    <w:tmpl w:val="C56E8D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1ED6C9B"/>
    <w:multiLevelType w:val="multilevel"/>
    <w:tmpl w:val="6F5C73F8"/>
    <w:lvl w:ilvl="0">
      <w:start w:val="1"/>
      <w:numFmt w:val="decimal"/>
      <w:suff w:val="nothing"/>
      <w:lvlText w:val="Part %1"/>
      <w:lvlJc w:val="left"/>
      <w:pPr>
        <w:ind w:left="6669" w:hanging="432"/>
      </w:pPr>
      <w:rPr>
        <w:rFonts w:asciiTheme="majorBidi" w:hAnsiTheme="majorBidi" w:cstheme="majorBidi" w:hint="default"/>
        <w:b/>
        <w:i w:val="0"/>
        <w:sz w:val="32"/>
      </w:rPr>
    </w:lvl>
    <w:lvl w:ilvl="1">
      <w:start w:val="1"/>
      <w:numFmt w:val="decimal"/>
      <w:lvlText w:val="%1.%2"/>
      <w:lvlJc w:val="left"/>
      <w:pPr>
        <w:tabs>
          <w:tab w:val="num" w:pos="3838"/>
        </w:tabs>
        <w:ind w:left="3118" w:firstLine="0"/>
      </w:pPr>
      <w:rPr>
        <w:rFonts w:asciiTheme="majorBidi" w:hAnsiTheme="majorBidi" w:cstheme="majorBidi" w:hint="default"/>
        <w:b/>
        <w:i w:val="0"/>
        <w:sz w:val="32"/>
      </w:rPr>
    </w:lvl>
    <w:lvl w:ilvl="2">
      <w:start w:val="1"/>
      <w:numFmt w:val="decimal"/>
      <w:lvlText w:val="%1.%2.%3"/>
      <w:lvlJc w:val="left"/>
      <w:pPr>
        <w:tabs>
          <w:tab w:val="num" w:pos="4689"/>
        </w:tabs>
        <w:ind w:left="3969" w:firstLine="0"/>
      </w:pPr>
      <w:rPr>
        <w:rFonts w:ascii="Times New Roman" w:hAnsi="Times New Roman" w:hint="default"/>
        <w:b w:val="0"/>
        <w:i/>
        <w:color w:val="auto"/>
        <w:position w:val="0"/>
        <w:sz w:val="21"/>
        <w:szCs w:val="21"/>
      </w:rPr>
    </w:lvl>
    <w:lvl w:ilvl="3">
      <w:start w:val="2"/>
      <w:numFmt w:val="none"/>
      <w:lvlText w:val=""/>
      <w:lvlJc w:val="left"/>
      <w:pPr>
        <w:tabs>
          <w:tab w:val="num" w:pos="2912"/>
        </w:tabs>
        <w:ind w:left="2552" w:firstLine="0"/>
      </w:pPr>
      <w:rPr>
        <w:rFonts w:hint="default"/>
      </w:rPr>
    </w:lvl>
    <w:lvl w:ilvl="4">
      <w:start w:val="1"/>
      <w:numFmt w:val="none"/>
      <w:lvlText w:val=""/>
      <w:lvlJc w:val="left"/>
      <w:pPr>
        <w:tabs>
          <w:tab w:val="num" w:pos="2709"/>
        </w:tabs>
        <w:ind w:left="2709" w:hanging="1008"/>
      </w:pPr>
      <w:rPr>
        <w:rFonts w:ascii="Times New Roman" w:hAnsi="Times New Roman" w:hint="default"/>
        <w:b/>
        <w:i w:val="0"/>
        <w:sz w:val="52"/>
      </w:rPr>
    </w:lvl>
    <w:lvl w:ilvl="5">
      <w:start w:val="1"/>
      <w:numFmt w:val="none"/>
      <w:lvlRestart w:val="1"/>
      <w:lvlText w:val=""/>
      <w:lvlJc w:val="left"/>
      <w:pPr>
        <w:tabs>
          <w:tab w:val="num" w:pos="2853"/>
        </w:tabs>
        <w:ind w:left="2853" w:hanging="1152"/>
      </w:pPr>
      <w:rPr>
        <w:rFonts w:hint="default"/>
      </w:rPr>
    </w:lvl>
    <w:lvl w:ilvl="6">
      <w:start w:val="1"/>
      <w:numFmt w:val="none"/>
      <w:lvlText w:val=""/>
      <w:lvlJc w:val="left"/>
      <w:pPr>
        <w:tabs>
          <w:tab w:val="num" w:pos="2997"/>
        </w:tabs>
        <w:ind w:left="2997" w:hanging="1296"/>
      </w:pPr>
      <w:rPr>
        <w:rFonts w:hint="default"/>
      </w:rPr>
    </w:lvl>
    <w:lvl w:ilvl="7">
      <w:start w:val="1"/>
      <w:numFmt w:val="none"/>
      <w:lvlText w:val=""/>
      <w:lvlJc w:val="left"/>
      <w:pPr>
        <w:tabs>
          <w:tab w:val="num" w:pos="3141"/>
        </w:tabs>
        <w:ind w:left="3141" w:hanging="1440"/>
      </w:pPr>
      <w:rPr>
        <w:rFonts w:hint="default"/>
      </w:rPr>
    </w:lvl>
    <w:lvl w:ilvl="8">
      <w:start w:val="1"/>
      <w:numFmt w:val="none"/>
      <w:lvlText w:val=""/>
      <w:lvlJc w:val="left"/>
      <w:pPr>
        <w:tabs>
          <w:tab w:val="num" w:pos="3285"/>
        </w:tabs>
        <w:ind w:left="3285" w:hanging="1584"/>
      </w:pPr>
      <w:rPr>
        <w:rFonts w:hint="default"/>
      </w:rPr>
    </w:lvl>
  </w:abstractNum>
  <w:abstractNum w:abstractNumId="23" w15:restartNumberingAfterBreak="0">
    <w:nsid w:val="42737712"/>
    <w:multiLevelType w:val="hybridMultilevel"/>
    <w:tmpl w:val="907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225AA"/>
    <w:multiLevelType w:val="hybridMultilevel"/>
    <w:tmpl w:val="5B2AE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9B4334"/>
    <w:multiLevelType w:val="hybridMultilevel"/>
    <w:tmpl w:val="DD32675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46491B0C"/>
    <w:multiLevelType w:val="hybridMultilevel"/>
    <w:tmpl w:val="55E002D6"/>
    <w:lvl w:ilvl="0" w:tplc="161A5244">
      <w:start w:val="1"/>
      <w:numFmt w:val="decimal"/>
      <w:pStyle w:val="Numberedlist"/>
      <w:lvlText w:val="%1."/>
      <w:lvlJc w:val="left"/>
      <w:pPr>
        <w:ind w:left="71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2A55FE"/>
    <w:multiLevelType w:val="multilevel"/>
    <w:tmpl w:val="F676BDE4"/>
    <w:styleLink w:val="CurrentList3"/>
    <w:lvl w:ilvl="0">
      <w:start w:val="1"/>
      <w:numFmt w:val="decimal"/>
      <w:lvlText w:val="%1."/>
      <w:lvlJc w:val="left"/>
      <w:pPr>
        <w:ind w:left="500" w:hanging="500"/>
      </w:pPr>
      <w:rPr>
        <w:rFonts w:ascii="Calibri" w:eastAsia="Calibri" w:hAnsi="Calibri" w:cs="Calibri" w:hint="default"/>
      </w:rPr>
    </w:lvl>
    <w:lvl w:ilvl="1">
      <w:start w:val="1"/>
      <w:numFmt w:val="decimal"/>
      <w:lvlText w:val="%1.%2."/>
      <w:lvlJc w:val="left"/>
      <w:pPr>
        <w:ind w:left="500" w:hanging="500"/>
      </w:pPr>
      <w:rPr>
        <w:rFonts w:ascii="Calibri" w:eastAsia="Calibri" w:hAnsi="Calibri" w:cs="Calibri" w:hint="default"/>
      </w:rPr>
    </w:lvl>
    <w:lvl w:ilvl="2">
      <w:start w:val="1"/>
      <w:numFmt w:val="decimal"/>
      <w:lvlText w:val="%1.%2.%3."/>
      <w:lvlJc w:val="left"/>
      <w:pPr>
        <w:ind w:left="720" w:hanging="720"/>
      </w:pPr>
      <w:rPr>
        <w:rFonts w:ascii="Calibri" w:hAnsi="Calibri" w:cs="Calibri" w:hint="default"/>
        <w:b w:val="0"/>
        <w:i/>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8" w15:restartNumberingAfterBreak="0">
    <w:nsid w:val="50A3321E"/>
    <w:multiLevelType w:val="hybridMultilevel"/>
    <w:tmpl w:val="DB0E6C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515B52C8"/>
    <w:multiLevelType w:val="multilevel"/>
    <w:tmpl w:val="C63A364C"/>
    <w:styleLink w:val="CurrentList5"/>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626D19"/>
    <w:multiLevelType w:val="hybridMultilevel"/>
    <w:tmpl w:val="5F6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61398"/>
    <w:multiLevelType w:val="hybridMultilevel"/>
    <w:tmpl w:val="BD1426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2" w15:restartNumberingAfterBreak="0">
    <w:nsid w:val="60D643C6"/>
    <w:multiLevelType w:val="hybridMultilevel"/>
    <w:tmpl w:val="8EC49DAE"/>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3" w15:restartNumberingAfterBreak="0">
    <w:nsid w:val="611F2BBD"/>
    <w:multiLevelType w:val="hybridMultilevel"/>
    <w:tmpl w:val="541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00D51"/>
    <w:multiLevelType w:val="hybridMultilevel"/>
    <w:tmpl w:val="2DD827EC"/>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E5B99"/>
    <w:multiLevelType w:val="hybridMultilevel"/>
    <w:tmpl w:val="B8ECEFCE"/>
    <w:lvl w:ilvl="0" w:tplc="53566B38">
      <w:start w:val="1"/>
      <w:numFmt w:val="bullet"/>
      <w:pStyle w:val="Dotpoin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653B"/>
    <w:multiLevelType w:val="multilevel"/>
    <w:tmpl w:val="3048C038"/>
    <w:styleLink w:val="CurrentList1"/>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F107F9"/>
    <w:multiLevelType w:val="hybridMultilevel"/>
    <w:tmpl w:val="2C369B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F056126"/>
    <w:multiLevelType w:val="multilevel"/>
    <w:tmpl w:val="1EA8544A"/>
    <w:lvl w:ilvl="0">
      <w:start w:val="1"/>
      <w:numFmt w:val="decimal"/>
      <w:pStyle w:val="PartNoTLRI"/>
      <w:suff w:val="nothing"/>
      <w:lvlText w:val="Part %1"/>
      <w:lvlJc w:val="left"/>
      <w:pPr>
        <w:ind w:left="432" w:hanging="432"/>
      </w:pPr>
      <w:rPr>
        <w:rFonts w:ascii="Times New Roman" w:hAnsi="Times New Roman" w:hint="default"/>
        <w:b/>
        <w:i w:val="0"/>
        <w:sz w:val="32"/>
      </w:rPr>
    </w:lvl>
    <w:lvl w:ilvl="1">
      <w:start w:val="1"/>
      <w:numFmt w:val="decimal"/>
      <w:pStyle w:val="NumberedHeadingTLRI"/>
      <w:lvlText w:val="%1.%2"/>
      <w:lvlJc w:val="left"/>
      <w:pPr>
        <w:tabs>
          <w:tab w:val="num" w:pos="1571"/>
        </w:tabs>
        <w:ind w:left="851"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ormalNumberedTextTLRI"/>
      <w:lvlText w:val="%1.%2.%3"/>
      <w:lvlJc w:val="left"/>
      <w:pPr>
        <w:tabs>
          <w:tab w:val="num" w:pos="2422"/>
        </w:tabs>
        <w:ind w:left="567" w:firstLine="0"/>
      </w:pPr>
      <w:rPr>
        <w:rFonts w:ascii="Times New Roman" w:hAnsi="Times New Roman" w:cs="Times New Roman" w:hint="default"/>
        <w:b w:val="0"/>
        <w:bCs w:val="0"/>
        <w:i/>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9" w15:restartNumberingAfterBreak="0">
    <w:nsid w:val="7B1C3252"/>
    <w:multiLevelType w:val="multilevel"/>
    <w:tmpl w:val="615EDF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0" w:firstLine="0"/>
      </w:pPr>
      <w:rPr>
        <w:rFonts w:hint="default"/>
        <w:b w:val="0"/>
        <w:i/>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F26306D"/>
    <w:multiLevelType w:val="hybridMultilevel"/>
    <w:tmpl w:val="0722FD1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5D6595"/>
    <w:multiLevelType w:val="hybridMultilevel"/>
    <w:tmpl w:val="AC70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491103">
    <w:abstractNumId w:val="39"/>
  </w:num>
  <w:num w:numId="2" w16cid:durableId="2022704128">
    <w:abstractNumId w:val="26"/>
  </w:num>
  <w:num w:numId="3" w16cid:durableId="1008368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498484">
    <w:abstractNumId w:val="23"/>
  </w:num>
  <w:num w:numId="5" w16cid:durableId="54016131">
    <w:abstractNumId w:val="30"/>
  </w:num>
  <w:num w:numId="6" w16cid:durableId="385877015">
    <w:abstractNumId w:val="34"/>
  </w:num>
  <w:num w:numId="7" w16cid:durableId="877934860">
    <w:abstractNumId w:val="5"/>
  </w:num>
  <w:num w:numId="8" w16cid:durableId="628512360">
    <w:abstractNumId w:val="4"/>
  </w:num>
  <w:num w:numId="9" w16cid:durableId="1283263187">
    <w:abstractNumId w:val="6"/>
  </w:num>
  <w:num w:numId="10" w16cid:durableId="1660379300">
    <w:abstractNumId w:val="17"/>
  </w:num>
  <w:num w:numId="11" w16cid:durableId="973608753">
    <w:abstractNumId w:val="2"/>
  </w:num>
  <w:num w:numId="12" w16cid:durableId="778451146">
    <w:abstractNumId w:val="37"/>
  </w:num>
  <w:num w:numId="13" w16cid:durableId="1637104766">
    <w:abstractNumId w:val="3"/>
  </w:num>
  <w:num w:numId="14" w16cid:durableId="1673949319">
    <w:abstractNumId w:val="14"/>
  </w:num>
  <w:num w:numId="15" w16cid:durableId="515970457">
    <w:abstractNumId w:val="15"/>
  </w:num>
  <w:num w:numId="16" w16cid:durableId="219053580">
    <w:abstractNumId w:val="28"/>
  </w:num>
  <w:num w:numId="17" w16cid:durableId="379403765">
    <w:abstractNumId w:val="41"/>
  </w:num>
  <w:num w:numId="18" w16cid:durableId="57215668">
    <w:abstractNumId w:val="31"/>
  </w:num>
  <w:num w:numId="19" w16cid:durableId="1545829080">
    <w:abstractNumId w:val="25"/>
  </w:num>
  <w:num w:numId="20" w16cid:durableId="1920865437">
    <w:abstractNumId w:val="36"/>
  </w:num>
  <w:num w:numId="21" w16cid:durableId="416632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1652343">
    <w:abstractNumId w:val="35"/>
  </w:num>
  <w:num w:numId="23" w16cid:durableId="1626891578">
    <w:abstractNumId w:val="33"/>
  </w:num>
  <w:num w:numId="24" w16cid:durableId="1105927433">
    <w:abstractNumId w:val="1"/>
  </w:num>
  <w:num w:numId="25" w16cid:durableId="2011643182">
    <w:abstractNumId w:val="27"/>
  </w:num>
  <w:num w:numId="26" w16cid:durableId="571889277">
    <w:abstractNumId w:val="10"/>
  </w:num>
  <w:num w:numId="27" w16cid:durableId="85461029">
    <w:abstractNumId w:val="29"/>
  </w:num>
  <w:num w:numId="28" w16cid:durableId="1801532881">
    <w:abstractNumId w:val="7"/>
  </w:num>
  <w:num w:numId="29" w16cid:durableId="632298616">
    <w:abstractNumId w:val="12"/>
  </w:num>
  <w:num w:numId="30" w16cid:durableId="1264263818">
    <w:abstractNumId w:val="13"/>
  </w:num>
  <w:num w:numId="31" w16cid:durableId="446313069">
    <w:abstractNumId w:val="26"/>
    <w:lvlOverride w:ilvl="0">
      <w:startOverride w:val="1"/>
    </w:lvlOverride>
  </w:num>
  <w:num w:numId="32" w16cid:durableId="404760241">
    <w:abstractNumId w:val="11"/>
  </w:num>
  <w:num w:numId="33" w16cid:durableId="2121610329">
    <w:abstractNumId w:val="20"/>
  </w:num>
  <w:num w:numId="34" w16cid:durableId="815030015">
    <w:abstractNumId w:val="40"/>
  </w:num>
  <w:num w:numId="35" w16cid:durableId="1728718390">
    <w:abstractNumId w:val="8"/>
  </w:num>
  <w:num w:numId="36" w16cid:durableId="1689677662">
    <w:abstractNumId w:val="16"/>
  </w:num>
  <w:num w:numId="37" w16cid:durableId="1263611823">
    <w:abstractNumId w:val="38"/>
  </w:num>
  <w:num w:numId="38" w16cid:durableId="607545796">
    <w:abstractNumId w:val="24"/>
  </w:num>
  <w:num w:numId="39" w16cid:durableId="70588464">
    <w:abstractNumId w:val="9"/>
  </w:num>
  <w:num w:numId="40" w16cid:durableId="889145816">
    <w:abstractNumId w:val="0"/>
  </w:num>
  <w:num w:numId="41" w16cid:durableId="7015126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8558765">
    <w:abstractNumId w:val="32"/>
  </w:num>
  <w:num w:numId="43" w16cid:durableId="122432459">
    <w:abstractNumId w:val="19"/>
  </w:num>
  <w:num w:numId="44" w16cid:durableId="1974364482">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Z+1lq/Gwzjvz0VMHYF/GqiFUYMv0YPdN/I92nP7WQOj+QOZYeT7KSDQ1bd6u5sw4XWwqNR7QQrH5trMN011+A==" w:salt="QOc35M5lDXQP0Q6IkkcMG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9B"/>
    <w:rsid w:val="00000042"/>
    <w:rsid w:val="0000020C"/>
    <w:rsid w:val="000003C7"/>
    <w:rsid w:val="00000873"/>
    <w:rsid w:val="0000091F"/>
    <w:rsid w:val="00000BF6"/>
    <w:rsid w:val="00001073"/>
    <w:rsid w:val="0000145F"/>
    <w:rsid w:val="00001554"/>
    <w:rsid w:val="0000158E"/>
    <w:rsid w:val="000018AA"/>
    <w:rsid w:val="00001D81"/>
    <w:rsid w:val="000025E2"/>
    <w:rsid w:val="0000285F"/>
    <w:rsid w:val="00002B8D"/>
    <w:rsid w:val="00002D87"/>
    <w:rsid w:val="00002E5C"/>
    <w:rsid w:val="00002F23"/>
    <w:rsid w:val="000031E5"/>
    <w:rsid w:val="00003E64"/>
    <w:rsid w:val="00003FD0"/>
    <w:rsid w:val="00004CEE"/>
    <w:rsid w:val="00004D86"/>
    <w:rsid w:val="00004E27"/>
    <w:rsid w:val="0000504D"/>
    <w:rsid w:val="0000511A"/>
    <w:rsid w:val="00005441"/>
    <w:rsid w:val="000055BE"/>
    <w:rsid w:val="00005873"/>
    <w:rsid w:val="000059FF"/>
    <w:rsid w:val="00005B72"/>
    <w:rsid w:val="00006112"/>
    <w:rsid w:val="000061A8"/>
    <w:rsid w:val="00006A7C"/>
    <w:rsid w:val="00006CB1"/>
    <w:rsid w:val="0000726A"/>
    <w:rsid w:val="000078AF"/>
    <w:rsid w:val="00007CCD"/>
    <w:rsid w:val="0001018F"/>
    <w:rsid w:val="000102EC"/>
    <w:rsid w:val="00010508"/>
    <w:rsid w:val="0001061E"/>
    <w:rsid w:val="0001073B"/>
    <w:rsid w:val="0001074E"/>
    <w:rsid w:val="00010D71"/>
    <w:rsid w:val="0001121D"/>
    <w:rsid w:val="00011273"/>
    <w:rsid w:val="00011481"/>
    <w:rsid w:val="000114CC"/>
    <w:rsid w:val="00011A2D"/>
    <w:rsid w:val="000121B3"/>
    <w:rsid w:val="000122AB"/>
    <w:rsid w:val="0001247E"/>
    <w:rsid w:val="000125F6"/>
    <w:rsid w:val="0001286B"/>
    <w:rsid w:val="0001286D"/>
    <w:rsid w:val="00012A57"/>
    <w:rsid w:val="00012B38"/>
    <w:rsid w:val="00012B8B"/>
    <w:rsid w:val="00012F9B"/>
    <w:rsid w:val="00012FA9"/>
    <w:rsid w:val="000130C9"/>
    <w:rsid w:val="000132E6"/>
    <w:rsid w:val="000139DE"/>
    <w:rsid w:val="00013C06"/>
    <w:rsid w:val="00013D29"/>
    <w:rsid w:val="00013F05"/>
    <w:rsid w:val="000149A9"/>
    <w:rsid w:val="00015402"/>
    <w:rsid w:val="00015973"/>
    <w:rsid w:val="00015D14"/>
    <w:rsid w:val="00015D3F"/>
    <w:rsid w:val="00016607"/>
    <w:rsid w:val="00016747"/>
    <w:rsid w:val="00016E21"/>
    <w:rsid w:val="00017167"/>
    <w:rsid w:val="000178FE"/>
    <w:rsid w:val="00020055"/>
    <w:rsid w:val="000202EB"/>
    <w:rsid w:val="00020598"/>
    <w:rsid w:val="000206F8"/>
    <w:rsid w:val="00020834"/>
    <w:rsid w:val="00021492"/>
    <w:rsid w:val="00021529"/>
    <w:rsid w:val="000215FE"/>
    <w:rsid w:val="00021D9D"/>
    <w:rsid w:val="00021E95"/>
    <w:rsid w:val="00021F31"/>
    <w:rsid w:val="00021F8F"/>
    <w:rsid w:val="00022440"/>
    <w:rsid w:val="00023039"/>
    <w:rsid w:val="00023F96"/>
    <w:rsid w:val="00024537"/>
    <w:rsid w:val="00024D91"/>
    <w:rsid w:val="0002504F"/>
    <w:rsid w:val="00025630"/>
    <w:rsid w:val="00025CBA"/>
    <w:rsid w:val="00025DF3"/>
    <w:rsid w:val="000262C4"/>
    <w:rsid w:val="00026BE2"/>
    <w:rsid w:val="00026F34"/>
    <w:rsid w:val="000271DA"/>
    <w:rsid w:val="00027289"/>
    <w:rsid w:val="000275F7"/>
    <w:rsid w:val="00027648"/>
    <w:rsid w:val="000300A0"/>
    <w:rsid w:val="00030386"/>
    <w:rsid w:val="000303C7"/>
    <w:rsid w:val="000307C2"/>
    <w:rsid w:val="00030A0A"/>
    <w:rsid w:val="00031113"/>
    <w:rsid w:val="00031973"/>
    <w:rsid w:val="00031AE1"/>
    <w:rsid w:val="00032C26"/>
    <w:rsid w:val="00032FE7"/>
    <w:rsid w:val="00033181"/>
    <w:rsid w:val="00033D6E"/>
    <w:rsid w:val="00033E73"/>
    <w:rsid w:val="00033EC0"/>
    <w:rsid w:val="000341D3"/>
    <w:rsid w:val="000342FB"/>
    <w:rsid w:val="00034330"/>
    <w:rsid w:val="0003448D"/>
    <w:rsid w:val="000345CC"/>
    <w:rsid w:val="0003481D"/>
    <w:rsid w:val="00034AD2"/>
    <w:rsid w:val="00034C72"/>
    <w:rsid w:val="00034CCC"/>
    <w:rsid w:val="00034CEE"/>
    <w:rsid w:val="00035895"/>
    <w:rsid w:val="00035949"/>
    <w:rsid w:val="00036077"/>
    <w:rsid w:val="0003637D"/>
    <w:rsid w:val="000365D2"/>
    <w:rsid w:val="000366F8"/>
    <w:rsid w:val="00036854"/>
    <w:rsid w:val="00036C5B"/>
    <w:rsid w:val="00036FE7"/>
    <w:rsid w:val="0003723A"/>
    <w:rsid w:val="00037B4C"/>
    <w:rsid w:val="00040124"/>
    <w:rsid w:val="0004013C"/>
    <w:rsid w:val="0004027F"/>
    <w:rsid w:val="00040498"/>
    <w:rsid w:val="0004074C"/>
    <w:rsid w:val="00040921"/>
    <w:rsid w:val="00040C9E"/>
    <w:rsid w:val="00040F1D"/>
    <w:rsid w:val="00040F74"/>
    <w:rsid w:val="00041012"/>
    <w:rsid w:val="00041023"/>
    <w:rsid w:val="00041429"/>
    <w:rsid w:val="000415F7"/>
    <w:rsid w:val="000419DD"/>
    <w:rsid w:val="00041BA0"/>
    <w:rsid w:val="00042268"/>
    <w:rsid w:val="00042381"/>
    <w:rsid w:val="00042405"/>
    <w:rsid w:val="00042430"/>
    <w:rsid w:val="000426C8"/>
    <w:rsid w:val="00042999"/>
    <w:rsid w:val="00042C4A"/>
    <w:rsid w:val="00042EF5"/>
    <w:rsid w:val="0004359D"/>
    <w:rsid w:val="000437AF"/>
    <w:rsid w:val="000438E0"/>
    <w:rsid w:val="00043CBD"/>
    <w:rsid w:val="00043F8A"/>
    <w:rsid w:val="00043FA5"/>
    <w:rsid w:val="000444AB"/>
    <w:rsid w:val="000446EB"/>
    <w:rsid w:val="0004497D"/>
    <w:rsid w:val="000449F3"/>
    <w:rsid w:val="00044B9A"/>
    <w:rsid w:val="00045102"/>
    <w:rsid w:val="000452C9"/>
    <w:rsid w:val="000455F7"/>
    <w:rsid w:val="00045623"/>
    <w:rsid w:val="0004588C"/>
    <w:rsid w:val="00045E35"/>
    <w:rsid w:val="00045FE2"/>
    <w:rsid w:val="000462E6"/>
    <w:rsid w:val="000464C4"/>
    <w:rsid w:val="00046695"/>
    <w:rsid w:val="000466A9"/>
    <w:rsid w:val="0004681F"/>
    <w:rsid w:val="00046CA6"/>
    <w:rsid w:val="00047091"/>
    <w:rsid w:val="000472EB"/>
    <w:rsid w:val="00047777"/>
    <w:rsid w:val="00050052"/>
    <w:rsid w:val="0005006C"/>
    <w:rsid w:val="000504E2"/>
    <w:rsid w:val="00050571"/>
    <w:rsid w:val="0005067A"/>
    <w:rsid w:val="00050A83"/>
    <w:rsid w:val="00050C9B"/>
    <w:rsid w:val="00050D5E"/>
    <w:rsid w:val="00050F42"/>
    <w:rsid w:val="00050F44"/>
    <w:rsid w:val="0005107E"/>
    <w:rsid w:val="00051302"/>
    <w:rsid w:val="000514BB"/>
    <w:rsid w:val="0005174D"/>
    <w:rsid w:val="00051816"/>
    <w:rsid w:val="00051A28"/>
    <w:rsid w:val="00051C77"/>
    <w:rsid w:val="00051FFB"/>
    <w:rsid w:val="000524A9"/>
    <w:rsid w:val="000525EF"/>
    <w:rsid w:val="00052BA2"/>
    <w:rsid w:val="00052F58"/>
    <w:rsid w:val="000532BB"/>
    <w:rsid w:val="00053504"/>
    <w:rsid w:val="000538AC"/>
    <w:rsid w:val="0005409C"/>
    <w:rsid w:val="000540EB"/>
    <w:rsid w:val="0005415C"/>
    <w:rsid w:val="000543AF"/>
    <w:rsid w:val="00054708"/>
    <w:rsid w:val="00054BF9"/>
    <w:rsid w:val="00054DEC"/>
    <w:rsid w:val="00054F21"/>
    <w:rsid w:val="0005531A"/>
    <w:rsid w:val="0005536E"/>
    <w:rsid w:val="00055478"/>
    <w:rsid w:val="000554C6"/>
    <w:rsid w:val="000558EC"/>
    <w:rsid w:val="00055BAF"/>
    <w:rsid w:val="00055FA3"/>
    <w:rsid w:val="000563B7"/>
    <w:rsid w:val="000564F9"/>
    <w:rsid w:val="0005660F"/>
    <w:rsid w:val="00056762"/>
    <w:rsid w:val="000568EC"/>
    <w:rsid w:val="000568F1"/>
    <w:rsid w:val="00056B4A"/>
    <w:rsid w:val="00056DED"/>
    <w:rsid w:val="00056E3B"/>
    <w:rsid w:val="00056F3E"/>
    <w:rsid w:val="00056F71"/>
    <w:rsid w:val="00056FE0"/>
    <w:rsid w:val="00057018"/>
    <w:rsid w:val="0005736E"/>
    <w:rsid w:val="000574C7"/>
    <w:rsid w:val="00057946"/>
    <w:rsid w:val="00057AE0"/>
    <w:rsid w:val="00057E90"/>
    <w:rsid w:val="000607AF"/>
    <w:rsid w:val="000608BC"/>
    <w:rsid w:val="00060D75"/>
    <w:rsid w:val="00060E5C"/>
    <w:rsid w:val="00060EC5"/>
    <w:rsid w:val="0006123C"/>
    <w:rsid w:val="00061396"/>
    <w:rsid w:val="00061F86"/>
    <w:rsid w:val="00061FCE"/>
    <w:rsid w:val="00062315"/>
    <w:rsid w:val="0006242A"/>
    <w:rsid w:val="00062509"/>
    <w:rsid w:val="000625F0"/>
    <w:rsid w:val="0006268B"/>
    <w:rsid w:val="000626F7"/>
    <w:rsid w:val="000627F4"/>
    <w:rsid w:val="00062967"/>
    <w:rsid w:val="00063699"/>
    <w:rsid w:val="000637C9"/>
    <w:rsid w:val="00063AFB"/>
    <w:rsid w:val="00063B81"/>
    <w:rsid w:val="00063BDC"/>
    <w:rsid w:val="00063C0B"/>
    <w:rsid w:val="000646B0"/>
    <w:rsid w:val="00064A44"/>
    <w:rsid w:val="00064BBB"/>
    <w:rsid w:val="00064C65"/>
    <w:rsid w:val="00064C6A"/>
    <w:rsid w:val="00064C83"/>
    <w:rsid w:val="00065354"/>
    <w:rsid w:val="000653E4"/>
    <w:rsid w:val="00065571"/>
    <w:rsid w:val="00065687"/>
    <w:rsid w:val="00065C5C"/>
    <w:rsid w:val="00065E18"/>
    <w:rsid w:val="000660B5"/>
    <w:rsid w:val="000660D8"/>
    <w:rsid w:val="000665D3"/>
    <w:rsid w:val="00066868"/>
    <w:rsid w:val="00066C8F"/>
    <w:rsid w:val="00066F88"/>
    <w:rsid w:val="0006737B"/>
    <w:rsid w:val="00067869"/>
    <w:rsid w:val="00067A7C"/>
    <w:rsid w:val="00067B34"/>
    <w:rsid w:val="00067BD6"/>
    <w:rsid w:val="00067E61"/>
    <w:rsid w:val="000707EC"/>
    <w:rsid w:val="00070F32"/>
    <w:rsid w:val="0007103B"/>
    <w:rsid w:val="00071A26"/>
    <w:rsid w:val="00071A91"/>
    <w:rsid w:val="00071AE9"/>
    <w:rsid w:val="00071C3A"/>
    <w:rsid w:val="00072036"/>
    <w:rsid w:val="00072C50"/>
    <w:rsid w:val="0007313D"/>
    <w:rsid w:val="0007354D"/>
    <w:rsid w:val="000735C6"/>
    <w:rsid w:val="00073671"/>
    <w:rsid w:val="00073EA5"/>
    <w:rsid w:val="00073ED4"/>
    <w:rsid w:val="0007400D"/>
    <w:rsid w:val="00074079"/>
    <w:rsid w:val="00074225"/>
    <w:rsid w:val="0007444D"/>
    <w:rsid w:val="00074569"/>
    <w:rsid w:val="000747CB"/>
    <w:rsid w:val="0007492D"/>
    <w:rsid w:val="0007498C"/>
    <w:rsid w:val="000749A2"/>
    <w:rsid w:val="00074C7B"/>
    <w:rsid w:val="00074DC2"/>
    <w:rsid w:val="00074F2C"/>
    <w:rsid w:val="0007555B"/>
    <w:rsid w:val="00075A2F"/>
    <w:rsid w:val="00075AD7"/>
    <w:rsid w:val="00075BAA"/>
    <w:rsid w:val="00075C04"/>
    <w:rsid w:val="00075C59"/>
    <w:rsid w:val="00075C9D"/>
    <w:rsid w:val="000764B5"/>
    <w:rsid w:val="000769AB"/>
    <w:rsid w:val="00076B68"/>
    <w:rsid w:val="00076B73"/>
    <w:rsid w:val="00076D73"/>
    <w:rsid w:val="00076F4E"/>
    <w:rsid w:val="0007722F"/>
    <w:rsid w:val="000774DD"/>
    <w:rsid w:val="00077659"/>
    <w:rsid w:val="000777F2"/>
    <w:rsid w:val="00077A05"/>
    <w:rsid w:val="00077DB3"/>
    <w:rsid w:val="00080044"/>
    <w:rsid w:val="0008023B"/>
    <w:rsid w:val="00080DD7"/>
    <w:rsid w:val="00080E13"/>
    <w:rsid w:val="00080E66"/>
    <w:rsid w:val="0008102A"/>
    <w:rsid w:val="00081043"/>
    <w:rsid w:val="000810F6"/>
    <w:rsid w:val="00081457"/>
    <w:rsid w:val="00081625"/>
    <w:rsid w:val="00081777"/>
    <w:rsid w:val="00081906"/>
    <w:rsid w:val="00081AED"/>
    <w:rsid w:val="00081B80"/>
    <w:rsid w:val="00081C04"/>
    <w:rsid w:val="0008233C"/>
    <w:rsid w:val="0008267D"/>
    <w:rsid w:val="000826BE"/>
    <w:rsid w:val="00082E71"/>
    <w:rsid w:val="00083117"/>
    <w:rsid w:val="000835EA"/>
    <w:rsid w:val="00083989"/>
    <w:rsid w:val="00083A96"/>
    <w:rsid w:val="00083B4C"/>
    <w:rsid w:val="00084BAC"/>
    <w:rsid w:val="00084BF6"/>
    <w:rsid w:val="0008513C"/>
    <w:rsid w:val="0008532E"/>
    <w:rsid w:val="00085400"/>
    <w:rsid w:val="0008557C"/>
    <w:rsid w:val="0008576F"/>
    <w:rsid w:val="0008596C"/>
    <w:rsid w:val="00085E0D"/>
    <w:rsid w:val="00085FC1"/>
    <w:rsid w:val="00086160"/>
    <w:rsid w:val="000863E5"/>
    <w:rsid w:val="00086489"/>
    <w:rsid w:val="000864EF"/>
    <w:rsid w:val="00086551"/>
    <w:rsid w:val="0008680C"/>
    <w:rsid w:val="0008692B"/>
    <w:rsid w:val="00086BD4"/>
    <w:rsid w:val="00086DAF"/>
    <w:rsid w:val="0008709C"/>
    <w:rsid w:val="00087541"/>
    <w:rsid w:val="00087613"/>
    <w:rsid w:val="000877BE"/>
    <w:rsid w:val="00087AD7"/>
    <w:rsid w:val="00087B38"/>
    <w:rsid w:val="00087D9B"/>
    <w:rsid w:val="000901A7"/>
    <w:rsid w:val="00090288"/>
    <w:rsid w:val="0009034F"/>
    <w:rsid w:val="00090492"/>
    <w:rsid w:val="00090945"/>
    <w:rsid w:val="00090A98"/>
    <w:rsid w:val="00090CD1"/>
    <w:rsid w:val="00090F93"/>
    <w:rsid w:val="0009100B"/>
    <w:rsid w:val="0009151B"/>
    <w:rsid w:val="000915AE"/>
    <w:rsid w:val="000918AE"/>
    <w:rsid w:val="000918B0"/>
    <w:rsid w:val="00091A19"/>
    <w:rsid w:val="00091C9F"/>
    <w:rsid w:val="00091CFF"/>
    <w:rsid w:val="000922C1"/>
    <w:rsid w:val="00092506"/>
    <w:rsid w:val="000927C2"/>
    <w:rsid w:val="00092B87"/>
    <w:rsid w:val="00092C18"/>
    <w:rsid w:val="00092DAB"/>
    <w:rsid w:val="00092FC3"/>
    <w:rsid w:val="0009320F"/>
    <w:rsid w:val="000932BD"/>
    <w:rsid w:val="0009356D"/>
    <w:rsid w:val="00093827"/>
    <w:rsid w:val="000938B5"/>
    <w:rsid w:val="00093E74"/>
    <w:rsid w:val="00094019"/>
    <w:rsid w:val="0009413E"/>
    <w:rsid w:val="000941F8"/>
    <w:rsid w:val="000947E3"/>
    <w:rsid w:val="00094DD3"/>
    <w:rsid w:val="0009515A"/>
    <w:rsid w:val="000953B9"/>
    <w:rsid w:val="00095F18"/>
    <w:rsid w:val="00096495"/>
    <w:rsid w:val="000969A6"/>
    <w:rsid w:val="00096A8E"/>
    <w:rsid w:val="00096ACC"/>
    <w:rsid w:val="00096AE1"/>
    <w:rsid w:val="000970B3"/>
    <w:rsid w:val="000970FE"/>
    <w:rsid w:val="000976AF"/>
    <w:rsid w:val="000977C6"/>
    <w:rsid w:val="0009786D"/>
    <w:rsid w:val="00097F5A"/>
    <w:rsid w:val="000A006D"/>
    <w:rsid w:val="000A035A"/>
    <w:rsid w:val="000A043A"/>
    <w:rsid w:val="000A07A2"/>
    <w:rsid w:val="000A0976"/>
    <w:rsid w:val="000A0A58"/>
    <w:rsid w:val="000A0AEB"/>
    <w:rsid w:val="000A0E69"/>
    <w:rsid w:val="000A1170"/>
    <w:rsid w:val="000A1173"/>
    <w:rsid w:val="000A129A"/>
    <w:rsid w:val="000A1ABC"/>
    <w:rsid w:val="000A1AF2"/>
    <w:rsid w:val="000A1C4B"/>
    <w:rsid w:val="000A1CFF"/>
    <w:rsid w:val="000A1D09"/>
    <w:rsid w:val="000A2004"/>
    <w:rsid w:val="000A20DB"/>
    <w:rsid w:val="000A2239"/>
    <w:rsid w:val="000A2408"/>
    <w:rsid w:val="000A2827"/>
    <w:rsid w:val="000A2B8E"/>
    <w:rsid w:val="000A2BA3"/>
    <w:rsid w:val="000A361F"/>
    <w:rsid w:val="000A3BB7"/>
    <w:rsid w:val="000A3D1C"/>
    <w:rsid w:val="000A41F6"/>
    <w:rsid w:val="000A45B8"/>
    <w:rsid w:val="000A46C7"/>
    <w:rsid w:val="000A47AC"/>
    <w:rsid w:val="000A4958"/>
    <w:rsid w:val="000A549D"/>
    <w:rsid w:val="000A57DB"/>
    <w:rsid w:val="000A57F2"/>
    <w:rsid w:val="000A5C66"/>
    <w:rsid w:val="000A6282"/>
    <w:rsid w:val="000A6362"/>
    <w:rsid w:val="000A6520"/>
    <w:rsid w:val="000A68FE"/>
    <w:rsid w:val="000A6ACC"/>
    <w:rsid w:val="000A6F06"/>
    <w:rsid w:val="000A7873"/>
    <w:rsid w:val="000A7C9F"/>
    <w:rsid w:val="000A7DB4"/>
    <w:rsid w:val="000A7F9E"/>
    <w:rsid w:val="000B00CD"/>
    <w:rsid w:val="000B01D4"/>
    <w:rsid w:val="000B0445"/>
    <w:rsid w:val="000B0DF0"/>
    <w:rsid w:val="000B1658"/>
    <w:rsid w:val="000B16F7"/>
    <w:rsid w:val="000B1871"/>
    <w:rsid w:val="000B1A04"/>
    <w:rsid w:val="000B1D91"/>
    <w:rsid w:val="000B2512"/>
    <w:rsid w:val="000B2DD4"/>
    <w:rsid w:val="000B34AF"/>
    <w:rsid w:val="000B3BA5"/>
    <w:rsid w:val="000B3C36"/>
    <w:rsid w:val="000B4A39"/>
    <w:rsid w:val="000B5172"/>
    <w:rsid w:val="000B51A9"/>
    <w:rsid w:val="000B52CD"/>
    <w:rsid w:val="000B5301"/>
    <w:rsid w:val="000B5345"/>
    <w:rsid w:val="000B53A7"/>
    <w:rsid w:val="000B5986"/>
    <w:rsid w:val="000B5B81"/>
    <w:rsid w:val="000B5C33"/>
    <w:rsid w:val="000B62A6"/>
    <w:rsid w:val="000B652C"/>
    <w:rsid w:val="000B673F"/>
    <w:rsid w:val="000B67B8"/>
    <w:rsid w:val="000B6B53"/>
    <w:rsid w:val="000B6C66"/>
    <w:rsid w:val="000B76B5"/>
    <w:rsid w:val="000B780C"/>
    <w:rsid w:val="000C01D8"/>
    <w:rsid w:val="000C03BA"/>
    <w:rsid w:val="000C04E0"/>
    <w:rsid w:val="000C0661"/>
    <w:rsid w:val="000C0779"/>
    <w:rsid w:val="000C0DAA"/>
    <w:rsid w:val="000C2174"/>
    <w:rsid w:val="000C245B"/>
    <w:rsid w:val="000C25D5"/>
    <w:rsid w:val="000C293D"/>
    <w:rsid w:val="000C2B4E"/>
    <w:rsid w:val="000C2D3B"/>
    <w:rsid w:val="000C306A"/>
    <w:rsid w:val="000C31E5"/>
    <w:rsid w:val="000C3300"/>
    <w:rsid w:val="000C338F"/>
    <w:rsid w:val="000C34DD"/>
    <w:rsid w:val="000C36B5"/>
    <w:rsid w:val="000C3784"/>
    <w:rsid w:val="000C38FB"/>
    <w:rsid w:val="000C3E6D"/>
    <w:rsid w:val="000C3EFE"/>
    <w:rsid w:val="000C3F37"/>
    <w:rsid w:val="000C4219"/>
    <w:rsid w:val="000C421A"/>
    <w:rsid w:val="000C4385"/>
    <w:rsid w:val="000C44DC"/>
    <w:rsid w:val="000C455E"/>
    <w:rsid w:val="000C4760"/>
    <w:rsid w:val="000C522E"/>
    <w:rsid w:val="000C5B72"/>
    <w:rsid w:val="000C5EDC"/>
    <w:rsid w:val="000C6667"/>
    <w:rsid w:val="000C681C"/>
    <w:rsid w:val="000C6EC7"/>
    <w:rsid w:val="000C728E"/>
    <w:rsid w:val="000C745F"/>
    <w:rsid w:val="000C7705"/>
    <w:rsid w:val="000C77A9"/>
    <w:rsid w:val="000C77CB"/>
    <w:rsid w:val="000C7950"/>
    <w:rsid w:val="000C7C2E"/>
    <w:rsid w:val="000C7E2E"/>
    <w:rsid w:val="000D031B"/>
    <w:rsid w:val="000D0338"/>
    <w:rsid w:val="000D0346"/>
    <w:rsid w:val="000D04E4"/>
    <w:rsid w:val="000D070D"/>
    <w:rsid w:val="000D08FA"/>
    <w:rsid w:val="000D09D9"/>
    <w:rsid w:val="000D16EA"/>
    <w:rsid w:val="000D17BE"/>
    <w:rsid w:val="000D1A1D"/>
    <w:rsid w:val="000D1A35"/>
    <w:rsid w:val="000D1B77"/>
    <w:rsid w:val="000D1FD3"/>
    <w:rsid w:val="000D26EA"/>
    <w:rsid w:val="000D290D"/>
    <w:rsid w:val="000D2AC1"/>
    <w:rsid w:val="000D2AE0"/>
    <w:rsid w:val="000D2C2D"/>
    <w:rsid w:val="000D2C84"/>
    <w:rsid w:val="000D2D9E"/>
    <w:rsid w:val="000D327D"/>
    <w:rsid w:val="000D3E8A"/>
    <w:rsid w:val="000D417A"/>
    <w:rsid w:val="000D42BB"/>
    <w:rsid w:val="000D42DB"/>
    <w:rsid w:val="000D4314"/>
    <w:rsid w:val="000D44E1"/>
    <w:rsid w:val="000D4AE9"/>
    <w:rsid w:val="000D4D8D"/>
    <w:rsid w:val="000D4DBA"/>
    <w:rsid w:val="000D5209"/>
    <w:rsid w:val="000D525B"/>
    <w:rsid w:val="000D52E8"/>
    <w:rsid w:val="000D53F2"/>
    <w:rsid w:val="000D5530"/>
    <w:rsid w:val="000D5626"/>
    <w:rsid w:val="000D5865"/>
    <w:rsid w:val="000D5B86"/>
    <w:rsid w:val="000D5CB0"/>
    <w:rsid w:val="000D6015"/>
    <w:rsid w:val="000D6406"/>
    <w:rsid w:val="000D664D"/>
    <w:rsid w:val="000D667F"/>
    <w:rsid w:val="000D6921"/>
    <w:rsid w:val="000D6A9F"/>
    <w:rsid w:val="000D6C7D"/>
    <w:rsid w:val="000D6EAE"/>
    <w:rsid w:val="000D701D"/>
    <w:rsid w:val="000D727E"/>
    <w:rsid w:val="000D761C"/>
    <w:rsid w:val="000D7666"/>
    <w:rsid w:val="000D7F27"/>
    <w:rsid w:val="000E0268"/>
    <w:rsid w:val="000E0919"/>
    <w:rsid w:val="000E1438"/>
    <w:rsid w:val="000E145D"/>
    <w:rsid w:val="000E1637"/>
    <w:rsid w:val="000E1849"/>
    <w:rsid w:val="000E22DC"/>
    <w:rsid w:val="000E28B0"/>
    <w:rsid w:val="000E2A1E"/>
    <w:rsid w:val="000E2AD9"/>
    <w:rsid w:val="000E2B2A"/>
    <w:rsid w:val="000E2CAE"/>
    <w:rsid w:val="000E2DEF"/>
    <w:rsid w:val="000E2FE5"/>
    <w:rsid w:val="000E34C9"/>
    <w:rsid w:val="000E34F0"/>
    <w:rsid w:val="000E35D9"/>
    <w:rsid w:val="000E4099"/>
    <w:rsid w:val="000E4309"/>
    <w:rsid w:val="000E45B8"/>
    <w:rsid w:val="000E45E3"/>
    <w:rsid w:val="000E46A4"/>
    <w:rsid w:val="000E46C2"/>
    <w:rsid w:val="000E4779"/>
    <w:rsid w:val="000E4A17"/>
    <w:rsid w:val="000E4B0C"/>
    <w:rsid w:val="000E4FDC"/>
    <w:rsid w:val="000E5049"/>
    <w:rsid w:val="000E5624"/>
    <w:rsid w:val="000E58B3"/>
    <w:rsid w:val="000E5ADB"/>
    <w:rsid w:val="000E5CF5"/>
    <w:rsid w:val="000E5FE8"/>
    <w:rsid w:val="000E670A"/>
    <w:rsid w:val="000E67A7"/>
    <w:rsid w:val="000E6BD4"/>
    <w:rsid w:val="000E6C12"/>
    <w:rsid w:val="000E7152"/>
    <w:rsid w:val="000E7159"/>
    <w:rsid w:val="000E7256"/>
    <w:rsid w:val="000E7F47"/>
    <w:rsid w:val="000E7FA1"/>
    <w:rsid w:val="000F0133"/>
    <w:rsid w:val="000F023B"/>
    <w:rsid w:val="000F02DA"/>
    <w:rsid w:val="000F0837"/>
    <w:rsid w:val="000F0880"/>
    <w:rsid w:val="000F092A"/>
    <w:rsid w:val="000F0A4C"/>
    <w:rsid w:val="000F13BF"/>
    <w:rsid w:val="000F1C23"/>
    <w:rsid w:val="000F1FBB"/>
    <w:rsid w:val="000F266E"/>
    <w:rsid w:val="000F2C99"/>
    <w:rsid w:val="000F2D4D"/>
    <w:rsid w:val="000F35A0"/>
    <w:rsid w:val="000F3F82"/>
    <w:rsid w:val="000F424D"/>
    <w:rsid w:val="000F4C8C"/>
    <w:rsid w:val="000F4EC7"/>
    <w:rsid w:val="000F518E"/>
    <w:rsid w:val="000F51C8"/>
    <w:rsid w:val="000F566F"/>
    <w:rsid w:val="000F5E9A"/>
    <w:rsid w:val="000F6415"/>
    <w:rsid w:val="000F672B"/>
    <w:rsid w:val="000F6C23"/>
    <w:rsid w:val="000F6C78"/>
    <w:rsid w:val="000F7309"/>
    <w:rsid w:val="000F78CB"/>
    <w:rsid w:val="0010002E"/>
    <w:rsid w:val="0010012D"/>
    <w:rsid w:val="00100CB1"/>
    <w:rsid w:val="00100EB9"/>
    <w:rsid w:val="00101048"/>
    <w:rsid w:val="00101165"/>
    <w:rsid w:val="00101FBC"/>
    <w:rsid w:val="0010243A"/>
    <w:rsid w:val="001025B8"/>
    <w:rsid w:val="001025FC"/>
    <w:rsid w:val="001026E6"/>
    <w:rsid w:val="00102702"/>
    <w:rsid w:val="00102953"/>
    <w:rsid w:val="00102C6E"/>
    <w:rsid w:val="00102CF4"/>
    <w:rsid w:val="00102D53"/>
    <w:rsid w:val="00103104"/>
    <w:rsid w:val="00103628"/>
    <w:rsid w:val="0010381E"/>
    <w:rsid w:val="00103A64"/>
    <w:rsid w:val="00103BF8"/>
    <w:rsid w:val="00103D3A"/>
    <w:rsid w:val="00103D4D"/>
    <w:rsid w:val="00103DF2"/>
    <w:rsid w:val="00103F0C"/>
    <w:rsid w:val="00104034"/>
    <w:rsid w:val="001044C2"/>
    <w:rsid w:val="001049AC"/>
    <w:rsid w:val="00104B10"/>
    <w:rsid w:val="00105141"/>
    <w:rsid w:val="0010525B"/>
    <w:rsid w:val="001053E4"/>
    <w:rsid w:val="00105770"/>
    <w:rsid w:val="001058DF"/>
    <w:rsid w:val="00105AF3"/>
    <w:rsid w:val="00105B79"/>
    <w:rsid w:val="00105BD4"/>
    <w:rsid w:val="00105BE5"/>
    <w:rsid w:val="001060FA"/>
    <w:rsid w:val="00106109"/>
    <w:rsid w:val="001065FB"/>
    <w:rsid w:val="00106907"/>
    <w:rsid w:val="0010698D"/>
    <w:rsid w:val="00106C99"/>
    <w:rsid w:val="00106FDA"/>
    <w:rsid w:val="001071B9"/>
    <w:rsid w:val="0010735D"/>
    <w:rsid w:val="001076B4"/>
    <w:rsid w:val="0010789E"/>
    <w:rsid w:val="00107B59"/>
    <w:rsid w:val="00107DBA"/>
    <w:rsid w:val="00107ED6"/>
    <w:rsid w:val="00107F2F"/>
    <w:rsid w:val="001102AD"/>
    <w:rsid w:val="001102C7"/>
    <w:rsid w:val="00110547"/>
    <w:rsid w:val="001109F4"/>
    <w:rsid w:val="00110D86"/>
    <w:rsid w:val="001116BB"/>
    <w:rsid w:val="001117BD"/>
    <w:rsid w:val="00111AC4"/>
    <w:rsid w:val="00111C99"/>
    <w:rsid w:val="00111E63"/>
    <w:rsid w:val="00111F30"/>
    <w:rsid w:val="001123F2"/>
    <w:rsid w:val="001129B7"/>
    <w:rsid w:val="00112AB1"/>
    <w:rsid w:val="00113131"/>
    <w:rsid w:val="0011341E"/>
    <w:rsid w:val="00113625"/>
    <w:rsid w:val="00113965"/>
    <w:rsid w:val="00113B9D"/>
    <w:rsid w:val="00113C67"/>
    <w:rsid w:val="00113CD8"/>
    <w:rsid w:val="00113DCC"/>
    <w:rsid w:val="001141A4"/>
    <w:rsid w:val="001143BB"/>
    <w:rsid w:val="001143C1"/>
    <w:rsid w:val="001144AA"/>
    <w:rsid w:val="001144EE"/>
    <w:rsid w:val="001148A8"/>
    <w:rsid w:val="00114C4F"/>
    <w:rsid w:val="00115248"/>
    <w:rsid w:val="00115282"/>
    <w:rsid w:val="001159BC"/>
    <w:rsid w:val="00115AB2"/>
    <w:rsid w:val="00115C44"/>
    <w:rsid w:val="00115DBD"/>
    <w:rsid w:val="00115FB9"/>
    <w:rsid w:val="00116185"/>
    <w:rsid w:val="001161D9"/>
    <w:rsid w:val="001163CA"/>
    <w:rsid w:val="00116766"/>
    <w:rsid w:val="00116843"/>
    <w:rsid w:val="00116894"/>
    <w:rsid w:val="0011694E"/>
    <w:rsid w:val="0011728E"/>
    <w:rsid w:val="001174A2"/>
    <w:rsid w:val="00117541"/>
    <w:rsid w:val="001177FF"/>
    <w:rsid w:val="00117D15"/>
    <w:rsid w:val="001200A4"/>
    <w:rsid w:val="001201A9"/>
    <w:rsid w:val="0012039D"/>
    <w:rsid w:val="001207C2"/>
    <w:rsid w:val="0012097C"/>
    <w:rsid w:val="00120985"/>
    <w:rsid w:val="00120CDB"/>
    <w:rsid w:val="00120D3F"/>
    <w:rsid w:val="00120FEB"/>
    <w:rsid w:val="00121200"/>
    <w:rsid w:val="001216F1"/>
    <w:rsid w:val="00121813"/>
    <w:rsid w:val="00121ADC"/>
    <w:rsid w:val="00121F8D"/>
    <w:rsid w:val="00122072"/>
    <w:rsid w:val="00122391"/>
    <w:rsid w:val="00122989"/>
    <w:rsid w:val="00122D7D"/>
    <w:rsid w:val="00123C5F"/>
    <w:rsid w:val="00123CB0"/>
    <w:rsid w:val="00123F14"/>
    <w:rsid w:val="00124170"/>
    <w:rsid w:val="001242A0"/>
    <w:rsid w:val="0012434F"/>
    <w:rsid w:val="00124695"/>
    <w:rsid w:val="00125213"/>
    <w:rsid w:val="00125AFE"/>
    <w:rsid w:val="00125DEF"/>
    <w:rsid w:val="00125F9B"/>
    <w:rsid w:val="00125FF7"/>
    <w:rsid w:val="00126347"/>
    <w:rsid w:val="001263BE"/>
    <w:rsid w:val="001266A2"/>
    <w:rsid w:val="0012673B"/>
    <w:rsid w:val="00126970"/>
    <w:rsid w:val="00126BC1"/>
    <w:rsid w:val="001271B1"/>
    <w:rsid w:val="00127C85"/>
    <w:rsid w:val="00127DB8"/>
    <w:rsid w:val="00127F4F"/>
    <w:rsid w:val="00127F76"/>
    <w:rsid w:val="00127F8B"/>
    <w:rsid w:val="00130131"/>
    <w:rsid w:val="0013023C"/>
    <w:rsid w:val="001304AB"/>
    <w:rsid w:val="00130914"/>
    <w:rsid w:val="00130AE6"/>
    <w:rsid w:val="00130D74"/>
    <w:rsid w:val="00130F06"/>
    <w:rsid w:val="00131035"/>
    <w:rsid w:val="00131312"/>
    <w:rsid w:val="001314EC"/>
    <w:rsid w:val="00131F28"/>
    <w:rsid w:val="00132605"/>
    <w:rsid w:val="0013267C"/>
    <w:rsid w:val="00132E1D"/>
    <w:rsid w:val="00133034"/>
    <w:rsid w:val="0013316A"/>
    <w:rsid w:val="001332D8"/>
    <w:rsid w:val="00133A4D"/>
    <w:rsid w:val="00133AA3"/>
    <w:rsid w:val="00133B72"/>
    <w:rsid w:val="00133D58"/>
    <w:rsid w:val="001343F1"/>
    <w:rsid w:val="0013447D"/>
    <w:rsid w:val="00134897"/>
    <w:rsid w:val="001348DB"/>
    <w:rsid w:val="00134A4B"/>
    <w:rsid w:val="00134B6C"/>
    <w:rsid w:val="00134E92"/>
    <w:rsid w:val="00134EDA"/>
    <w:rsid w:val="00135650"/>
    <w:rsid w:val="001359F9"/>
    <w:rsid w:val="001359FF"/>
    <w:rsid w:val="00135C3A"/>
    <w:rsid w:val="00135C45"/>
    <w:rsid w:val="00135D17"/>
    <w:rsid w:val="00135FC1"/>
    <w:rsid w:val="0013622C"/>
    <w:rsid w:val="00136568"/>
    <w:rsid w:val="00136C4B"/>
    <w:rsid w:val="00136E25"/>
    <w:rsid w:val="00136FB9"/>
    <w:rsid w:val="00137066"/>
    <w:rsid w:val="00137150"/>
    <w:rsid w:val="00137279"/>
    <w:rsid w:val="001372ED"/>
    <w:rsid w:val="001374EC"/>
    <w:rsid w:val="00137659"/>
    <w:rsid w:val="001376EC"/>
    <w:rsid w:val="0013799B"/>
    <w:rsid w:val="00137A77"/>
    <w:rsid w:val="00137AB5"/>
    <w:rsid w:val="00137B29"/>
    <w:rsid w:val="00137E5C"/>
    <w:rsid w:val="00140307"/>
    <w:rsid w:val="0014053C"/>
    <w:rsid w:val="00140765"/>
    <w:rsid w:val="00140892"/>
    <w:rsid w:val="0014107B"/>
    <w:rsid w:val="00141490"/>
    <w:rsid w:val="00141744"/>
    <w:rsid w:val="0014180D"/>
    <w:rsid w:val="00141AB6"/>
    <w:rsid w:val="00141D2D"/>
    <w:rsid w:val="00141D97"/>
    <w:rsid w:val="0014252B"/>
    <w:rsid w:val="00142749"/>
    <w:rsid w:val="001429E5"/>
    <w:rsid w:val="00142E02"/>
    <w:rsid w:val="00142E28"/>
    <w:rsid w:val="00142F0E"/>
    <w:rsid w:val="00143039"/>
    <w:rsid w:val="0014310C"/>
    <w:rsid w:val="0014349F"/>
    <w:rsid w:val="00143751"/>
    <w:rsid w:val="00143CBD"/>
    <w:rsid w:val="0014409B"/>
    <w:rsid w:val="00144795"/>
    <w:rsid w:val="0014494A"/>
    <w:rsid w:val="00144A01"/>
    <w:rsid w:val="00144E73"/>
    <w:rsid w:val="00144F1E"/>
    <w:rsid w:val="001450AB"/>
    <w:rsid w:val="00145359"/>
    <w:rsid w:val="00145B3B"/>
    <w:rsid w:val="00145FDC"/>
    <w:rsid w:val="00146A05"/>
    <w:rsid w:val="00146C85"/>
    <w:rsid w:val="00146C8C"/>
    <w:rsid w:val="00146F54"/>
    <w:rsid w:val="001472E0"/>
    <w:rsid w:val="0014736B"/>
    <w:rsid w:val="00147D2D"/>
    <w:rsid w:val="00150480"/>
    <w:rsid w:val="001508AF"/>
    <w:rsid w:val="001508BB"/>
    <w:rsid w:val="00150A09"/>
    <w:rsid w:val="00151143"/>
    <w:rsid w:val="001511D0"/>
    <w:rsid w:val="00152674"/>
    <w:rsid w:val="00153BE7"/>
    <w:rsid w:val="0015421E"/>
    <w:rsid w:val="001547AF"/>
    <w:rsid w:val="001549E9"/>
    <w:rsid w:val="00154EDA"/>
    <w:rsid w:val="00154F5C"/>
    <w:rsid w:val="00155184"/>
    <w:rsid w:val="001552FC"/>
    <w:rsid w:val="001553FF"/>
    <w:rsid w:val="0015556D"/>
    <w:rsid w:val="0015578A"/>
    <w:rsid w:val="001558EF"/>
    <w:rsid w:val="001559D9"/>
    <w:rsid w:val="001559FF"/>
    <w:rsid w:val="00156207"/>
    <w:rsid w:val="00156795"/>
    <w:rsid w:val="001568F8"/>
    <w:rsid w:val="00156A2F"/>
    <w:rsid w:val="00156A97"/>
    <w:rsid w:val="00156EF3"/>
    <w:rsid w:val="00157332"/>
    <w:rsid w:val="00157450"/>
    <w:rsid w:val="001574D5"/>
    <w:rsid w:val="00157648"/>
    <w:rsid w:val="0015770D"/>
    <w:rsid w:val="001577B3"/>
    <w:rsid w:val="00157C18"/>
    <w:rsid w:val="00157DF7"/>
    <w:rsid w:val="00160237"/>
    <w:rsid w:val="0016037A"/>
    <w:rsid w:val="0016058B"/>
    <w:rsid w:val="00160BD7"/>
    <w:rsid w:val="001615E6"/>
    <w:rsid w:val="001618C9"/>
    <w:rsid w:val="00161962"/>
    <w:rsid w:val="00161A4C"/>
    <w:rsid w:val="00161C07"/>
    <w:rsid w:val="00162437"/>
    <w:rsid w:val="001624D7"/>
    <w:rsid w:val="00162B30"/>
    <w:rsid w:val="00162EA0"/>
    <w:rsid w:val="001631A9"/>
    <w:rsid w:val="00163455"/>
    <w:rsid w:val="001635E3"/>
    <w:rsid w:val="001639CB"/>
    <w:rsid w:val="00163BCA"/>
    <w:rsid w:val="00163FE7"/>
    <w:rsid w:val="0016421E"/>
    <w:rsid w:val="001643D1"/>
    <w:rsid w:val="001648C7"/>
    <w:rsid w:val="00164EF9"/>
    <w:rsid w:val="001651F0"/>
    <w:rsid w:val="00165591"/>
    <w:rsid w:val="00165E61"/>
    <w:rsid w:val="0016652F"/>
    <w:rsid w:val="00166676"/>
    <w:rsid w:val="001667F0"/>
    <w:rsid w:val="00166B21"/>
    <w:rsid w:val="00166BED"/>
    <w:rsid w:val="00166D6D"/>
    <w:rsid w:val="00166F43"/>
    <w:rsid w:val="0016716A"/>
    <w:rsid w:val="0016760B"/>
    <w:rsid w:val="0016775B"/>
    <w:rsid w:val="00167B1E"/>
    <w:rsid w:val="00167D73"/>
    <w:rsid w:val="00170C2C"/>
    <w:rsid w:val="00170FEF"/>
    <w:rsid w:val="001710B0"/>
    <w:rsid w:val="00171CB7"/>
    <w:rsid w:val="00171D0C"/>
    <w:rsid w:val="00171D68"/>
    <w:rsid w:val="00171EED"/>
    <w:rsid w:val="00171F97"/>
    <w:rsid w:val="00171FFA"/>
    <w:rsid w:val="001728D7"/>
    <w:rsid w:val="00172B4B"/>
    <w:rsid w:val="00173244"/>
    <w:rsid w:val="001733D2"/>
    <w:rsid w:val="0017352D"/>
    <w:rsid w:val="001735FE"/>
    <w:rsid w:val="0017376F"/>
    <w:rsid w:val="00173D13"/>
    <w:rsid w:val="00173D80"/>
    <w:rsid w:val="00173FFB"/>
    <w:rsid w:val="0017420A"/>
    <w:rsid w:val="00174472"/>
    <w:rsid w:val="00174602"/>
    <w:rsid w:val="00174674"/>
    <w:rsid w:val="00174904"/>
    <w:rsid w:val="00174BA8"/>
    <w:rsid w:val="00174FB5"/>
    <w:rsid w:val="001753BA"/>
    <w:rsid w:val="00175534"/>
    <w:rsid w:val="00175624"/>
    <w:rsid w:val="00175B58"/>
    <w:rsid w:val="00175B71"/>
    <w:rsid w:val="00175CD2"/>
    <w:rsid w:val="00175E27"/>
    <w:rsid w:val="00175F89"/>
    <w:rsid w:val="001764CB"/>
    <w:rsid w:val="00176957"/>
    <w:rsid w:val="00176D82"/>
    <w:rsid w:val="0017729E"/>
    <w:rsid w:val="00177B8D"/>
    <w:rsid w:val="00177EFF"/>
    <w:rsid w:val="00180060"/>
    <w:rsid w:val="0018007A"/>
    <w:rsid w:val="00180428"/>
    <w:rsid w:val="001809B5"/>
    <w:rsid w:val="00180C94"/>
    <w:rsid w:val="00180F06"/>
    <w:rsid w:val="001814D2"/>
    <w:rsid w:val="00181622"/>
    <w:rsid w:val="00181910"/>
    <w:rsid w:val="00181F8B"/>
    <w:rsid w:val="00181F8D"/>
    <w:rsid w:val="001820E6"/>
    <w:rsid w:val="001821EE"/>
    <w:rsid w:val="00182262"/>
    <w:rsid w:val="001823A6"/>
    <w:rsid w:val="00182496"/>
    <w:rsid w:val="001824F5"/>
    <w:rsid w:val="001825DF"/>
    <w:rsid w:val="00182866"/>
    <w:rsid w:val="00182C4F"/>
    <w:rsid w:val="00182DEE"/>
    <w:rsid w:val="00182FD1"/>
    <w:rsid w:val="001833CC"/>
    <w:rsid w:val="00183E74"/>
    <w:rsid w:val="00183E7B"/>
    <w:rsid w:val="00184250"/>
    <w:rsid w:val="00184664"/>
    <w:rsid w:val="001846A8"/>
    <w:rsid w:val="001848C9"/>
    <w:rsid w:val="001848CA"/>
    <w:rsid w:val="001849CE"/>
    <w:rsid w:val="00184CAC"/>
    <w:rsid w:val="001851E0"/>
    <w:rsid w:val="00185C0B"/>
    <w:rsid w:val="001865C1"/>
    <w:rsid w:val="00186E67"/>
    <w:rsid w:val="0018756C"/>
    <w:rsid w:val="00190379"/>
    <w:rsid w:val="001905EF"/>
    <w:rsid w:val="001906CA"/>
    <w:rsid w:val="00190821"/>
    <w:rsid w:val="00190FD7"/>
    <w:rsid w:val="001911C4"/>
    <w:rsid w:val="00191C1D"/>
    <w:rsid w:val="001923F8"/>
    <w:rsid w:val="0019261B"/>
    <w:rsid w:val="0019296D"/>
    <w:rsid w:val="001929A1"/>
    <w:rsid w:val="00192B6E"/>
    <w:rsid w:val="00192C57"/>
    <w:rsid w:val="00192D30"/>
    <w:rsid w:val="001930D3"/>
    <w:rsid w:val="001932F6"/>
    <w:rsid w:val="0019346C"/>
    <w:rsid w:val="00193511"/>
    <w:rsid w:val="0019382C"/>
    <w:rsid w:val="00193A08"/>
    <w:rsid w:val="00193A61"/>
    <w:rsid w:val="00193AA6"/>
    <w:rsid w:val="00193AD6"/>
    <w:rsid w:val="0019488C"/>
    <w:rsid w:val="00194A65"/>
    <w:rsid w:val="00194C5A"/>
    <w:rsid w:val="00195149"/>
    <w:rsid w:val="001951B8"/>
    <w:rsid w:val="001951E7"/>
    <w:rsid w:val="001951FE"/>
    <w:rsid w:val="001952BD"/>
    <w:rsid w:val="0019532E"/>
    <w:rsid w:val="0019564F"/>
    <w:rsid w:val="001958E2"/>
    <w:rsid w:val="00195B78"/>
    <w:rsid w:val="00196261"/>
    <w:rsid w:val="0019655E"/>
    <w:rsid w:val="00196594"/>
    <w:rsid w:val="001965F6"/>
    <w:rsid w:val="001966CA"/>
    <w:rsid w:val="001968B9"/>
    <w:rsid w:val="00196CC9"/>
    <w:rsid w:val="00197192"/>
    <w:rsid w:val="00197804"/>
    <w:rsid w:val="00197B79"/>
    <w:rsid w:val="00197CD8"/>
    <w:rsid w:val="00197E85"/>
    <w:rsid w:val="00197EF0"/>
    <w:rsid w:val="001A029F"/>
    <w:rsid w:val="001A0863"/>
    <w:rsid w:val="001A0933"/>
    <w:rsid w:val="001A0EF0"/>
    <w:rsid w:val="001A1080"/>
    <w:rsid w:val="001A10B7"/>
    <w:rsid w:val="001A1241"/>
    <w:rsid w:val="001A165F"/>
    <w:rsid w:val="001A1754"/>
    <w:rsid w:val="001A178C"/>
    <w:rsid w:val="001A1829"/>
    <w:rsid w:val="001A2051"/>
    <w:rsid w:val="001A2099"/>
    <w:rsid w:val="001A22D0"/>
    <w:rsid w:val="001A2762"/>
    <w:rsid w:val="001A2B13"/>
    <w:rsid w:val="001A2DCF"/>
    <w:rsid w:val="001A2F09"/>
    <w:rsid w:val="001A2F9F"/>
    <w:rsid w:val="001A3225"/>
    <w:rsid w:val="001A371C"/>
    <w:rsid w:val="001A3C49"/>
    <w:rsid w:val="001A3E27"/>
    <w:rsid w:val="001A401F"/>
    <w:rsid w:val="001A4231"/>
    <w:rsid w:val="001A4264"/>
    <w:rsid w:val="001A430E"/>
    <w:rsid w:val="001A44B9"/>
    <w:rsid w:val="001A46A3"/>
    <w:rsid w:val="001A4A4B"/>
    <w:rsid w:val="001A4E9B"/>
    <w:rsid w:val="001A4FFE"/>
    <w:rsid w:val="001A5A76"/>
    <w:rsid w:val="001A5B8F"/>
    <w:rsid w:val="001A5CB5"/>
    <w:rsid w:val="001A5D08"/>
    <w:rsid w:val="001A5D6E"/>
    <w:rsid w:val="001A5D99"/>
    <w:rsid w:val="001A6913"/>
    <w:rsid w:val="001A6966"/>
    <w:rsid w:val="001A6BF4"/>
    <w:rsid w:val="001A6E2C"/>
    <w:rsid w:val="001A6EC0"/>
    <w:rsid w:val="001A6F57"/>
    <w:rsid w:val="001A7AE7"/>
    <w:rsid w:val="001A7D19"/>
    <w:rsid w:val="001B002F"/>
    <w:rsid w:val="001B0066"/>
    <w:rsid w:val="001B0137"/>
    <w:rsid w:val="001B055C"/>
    <w:rsid w:val="001B0586"/>
    <w:rsid w:val="001B087F"/>
    <w:rsid w:val="001B0914"/>
    <w:rsid w:val="001B0A7C"/>
    <w:rsid w:val="001B0E63"/>
    <w:rsid w:val="001B0F70"/>
    <w:rsid w:val="001B0F7A"/>
    <w:rsid w:val="001B0FDA"/>
    <w:rsid w:val="001B118D"/>
    <w:rsid w:val="001B2206"/>
    <w:rsid w:val="001B2739"/>
    <w:rsid w:val="001B2A94"/>
    <w:rsid w:val="001B2C8A"/>
    <w:rsid w:val="001B301F"/>
    <w:rsid w:val="001B30C9"/>
    <w:rsid w:val="001B3A17"/>
    <w:rsid w:val="001B3D57"/>
    <w:rsid w:val="001B4316"/>
    <w:rsid w:val="001B4DA8"/>
    <w:rsid w:val="001B4F74"/>
    <w:rsid w:val="001B4FB6"/>
    <w:rsid w:val="001B50F6"/>
    <w:rsid w:val="001B5AC4"/>
    <w:rsid w:val="001B6124"/>
    <w:rsid w:val="001B69AB"/>
    <w:rsid w:val="001B72D1"/>
    <w:rsid w:val="001B73A4"/>
    <w:rsid w:val="001B7562"/>
    <w:rsid w:val="001B75A3"/>
    <w:rsid w:val="001C0443"/>
    <w:rsid w:val="001C06E3"/>
    <w:rsid w:val="001C08B9"/>
    <w:rsid w:val="001C0CFB"/>
    <w:rsid w:val="001C1059"/>
    <w:rsid w:val="001C1330"/>
    <w:rsid w:val="001C1EC5"/>
    <w:rsid w:val="001C1FBC"/>
    <w:rsid w:val="001C2250"/>
    <w:rsid w:val="001C234C"/>
    <w:rsid w:val="001C241E"/>
    <w:rsid w:val="001C2C3C"/>
    <w:rsid w:val="001C2E56"/>
    <w:rsid w:val="001C2F01"/>
    <w:rsid w:val="001C2F05"/>
    <w:rsid w:val="001C34A5"/>
    <w:rsid w:val="001C350D"/>
    <w:rsid w:val="001C35EA"/>
    <w:rsid w:val="001C3935"/>
    <w:rsid w:val="001C432A"/>
    <w:rsid w:val="001C4EF5"/>
    <w:rsid w:val="001C5146"/>
    <w:rsid w:val="001C5224"/>
    <w:rsid w:val="001C54AB"/>
    <w:rsid w:val="001C5950"/>
    <w:rsid w:val="001C5A9C"/>
    <w:rsid w:val="001C5C80"/>
    <w:rsid w:val="001C5CE0"/>
    <w:rsid w:val="001C5FE8"/>
    <w:rsid w:val="001C6381"/>
    <w:rsid w:val="001C64F6"/>
    <w:rsid w:val="001C6743"/>
    <w:rsid w:val="001C6997"/>
    <w:rsid w:val="001C6C6F"/>
    <w:rsid w:val="001C6D2B"/>
    <w:rsid w:val="001C6F52"/>
    <w:rsid w:val="001C7558"/>
    <w:rsid w:val="001C758E"/>
    <w:rsid w:val="001C76EB"/>
    <w:rsid w:val="001C7A3B"/>
    <w:rsid w:val="001C7CC5"/>
    <w:rsid w:val="001D03B9"/>
    <w:rsid w:val="001D05AD"/>
    <w:rsid w:val="001D0AF7"/>
    <w:rsid w:val="001D0F86"/>
    <w:rsid w:val="001D1231"/>
    <w:rsid w:val="001D12D5"/>
    <w:rsid w:val="001D163D"/>
    <w:rsid w:val="001D1752"/>
    <w:rsid w:val="001D18F6"/>
    <w:rsid w:val="001D1C0D"/>
    <w:rsid w:val="001D1D78"/>
    <w:rsid w:val="001D2185"/>
    <w:rsid w:val="001D2A14"/>
    <w:rsid w:val="001D2ED3"/>
    <w:rsid w:val="001D30D0"/>
    <w:rsid w:val="001D3176"/>
    <w:rsid w:val="001D328A"/>
    <w:rsid w:val="001D328E"/>
    <w:rsid w:val="001D32D2"/>
    <w:rsid w:val="001D332F"/>
    <w:rsid w:val="001D3512"/>
    <w:rsid w:val="001D390E"/>
    <w:rsid w:val="001D4E18"/>
    <w:rsid w:val="001D4EBD"/>
    <w:rsid w:val="001D532F"/>
    <w:rsid w:val="001D53D8"/>
    <w:rsid w:val="001D54C2"/>
    <w:rsid w:val="001D5AED"/>
    <w:rsid w:val="001D5C76"/>
    <w:rsid w:val="001D5D8D"/>
    <w:rsid w:val="001D5F4C"/>
    <w:rsid w:val="001D61BC"/>
    <w:rsid w:val="001D67B9"/>
    <w:rsid w:val="001D6D3F"/>
    <w:rsid w:val="001D7051"/>
    <w:rsid w:val="001D7411"/>
    <w:rsid w:val="001D7471"/>
    <w:rsid w:val="001D78B2"/>
    <w:rsid w:val="001D7B00"/>
    <w:rsid w:val="001D7DAD"/>
    <w:rsid w:val="001D7FB3"/>
    <w:rsid w:val="001E00D3"/>
    <w:rsid w:val="001E0569"/>
    <w:rsid w:val="001E071B"/>
    <w:rsid w:val="001E07DE"/>
    <w:rsid w:val="001E0AFA"/>
    <w:rsid w:val="001E13B9"/>
    <w:rsid w:val="001E1438"/>
    <w:rsid w:val="001E1485"/>
    <w:rsid w:val="001E173F"/>
    <w:rsid w:val="001E1758"/>
    <w:rsid w:val="001E1C8B"/>
    <w:rsid w:val="001E1E89"/>
    <w:rsid w:val="001E29E2"/>
    <w:rsid w:val="001E2A14"/>
    <w:rsid w:val="001E2B05"/>
    <w:rsid w:val="001E2CAB"/>
    <w:rsid w:val="001E38D6"/>
    <w:rsid w:val="001E48E4"/>
    <w:rsid w:val="001E4940"/>
    <w:rsid w:val="001E4970"/>
    <w:rsid w:val="001E4A11"/>
    <w:rsid w:val="001E4A40"/>
    <w:rsid w:val="001E4F36"/>
    <w:rsid w:val="001E5249"/>
    <w:rsid w:val="001E528A"/>
    <w:rsid w:val="001E5839"/>
    <w:rsid w:val="001E5EBE"/>
    <w:rsid w:val="001E6E62"/>
    <w:rsid w:val="001E6F84"/>
    <w:rsid w:val="001E6FE2"/>
    <w:rsid w:val="001E72AA"/>
    <w:rsid w:val="001E731F"/>
    <w:rsid w:val="001F0087"/>
    <w:rsid w:val="001F03C3"/>
    <w:rsid w:val="001F03F9"/>
    <w:rsid w:val="001F04BF"/>
    <w:rsid w:val="001F090D"/>
    <w:rsid w:val="001F0986"/>
    <w:rsid w:val="001F0DCD"/>
    <w:rsid w:val="001F0DD7"/>
    <w:rsid w:val="001F0E7D"/>
    <w:rsid w:val="001F0E9F"/>
    <w:rsid w:val="001F11F5"/>
    <w:rsid w:val="001F1509"/>
    <w:rsid w:val="001F156A"/>
    <w:rsid w:val="001F17C3"/>
    <w:rsid w:val="001F1C35"/>
    <w:rsid w:val="001F1C78"/>
    <w:rsid w:val="001F1E2D"/>
    <w:rsid w:val="001F1FB0"/>
    <w:rsid w:val="001F234B"/>
    <w:rsid w:val="001F2787"/>
    <w:rsid w:val="001F2D16"/>
    <w:rsid w:val="001F2DC1"/>
    <w:rsid w:val="001F2DCB"/>
    <w:rsid w:val="001F3402"/>
    <w:rsid w:val="001F35B7"/>
    <w:rsid w:val="001F383E"/>
    <w:rsid w:val="001F410F"/>
    <w:rsid w:val="001F41EC"/>
    <w:rsid w:val="001F4238"/>
    <w:rsid w:val="001F42B7"/>
    <w:rsid w:val="001F44BC"/>
    <w:rsid w:val="001F45D8"/>
    <w:rsid w:val="001F4BF2"/>
    <w:rsid w:val="001F526D"/>
    <w:rsid w:val="001F5A20"/>
    <w:rsid w:val="001F60E6"/>
    <w:rsid w:val="001F6AB3"/>
    <w:rsid w:val="001F6DDF"/>
    <w:rsid w:val="001F70D1"/>
    <w:rsid w:val="001F712A"/>
    <w:rsid w:val="001F71AF"/>
    <w:rsid w:val="001F7699"/>
    <w:rsid w:val="001F7863"/>
    <w:rsid w:val="001F7A0E"/>
    <w:rsid w:val="001F7DC2"/>
    <w:rsid w:val="001F7DF2"/>
    <w:rsid w:val="001F7F1B"/>
    <w:rsid w:val="002000FA"/>
    <w:rsid w:val="00200189"/>
    <w:rsid w:val="0020056F"/>
    <w:rsid w:val="00200884"/>
    <w:rsid w:val="00200DD3"/>
    <w:rsid w:val="00201134"/>
    <w:rsid w:val="00201632"/>
    <w:rsid w:val="00201771"/>
    <w:rsid w:val="0020193F"/>
    <w:rsid w:val="00201FDC"/>
    <w:rsid w:val="00202359"/>
    <w:rsid w:val="00202907"/>
    <w:rsid w:val="00202BDC"/>
    <w:rsid w:val="00202DCB"/>
    <w:rsid w:val="0020322A"/>
    <w:rsid w:val="0020395B"/>
    <w:rsid w:val="00203E48"/>
    <w:rsid w:val="002042E9"/>
    <w:rsid w:val="00204354"/>
    <w:rsid w:val="0020448A"/>
    <w:rsid w:val="00204838"/>
    <w:rsid w:val="00204A80"/>
    <w:rsid w:val="00204C9A"/>
    <w:rsid w:val="0020508B"/>
    <w:rsid w:val="00205308"/>
    <w:rsid w:val="0020559D"/>
    <w:rsid w:val="00205BED"/>
    <w:rsid w:val="0020601E"/>
    <w:rsid w:val="00206160"/>
    <w:rsid w:val="0020635D"/>
    <w:rsid w:val="0020697B"/>
    <w:rsid w:val="002071AB"/>
    <w:rsid w:val="002074CE"/>
    <w:rsid w:val="00207515"/>
    <w:rsid w:val="00207E5B"/>
    <w:rsid w:val="002109ED"/>
    <w:rsid w:val="00210AC5"/>
    <w:rsid w:val="00210C08"/>
    <w:rsid w:val="00210C5E"/>
    <w:rsid w:val="00210E19"/>
    <w:rsid w:val="00211061"/>
    <w:rsid w:val="002110A5"/>
    <w:rsid w:val="002112B2"/>
    <w:rsid w:val="002115CC"/>
    <w:rsid w:val="0021161B"/>
    <w:rsid w:val="00212685"/>
    <w:rsid w:val="002128D2"/>
    <w:rsid w:val="0021328A"/>
    <w:rsid w:val="00213C0C"/>
    <w:rsid w:val="00213E46"/>
    <w:rsid w:val="0021439F"/>
    <w:rsid w:val="002146A6"/>
    <w:rsid w:val="0021481F"/>
    <w:rsid w:val="00214FDA"/>
    <w:rsid w:val="002151BD"/>
    <w:rsid w:val="0021547A"/>
    <w:rsid w:val="00215776"/>
    <w:rsid w:val="00215EF0"/>
    <w:rsid w:val="00216AC8"/>
    <w:rsid w:val="0021706D"/>
    <w:rsid w:val="0021730E"/>
    <w:rsid w:val="002177D1"/>
    <w:rsid w:val="00220051"/>
    <w:rsid w:val="00220875"/>
    <w:rsid w:val="00220A9C"/>
    <w:rsid w:val="002212EF"/>
    <w:rsid w:val="002215FC"/>
    <w:rsid w:val="00221701"/>
    <w:rsid w:val="002219BB"/>
    <w:rsid w:val="00221DEB"/>
    <w:rsid w:val="00221E72"/>
    <w:rsid w:val="002220A0"/>
    <w:rsid w:val="0022292C"/>
    <w:rsid w:val="0022297A"/>
    <w:rsid w:val="00222A55"/>
    <w:rsid w:val="00222B77"/>
    <w:rsid w:val="00222BAA"/>
    <w:rsid w:val="00222F59"/>
    <w:rsid w:val="0022330F"/>
    <w:rsid w:val="002235B5"/>
    <w:rsid w:val="00223638"/>
    <w:rsid w:val="00223A88"/>
    <w:rsid w:val="00223AC4"/>
    <w:rsid w:val="00223C79"/>
    <w:rsid w:val="00223F5A"/>
    <w:rsid w:val="002240D3"/>
    <w:rsid w:val="00224140"/>
    <w:rsid w:val="00224273"/>
    <w:rsid w:val="0022441A"/>
    <w:rsid w:val="00224880"/>
    <w:rsid w:val="00224B7F"/>
    <w:rsid w:val="00224BFD"/>
    <w:rsid w:val="00224C70"/>
    <w:rsid w:val="00224ECB"/>
    <w:rsid w:val="00225112"/>
    <w:rsid w:val="00225364"/>
    <w:rsid w:val="00225568"/>
    <w:rsid w:val="00225AD9"/>
    <w:rsid w:val="00225C99"/>
    <w:rsid w:val="00225DDB"/>
    <w:rsid w:val="00225FF6"/>
    <w:rsid w:val="002260BB"/>
    <w:rsid w:val="0022633D"/>
    <w:rsid w:val="00226782"/>
    <w:rsid w:val="00226F4F"/>
    <w:rsid w:val="00227257"/>
    <w:rsid w:val="0022743A"/>
    <w:rsid w:val="00227732"/>
    <w:rsid w:val="00227BE5"/>
    <w:rsid w:val="00227C8B"/>
    <w:rsid w:val="00227EC2"/>
    <w:rsid w:val="002301D2"/>
    <w:rsid w:val="0023070A"/>
    <w:rsid w:val="00230725"/>
    <w:rsid w:val="00230976"/>
    <w:rsid w:val="00230A1E"/>
    <w:rsid w:val="00230BC5"/>
    <w:rsid w:val="00230CA0"/>
    <w:rsid w:val="00230E76"/>
    <w:rsid w:val="00230ECC"/>
    <w:rsid w:val="00231B42"/>
    <w:rsid w:val="00231B49"/>
    <w:rsid w:val="002325AD"/>
    <w:rsid w:val="002329B1"/>
    <w:rsid w:val="00232F8F"/>
    <w:rsid w:val="00232F9A"/>
    <w:rsid w:val="002330F9"/>
    <w:rsid w:val="0023321E"/>
    <w:rsid w:val="0023322C"/>
    <w:rsid w:val="002332E3"/>
    <w:rsid w:val="002334A1"/>
    <w:rsid w:val="00233915"/>
    <w:rsid w:val="00233A27"/>
    <w:rsid w:val="00233E4C"/>
    <w:rsid w:val="00233E9E"/>
    <w:rsid w:val="002340DE"/>
    <w:rsid w:val="00234150"/>
    <w:rsid w:val="00234B51"/>
    <w:rsid w:val="00234D9B"/>
    <w:rsid w:val="002354D1"/>
    <w:rsid w:val="002355FA"/>
    <w:rsid w:val="00235758"/>
    <w:rsid w:val="00235852"/>
    <w:rsid w:val="00235ABE"/>
    <w:rsid w:val="00235AE2"/>
    <w:rsid w:val="00235B9F"/>
    <w:rsid w:val="00235E21"/>
    <w:rsid w:val="0023639A"/>
    <w:rsid w:val="00236797"/>
    <w:rsid w:val="0023690E"/>
    <w:rsid w:val="00236AA9"/>
    <w:rsid w:val="00236B51"/>
    <w:rsid w:val="00237717"/>
    <w:rsid w:val="00237BDE"/>
    <w:rsid w:val="00237C0B"/>
    <w:rsid w:val="002407D1"/>
    <w:rsid w:val="00240952"/>
    <w:rsid w:val="00240DA3"/>
    <w:rsid w:val="00241563"/>
    <w:rsid w:val="0024158F"/>
    <w:rsid w:val="00241CE4"/>
    <w:rsid w:val="002422C0"/>
    <w:rsid w:val="0024260D"/>
    <w:rsid w:val="002429C0"/>
    <w:rsid w:val="00243040"/>
    <w:rsid w:val="002434FA"/>
    <w:rsid w:val="002437CA"/>
    <w:rsid w:val="00243995"/>
    <w:rsid w:val="00243A55"/>
    <w:rsid w:val="00243E24"/>
    <w:rsid w:val="00243FEA"/>
    <w:rsid w:val="002440BB"/>
    <w:rsid w:val="00244420"/>
    <w:rsid w:val="0024469D"/>
    <w:rsid w:val="00244A21"/>
    <w:rsid w:val="00244A6F"/>
    <w:rsid w:val="00244D7A"/>
    <w:rsid w:val="00244ED9"/>
    <w:rsid w:val="00244F42"/>
    <w:rsid w:val="00245107"/>
    <w:rsid w:val="0024533F"/>
    <w:rsid w:val="00245CFF"/>
    <w:rsid w:val="00245DE9"/>
    <w:rsid w:val="00245E3D"/>
    <w:rsid w:val="0024684E"/>
    <w:rsid w:val="00246940"/>
    <w:rsid w:val="00246D3E"/>
    <w:rsid w:val="002471AD"/>
    <w:rsid w:val="00247986"/>
    <w:rsid w:val="002479E1"/>
    <w:rsid w:val="00247AE8"/>
    <w:rsid w:val="00247B29"/>
    <w:rsid w:val="00247C45"/>
    <w:rsid w:val="00247D26"/>
    <w:rsid w:val="00247E1D"/>
    <w:rsid w:val="0025057F"/>
    <w:rsid w:val="00250885"/>
    <w:rsid w:val="0025088E"/>
    <w:rsid w:val="00250B62"/>
    <w:rsid w:val="00251452"/>
    <w:rsid w:val="002517D6"/>
    <w:rsid w:val="00251987"/>
    <w:rsid w:val="002521D9"/>
    <w:rsid w:val="00252250"/>
    <w:rsid w:val="002522CB"/>
    <w:rsid w:val="00252719"/>
    <w:rsid w:val="002529BA"/>
    <w:rsid w:val="00252FE1"/>
    <w:rsid w:val="0025301C"/>
    <w:rsid w:val="002532B4"/>
    <w:rsid w:val="00253541"/>
    <w:rsid w:val="0025385C"/>
    <w:rsid w:val="00253976"/>
    <w:rsid w:val="00253A03"/>
    <w:rsid w:val="00253A7E"/>
    <w:rsid w:val="00253CAD"/>
    <w:rsid w:val="002544EA"/>
    <w:rsid w:val="002547FE"/>
    <w:rsid w:val="00254856"/>
    <w:rsid w:val="00254D93"/>
    <w:rsid w:val="0025507B"/>
    <w:rsid w:val="00255237"/>
    <w:rsid w:val="002553A2"/>
    <w:rsid w:val="002553CB"/>
    <w:rsid w:val="00255BD8"/>
    <w:rsid w:val="00255C03"/>
    <w:rsid w:val="00255D48"/>
    <w:rsid w:val="002562AC"/>
    <w:rsid w:val="0025659D"/>
    <w:rsid w:val="00256824"/>
    <w:rsid w:val="00256EBA"/>
    <w:rsid w:val="00257B47"/>
    <w:rsid w:val="00257E32"/>
    <w:rsid w:val="0026007F"/>
    <w:rsid w:val="00260237"/>
    <w:rsid w:val="0026032E"/>
    <w:rsid w:val="002603DE"/>
    <w:rsid w:val="00260422"/>
    <w:rsid w:val="002604CF"/>
    <w:rsid w:val="00260666"/>
    <w:rsid w:val="0026070B"/>
    <w:rsid w:val="00260734"/>
    <w:rsid w:val="00260A5D"/>
    <w:rsid w:val="00260BF9"/>
    <w:rsid w:val="0026187B"/>
    <w:rsid w:val="00261D4C"/>
    <w:rsid w:val="00261EC7"/>
    <w:rsid w:val="0026263C"/>
    <w:rsid w:val="0026283A"/>
    <w:rsid w:val="00262CE6"/>
    <w:rsid w:val="00263062"/>
    <w:rsid w:val="002630BD"/>
    <w:rsid w:val="0026313B"/>
    <w:rsid w:val="002634D6"/>
    <w:rsid w:val="00263542"/>
    <w:rsid w:val="00263D30"/>
    <w:rsid w:val="00264086"/>
    <w:rsid w:val="00264491"/>
    <w:rsid w:val="00264511"/>
    <w:rsid w:val="00264852"/>
    <w:rsid w:val="00264860"/>
    <w:rsid w:val="00264E17"/>
    <w:rsid w:val="00264FCF"/>
    <w:rsid w:val="00265393"/>
    <w:rsid w:val="00265504"/>
    <w:rsid w:val="002655C9"/>
    <w:rsid w:val="002655FE"/>
    <w:rsid w:val="002658C6"/>
    <w:rsid w:val="00266269"/>
    <w:rsid w:val="00266622"/>
    <w:rsid w:val="00266A7C"/>
    <w:rsid w:val="00266AA2"/>
    <w:rsid w:val="002670C8"/>
    <w:rsid w:val="0026736A"/>
    <w:rsid w:val="002676E3"/>
    <w:rsid w:val="0026785B"/>
    <w:rsid w:val="00267B94"/>
    <w:rsid w:val="00267BCB"/>
    <w:rsid w:val="00267D7D"/>
    <w:rsid w:val="00267D95"/>
    <w:rsid w:val="00267FB2"/>
    <w:rsid w:val="00270088"/>
    <w:rsid w:val="0027040F"/>
    <w:rsid w:val="002704D3"/>
    <w:rsid w:val="002705B9"/>
    <w:rsid w:val="0027068A"/>
    <w:rsid w:val="00270782"/>
    <w:rsid w:val="00270BC1"/>
    <w:rsid w:val="002712A6"/>
    <w:rsid w:val="00271915"/>
    <w:rsid w:val="00271AB5"/>
    <w:rsid w:val="00271E3D"/>
    <w:rsid w:val="00271FDB"/>
    <w:rsid w:val="00272037"/>
    <w:rsid w:val="00272D0F"/>
    <w:rsid w:val="00273129"/>
    <w:rsid w:val="002734DD"/>
    <w:rsid w:val="0027364D"/>
    <w:rsid w:val="002736A2"/>
    <w:rsid w:val="00273A40"/>
    <w:rsid w:val="00273B46"/>
    <w:rsid w:val="00273D0A"/>
    <w:rsid w:val="00273DE3"/>
    <w:rsid w:val="00273EEE"/>
    <w:rsid w:val="00274382"/>
    <w:rsid w:val="00274435"/>
    <w:rsid w:val="0027485B"/>
    <w:rsid w:val="0027492F"/>
    <w:rsid w:val="00274962"/>
    <w:rsid w:val="00274D3B"/>
    <w:rsid w:val="002750B0"/>
    <w:rsid w:val="0027530A"/>
    <w:rsid w:val="0027566D"/>
    <w:rsid w:val="00275D17"/>
    <w:rsid w:val="00276136"/>
    <w:rsid w:val="002761BF"/>
    <w:rsid w:val="002766BF"/>
    <w:rsid w:val="0027683A"/>
    <w:rsid w:val="00276915"/>
    <w:rsid w:val="00276D81"/>
    <w:rsid w:val="002770E4"/>
    <w:rsid w:val="0027720B"/>
    <w:rsid w:val="002775B9"/>
    <w:rsid w:val="00277874"/>
    <w:rsid w:val="00277A96"/>
    <w:rsid w:val="00277BAD"/>
    <w:rsid w:val="00277F36"/>
    <w:rsid w:val="00280989"/>
    <w:rsid w:val="00281315"/>
    <w:rsid w:val="0028144A"/>
    <w:rsid w:val="00281C81"/>
    <w:rsid w:val="00281DE0"/>
    <w:rsid w:val="00281F77"/>
    <w:rsid w:val="00282ABF"/>
    <w:rsid w:val="00282C01"/>
    <w:rsid w:val="0028313C"/>
    <w:rsid w:val="002835AD"/>
    <w:rsid w:val="0028376E"/>
    <w:rsid w:val="00283CFE"/>
    <w:rsid w:val="00283F83"/>
    <w:rsid w:val="0028418C"/>
    <w:rsid w:val="00284260"/>
    <w:rsid w:val="0028460E"/>
    <w:rsid w:val="00284A92"/>
    <w:rsid w:val="00284E43"/>
    <w:rsid w:val="00285516"/>
    <w:rsid w:val="00285B6B"/>
    <w:rsid w:val="00285B82"/>
    <w:rsid w:val="00285C0B"/>
    <w:rsid w:val="00286503"/>
    <w:rsid w:val="00286862"/>
    <w:rsid w:val="00287342"/>
    <w:rsid w:val="00287631"/>
    <w:rsid w:val="00287B3E"/>
    <w:rsid w:val="00287C07"/>
    <w:rsid w:val="00287E69"/>
    <w:rsid w:val="00290413"/>
    <w:rsid w:val="002911BB"/>
    <w:rsid w:val="002912B4"/>
    <w:rsid w:val="002913DA"/>
    <w:rsid w:val="002914F5"/>
    <w:rsid w:val="002916B0"/>
    <w:rsid w:val="002923EC"/>
    <w:rsid w:val="00292643"/>
    <w:rsid w:val="002927AB"/>
    <w:rsid w:val="0029291D"/>
    <w:rsid w:val="00292CD7"/>
    <w:rsid w:val="00292DB3"/>
    <w:rsid w:val="00293055"/>
    <w:rsid w:val="0029399D"/>
    <w:rsid w:val="00293A86"/>
    <w:rsid w:val="00293B27"/>
    <w:rsid w:val="00293B99"/>
    <w:rsid w:val="00294175"/>
    <w:rsid w:val="002941F5"/>
    <w:rsid w:val="002946E8"/>
    <w:rsid w:val="00294AFF"/>
    <w:rsid w:val="00294E9B"/>
    <w:rsid w:val="00294F50"/>
    <w:rsid w:val="002953BF"/>
    <w:rsid w:val="00295459"/>
    <w:rsid w:val="002956A8"/>
    <w:rsid w:val="00295761"/>
    <w:rsid w:val="002957D8"/>
    <w:rsid w:val="00295BF8"/>
    <w:rsid w:val="002961D6"/>
    <w:rsid w:val="00296247"/>
    <w:rsid w:val="00296452"/>
    <w:rsid w:val="00296757"/>
    <w:rsid w:val="0029683A"/>
    <w:rsid w:val="00296943"/>
    <w:rsid w:val="00296EB7"/>
    <w:rsid w:val="0029760C"/>
    <w:rsid w:val="002976E8"/>
    <w:rsid w:val="00297849"/>
    <w:rsid w:val="00297927"/>
    <w:rsid w:val="00297E46"/>
    <w:rsid w:val="002A05E7"/>
    <w:rsid w:val="002A05F7"/>
    <w:rsid w:val="002A06C8"/>
    <w:rsid w:val="002A0703"/>
    <w:rsid w:val="002A08F0"/>
    <w:rsid w:val="002A0A66"/>
    <w:rsid w:val="002A1137"/>
    <w:rsid w:val="002A11C8"/>
    <w:rsid w:val="002A1344"/>
    <w:rsid w:val="002A14A9"/>
    <w:rsid w:val="002A15BE"/>
    <w:rsid w:val="002A1AFC"/>
    <w:rsid w:val="002A255E"/>
    <w:rsid w:val="002A26BD"/>
    <w:rsid w:val="002A2729"/>
    <w:rsid w:val="002A273A"/>
    <w:rsid w:val="002A2799"/>
    <w:rsid w:val="002A2988"/>
    <w:rsid w:val="002A2A76"/>
    <w:rsid w:val="002A31AF"/>
    <w:rsid w:val="002A32B4"/>
    <w:rsid w:val="002A333E"/>
    <w:rsid w:val="002A335B"/>
    <w:rsid w:val="002A36A1"/>
    <w:rsid w:val="002A38BC"/>
    <w:rsid w:val="002A3A31"/>
    <w:rsid w:val="002A4624"/>
    <w:rsid w:val="002A48A4"/>
    <w:rsid w:val="002A4C0B"/>
    <w:rsid w:val="002A4D45"/>
    <w:rsid w:val="002A5127"/>
    <w:rsid w:val="002A51AC"/>
    <w:rsid w:val="002A543B"/>
    <w:rsid w:val="002A58B8"/>
    <w:rsid w:val="002A59DE"/>
    <w:rsid w:val="002A5BC5"/>
    <w:rsid w:val="002A5C24"/>
    <w:rsid w:val="002A5EC1"/>
    <w:rsid w:val="002A602C"/>
    <w:rsid w:val="002A62C0"/>
    <w:rsid w:val="002A63AB"/>
    <w:rsid w:val="002A657D"/>
    <w:rsid w:val="002A67C5"/>
    <w:rsid w:val="002A6BA5"/>
    <w:rsid w:val="002A6DE3"/>
    <w:rsid w:val="002A72DB"/>
    <w:rsid w:val="002A7405"/>
    <w:rsid w:val="002A74C0"/>
    <w:rsid w:val="002A7994"/>
    <w:rsid w:val="002A7B04"/>
    <w:rsid w:val="002A7BD0"/>
    <w:rsid w:val="002A7BF4"/>
    <w:rsid w:val="002A7C4E"/>
    <w:rsid w:val="002A7DB0"/>
    <w:rsid w:val="002B024E"/>
    <w:rsid w:val="002B04A0"/>
    <w:rsid w:val="002B0601"/>
    <w:rsid w:val="002B07E8"/>
    <w:rsid w:val="002B0B0A"/>
    <w:rsid w:val="002B13D4"/>
    <w:rsid w:val="002B149A"/>
    <w:rsid w:val="002B14DD"/>
    <w:rsid w:val="002B160F"/>
    <w:rsid w:val="002B1735"/>
    <w:rsid w:val="002B1B50"/>
    <w:rsid w:val="002B1E31"/>
    <w:rsid w:val="002B2174"/>
    <w:rsid w:val="002B2216"/>
    <w:rsid w:val="002B23A7"/>
    <w:rsid w:val="002B245A"/>
    <w:rsid w:val="002B25D7"/>
    <w:rsid w:val="002B27C7"/>
    <w:rsid w:val="002B2BFC"/>
    <w:rsid w:val="002B2E94"/>
    <w:rsid w:val="002B2EDC"/>
    <w:rsid w:val="002B30FC"/>
    <w:rsid w:val="002B312E"/>
    <w:rsid w:val="002B3364"/>
    <w:rsid w:val="002B33F4"/>
    <w:rsid w:val="002B37E0"/>
    <w:rsid w:val="002B403B"/>
    <w:rsid w:val="002B4639"/>
    <w:rsid w:val="002B48A1"/>
    <w:rsid w:val="002B5108"/>
    <w:rsid w:val="002B5122"/>
    <w:rsid w:val="002B5289"/>
    <w:rsid w:val="002B5A14"/>
    <w:rsid w:val="002B5D3E"/>
    <w:rsid w:val="002B605C"/>
    <w:rsid w:val="002B63BD"/>
    <w:rsid w:val="002B645D"/>
    <w:rsid w:val="002B6792"/>
    <w:rsid w:val="002B6A55"/>
    <w:rsid w:val="002B7013"/>
    <w:rsid w:val="002B722E"/>
    <w:rsid w:val="002B73B6"/>
    <w:rsid w:val="002C04DD"/>
    <w:rsid w:val="002C0E3F"/>
    <w:rsid w:val="002C14A9"/>
    <w:rsid w:val="002C16AA"/>
    <w:rsid w:val="002C1A8C"/>
    <w:rsid w:val="002C1CD4"/>
    <w:rsid w:val="002C1E0B"/>
    <w:rsid w:val="002C2284"/>
    <w:rsid w:val="002C23A4"/>
    <w:rsid w:val="002C353B"/>
    <w:rsid w:val="002C3571"/>
    <w:rsid w:val="002C39CD"/>
    <w:rsid w:val="002C3B01"/>
    <w:rsid w:val="002C3CAD"/>
    <w:rsid w:val="002C3D94"/>
    <w:rsid w:val="002C3E4D"/>
    <w:rsid w:val="002C3F19"/>
    <w:rsid w:val="002C3F5E"/>
    <w:rsid w:val="002C3F94"/>
    <w:rsid w:val="002C3FB9"/>
    <w:rsid w:val="002C46E6"/>
    <w:rsid w:val="002C5463"/>
    <w:rsid w:val="002C54C0"/>
    <w:rsid w:val="002C58DC"/>
    <w:rsid w:val="002C5E3A"/>
    <w:rsid w:val="002C5F45"/>
    <w:rsid w:val="002C5F8B"/>
    <w:rsid w:val="002C6368"/>
    <w:rsid w:val="002C6819"/>
    <w:rsid w:val="002C6838"/>
    <w:rsid w:val="002C68CD"/>
    <w:rsid w:val="002C6DB3"/>
    <w:rsid w:val="002C7025"/>
    <w:rsid w:val="002C793B"/>
    <w:rsid w:val="002C79D0"/>
    <w:rsid w:val="002C7ADC"/>
    <w:rsid w:val="002C7B11"/>
    <w:rsid w:val="002C7BFB"/>
    <w:rsid w:val="002D03B0"/>
    <w:rsid w:val="002D0487"/>
    <w:rsid w:val="002D087A"/>
    <w:rsid w:val="002D08BE"/>
    <w:rsid w:val="002D0B6C"/>
    <w:rsid w:val="002D0C5D"/>
    <w:rsid w:val="002D105E"/>
    <w:rsid w:val="002D13AE"/>
    <w:rsid w:val="002D16CF"/>
    <w:rsid w:val="002D2117"/>
    <w:rsid w:val="002D22F5"/>
    <w:rsid w:val="002D24A8"/>
    <w:rsid w:val="002D24B5"/>
    <w:rsid w:val="002D27BA"/>
    <w:rsid w:val="002D2946"/>
    <w:rsid w:val="002D2948"/>
    <w:rsid w:val="002D2A39"/>
    <w:rsid w:val="002D2C47"/>
    <w:rsid w:val="002D30A5"/>
    <w:rsid w:val="002D34F9"/>
    <w:rsid w:val="002D36A3"/>
    <w:rsid w:val="002D3BD8"/>
    <w:rsid w:val="002D3BDC"/>
    <w:rsid w:val="002D3D2D"/>
    <w:rsid w:val="002D41B4"/>
    <w:rsid w:val="002D4465"/>
    <w:rsid w:val="002D4586"/>
    <w:rsid w:val="002D46BA"/>
    <w:rsid w:val="002D483E"/>
    <w:rsid w:val="002D4D46"/>
    <w:rsid w:val="002D4FD3"/>
    <w:rsid w:val="002D5018"/>
    <w:rsid w:val="002D50C1"/>
    <w:rsid w:val="002D5602"/>
    <w:rsid w:val="002D5777"/>
    <w:rsid w:val="002D5A93"/>
    <w:rsid w:val="002D5EB1"/>
    <w:rsid w:val="002D6017"/>
    <w:rsid w:val="002D6357"/>
    <w:rsid w:val="002D63C4"/>
    <w:rsid w:val="002D65E8"/>
    <w:rsid w:val="002D69CC"/>
    <w:rsid w:val="002D6B2D"/>
    <w:rsid w:val="002D6F66"/>
    <w:rsid w:val="002D70A7"/>
    <w:rsid w:val="002D70E3"/>
    <w:rsid w:val="002D72A7"/>
    <w:rsid w:val="002D7AA9"/>
    <w:rsid w:val="002E0305"/>
    <w:rsid w:val="002E0878"/>
    <w:rsid w:val="002E098E"/>
    <w:rsid w:val="002E0F53"/>
    <w:rsid w:val="002E193C"/>
    <w:rsid w:val="002E1A3A"/>
    <w:rsid w:val="002E1B58"/>
    <w:rsid w:val="002E1B6B"/>
    <w:rsid w:val="002E1D21"/>
    <w:rsid w:val="002E229E"/>
    <w:rsid w:val="002E239A"/>
    <w:rsid w:val="002E284A"/>
    <w:rsid w:val="002E28A5"/>
    <w:rsid w:val="002E2B90"/>
    <w:rsid w:val="002E300A"/>
    <w:rsid w:val="002E3156"/>
    <w:rsid w:val="002E32E5"/>
    <w:rsid w:val="002E35D2"/>
    <w:rsid w:val="002E3A48"/>
    <w:rsid w:val="002E3D19"/>
    <w:rsid w:val="002E49D4"/>
    <w:rsid w:val="002E501C"/>
    <w:rsid w:val="002E508A"/>
    <w:rsid w:val="002E5142"/>
    <w:rsid w:val="002E5294"/>
    <w:rsid w:val="002E539F"/>
    <w:rsid w:val="002E53CD"/>
    <w:rsid w:val="002E5473"/>
    <w:rsid w:val="002E5862"/>
    <w:rsid w:val="002E5DF5"/>
    <w:rsid w:val="002E5FE4"/>
    <w:rsid w:val="002E6105"/>
    <w:rsid w:val="002E610E"/>
    <w:rsid w:val="002E624C"/>
    <w:rsid w:val="002E666F"/>
    <w:rsid w:val="002E678E"/>
    <w:rsid w:val="002E67BF"/>
    <w:rsid w:val="002E67D3"/>
    <w:rsid w:val="002E6850"/>
    <w:rsid w:val="002E7016"/>
    <w:rsid w:val="002E70D8"/>
    <w:rsid w:val="002E7142"/>
    <w:rsid w:val="002E71CF"/>
    <w:rsid w:val="002E76BF"/>
    <w:rsid w:val="002E78F8"/>
    <w:rsid w:val="002E7990"/>
    <w:rsid w:val="002E7CF7"/>
    <w:rsid w:val="002F0048"/>
    <w:rsid w:val="002F04BB"/>
    <w:rsid w:val="002F060A"/>
    <w:rsid w:val="002F069D"/>
    <w:rsid w:val="002F0802"/>
    <w:rsid w:val="002F083C"/>
    <w:rsid w:val="002F096D"/>
    <w:rsid w:val="002F0A7B"/>
    <w:rsid w:val="002F0BAB"/>
    <w:rsid w:val="002F0F42"/>
    <w:rsid w:val="002F123B"/>
    <w:rsid w:val="002F16AA"/>
    <w:rsid w:val="002F18F7"/>
    <w:rsid w:val="002F1ED4"/>
    <w:rsid w:val="002F1F04"/>
    <w:rsid w:val="002F21DD"/>
    <w:rsid w:val="002F23E1"/>
    <w:rsid w:val="002F2A16"/>
    <w:rsid w:val="002F2CD1"/>
    <w:rsid w:val="002F2EBF"/>
    <w:rsid w:val="002F35A3"/>
    <w:rsid w:val="002F3A6A"/>
    <w:rsid w:val="002F3A85"/>
    <w:rsid w:val="002F3DDB"/>
    <w:rsid w:val="002F3FCB"/>
    <w:rsid w:val="002F43CF"/>
    <w:rsid w:val="002F45C2"/>
    <w:rsid w:val="002F4A12"/>
    <w:rsid w:val="002F4A20"/>
    <w:rsid w:val="002F4A6E"/>
    <w:rsid w:val="002F4E65"/>
    <w:rsid w:val="002F5153"/>
    <w:rsid w:val="002F54A2"/>
    <w:rsid w:val="002F588E"/>
    <w:rsid w:val="002F5908"/>
    <w:rsid w:val="002F5D85"/>
    <w:rsid w:val="002F6031"/>
    <w:rsid w:val="002F60DF"/>
    <w:rsid w:val="002F618E"/>
    <w:rsid w:val="002F622D"/>
    <w:rsid w:val="002F62D5"/>
    <w:rsid w:val="002F62D7"/>
    <w:rsid w:val="002F6356"/>
    <w:rsid w:val="002F6413"/>
    <w:rsid w:val="002F663C"/>
    <w:rsid w:val="002F677A"/>
    <w:rsid w:val="002F6A9D"/>
    <w:rsid w:val="002F6D50"/>
    <w:rsid w:val="002F75CB"/>
    <w:rsid w:val="002F7E3C"/>
    <w:rsid w:val="003003AD"/>
    <w:rsid w:val="003005A0"/>
    <w:rsid w:val="00300831"/>
    <w:rsid w:val="00300959"/>
    <w:rsid w:val="00300D5F"/>
    <w:rsid w:val="00301031"/>
    <w:rsid w:val="00301268"/>
    <w:rsid w:val="00301817"/>
    <w:rsid w:val="00301951"/>
    <w:rsid w:val="00301A82"/>
    <w:rsid w:val="00301B13"/>
    <w:rsid w:val="00301D69"/>
    <w:rsid w:val="00301DC4"/>
    <w:rsid w:val="00301E0D"/>
    <w:rsid w:val="00302442"/>
    <w:rsid w:val="003027BE"/>
    <w:rsid w:val="003029C1"/>
    <w:rsid w:val="00302F01"/>
    <w:rsid w:val="00303254"/>
    <w:rsid w:val="00303829"/>
    <w:rsid w:val="00303A2B"/>
    <w:rsid w:val="00303E95"/>
    <w:rsid w:val="00303FC8"/>
    <w:rsid w:val="003045D3"/>
    <w:rsid w:val="00304639"/>
    <w:rsid w:val="00304DD9"/>
    <w:rsid w:val="00304E98"/>
    <w:rsid w:val="00304F96"/>
    <w:rsid w:val="003050D1"/>
    <w:rsid w:val="00305109"/>
    <w:rsid w:val="0030545E"/>
    <w:rsid w:val="003055DC"/>
    <w:rsid w:val="003055FC"/>
    <w:rsid w:val="0030580C"/>
    <w:rsid w:val="00305A71"/>
    <w:rsid w:val="00305D3B"/>
    <w:rsid w:val="0030621A"/>
    <w:rsid w:val="00306676"/>
    <w:rsid w:val="00306D27"/>
    <w:rsid w:val="00307197"/>
    <w:rsid w:val="003072B3"/>
    <w:rsid w:val="0030738B"/>
    <w:rsid w:val="003079DD"/>
    <w:rsid w:val="003079F9"/>
    <w:rsid w:val="00307E0F"/>
    <w:rsid w:val="00310077"/>
    <w:rsid w:val="003100CB"/>
    <w:rsid w:val="0031050B"/>
    <w:rsid w:val="00310A54"/>
    <w:rsid w:val="0031108B"/>
    <w:rsid w:val="00311343"/>
    <w:rsid w:val="00311421"/>
    <w:rsid w:val="003116BC"/>
    <w:rsid w:val="0031196A"/>
    <w:rsid w:val="00311C3B"/>
    <w:rsid w:val="00311C8C"/>
    <w:rsid w:val="003123CF"/>
    <w:rsid w:val="00312538"/>
    <w:rsid w:val="0031273E"/>
    <w:rsid w:val="00312800"/>
    <w:rsid w:val="0031294E"/>
    <w:rsid w:val="003129F7"/>
    <w:rsid w:val="003134DD"/>
    <w:rsid w:val="00313723"/>
    <w:rsid w:val="00313788"/>
    <w:rsid w:val="00313840"/>
    <w:rsid w:val="00313936"/>
    <w:rsid w:val="00313998"/>
    <w:rsid w:val="00313E21"/>
    <w:rsid w:val="00313EC5"/>
    <w:rsid w:val="003143D0"/>
    <w:rsid w:val="003146B0"/>
    <w:rsid w:val="00314EE8"/>
    <w:rsid w:val="00315345"/>
    <w:rsid w:val="0031538D"/>
    <w:rsid w:val="00315527"/>
    <w:rsid w:val="00315C24"/>
    <w:rsid w:val="00315FC4"/>
    <w:rsid w:val="00316394"/>
    <w:rsid w:val="00316580"/>
    <w:rsid w:val="00316623"/>
    <w:rsid w:val="00316803"/>
    <w:rsid w:val="003168B8"/>
    <w:rsid w:val="00316B08"/>
    <w:rsid w:val="00317361"/>
    <w:rsid w:val="00317837"/>
    <w:rsid w:val="00317F63"/>
    <w:rsid w:val="003200E2"/>
    <w:rsid w:val="003205C8"/>
    <w:rsid w:val="00320EB4"/>
    <w:rsid w:val="00321069"/>
    <w:rsid w:val="00321369"/>
    <w:rsid w:val="003214DB"/>
    <w:rsid w:val="003215FC"/>
    <w:rsid w:val="00321E42"/>
    <w:rsid w:val="00322181"/>
    <w:rsid w:val="00322632"/>
    <w:rsid w:val="00322960"/>
    <w:rsid w:val="00322C71"/>
    <w:rsid w:val="00322E13"/>
    <w:rsid w:val="00322F76"/>
    <w:rsid w:val="00322FC7"/>
    <w:rsid w:val="003230AA"/>
    <w:rsid w:val="003235D8"/>
    <w:rsid w:val="003235E1"/>
    <w:rsid w:val="00323606"/>
    <w:rsid w:val="003236D1"/>
    <w:rsid w:val="00323922"/>
    <w:rsid w:val="003239C8"/>
    <w:rsid w:val="003239F4"/>
    <w:rsid w:val="00323B0F"/>
    <w:rsid w:val="003247E8"/>
    <w:rsid w:val="0032480E"/>
    <w:rsid w:val="00324875"/>
    <w:rsid w:val="003248FB"/>
    <w:rsid w:val="003251E4"/>
    <w:rsid w:val="003252E3"/>
    <w:rsid w:val="00325400"/>
    <w:rsid w:val="00325521"/>
    <w:rsid w:val="0032570F"/>
    <w:rsid w:val="003257BC"/>
    <w:rsid w:val="003258E5"/>
    <w:rsid w:val="003258E7"/>
    <w:rsid w:val="0032592D"/>
    <w:rsid w:val="0032596E"/>
    <w:rsid w:val="003259D8"/>
    <w:rsid w:val="00325D68"/>
    <w:rsid w:val="0032624E"/>
    <w:rsid w:val="00326840"/>
    <w:rsid w:val="003268A6"/>
    <w:rsid w:val="00326BE9"/>
    <w:rsid w:val="00326F9D"/>
    <w:rsid w:val="00326FF2"/>
    <w:rsid w:val="0032711D"/>
    <w:rsid w:val="00327326"/>
    <w:rsid w:val="003274C0"/>
    <w:rsid w:val="00327A80"/>
    <w:rsid w:val="00327A8A"/>
    <w:rsid w:val="00327AD3"/>
    <w:rsid w:val="0033026A"/>
    <w:rsid w:val="00330848"/>
    <w:rsid w:val="00330B1B"/>
    <w:rsid w:val="00330DCF"/>
    <w:rsid w:val="00331072"/>
    <w:rsid w:val="0033146B"/>
    <w:rsid w:val="00332014"/>
    <w:rsid w:val="003321C6"/>
    <w:rsid w:val="00332582"/>
    <w:rsid w:val="0033258D"/>
    <w:rsid w:val="00332752"/>
    <w:rsid w:val="0033283F"/>
    <w:rsid w:val="0033290B"/>
    <w:rsid w:val="003330A7"/>
    <w:rsid w:val="0033313F"/>
    <w:rsid w:val="0033318E"/>
    <w:rsid w:val="00333762"/>
    <w:rsid w:val="003337EB"/>
    <w:rsid w:val="003339C8"/>
    <w:rsid w:val="00333A6E"/>
    <w:rsid w:val="00333B24"/>
    <w:rsid w:val="00333CA8"/>
    <w:rsid w:val="00333DD2"/>
    <w:rsid w:val="00334536"/>
    <w:rsid w:val="00334821"/>
    <w:rsid w:val="003348B0"/>
    <w:rsid w:val="00334AD5"/>
    <w:rsid w:val="00334D3F"/>
    <w:rsid w:val="00334F14"/>
    <w:rsid w:val="003350B5"/>
    <w:rsid w:val="00335448"/>
    <w:rsid w:val="0033587A"/>
    <w:rsid w:val="003365D3"/>
    <w:rsid w:val="00336605"/>
    <w:rsid w:val="00336711"/>
    <w:rsid w:val="00336992"/>
    <w:rsid w:val="00336ACD"/>
    <w:rsid w:val="00336E91"/>
    <w:rsid w:val="0033701D"/>
    <w:rsid w:val="003376A0"/>
    <w:rsid w:val="00337BBB"/>
    <w:rsid w:val="0034053E"/>
    <w:rsid w:val="00340597"/>
    <w:rsid w:val="003406EA"/>
    <w:rsid w:val="00340779"/>
    <w:rsid w:val="00340A1F"/>
    <w:rsid w:val="00340AB4"/>
    <w:rsid w:val="00340D97"/>
    <w:rsid w:val="00340FD5"/>
    <w:rsid w:val="0034104E"/>
    <w:rsid w:val="003414FD"/>
    <w:rsid w:val="0034168F"/>
    <w:rsid w:val="003417C3"/>
    <w:rsid w:val="0034192F"/>
    <w:rsid w:val="00341F67"/>
    <w:rsid w:val="00341FCD"/>
    <w:rsid w:val="003420B7"/>
    <w:rsid w:val="003422C6"/>
    <w:rsid w:val="003424CA"/>
    <w:rsid w:val="00342CC3"/>
    <w:rsid w:val="003431E7"/>
    <w:rsid w:val="003433ED"/>
    <w:rsid w:val="0034350B"/>
    <w:rsid w:val="00343A2A"/>
    <w:rsid w:val="00343C9D"/>
    <w:rsid w:val="00343E14"/>
    <w:rsid w:val="00343E2B"/>
    <w:rsid w:val="00344310"/>
    <w:rsid w:val="00344DA7"/>
    <w:rsid w:val="00345097"/>
    <w:rsid w:val="00345B7E"/>
    <w:rsid w:val="0034660F"/>
    <w:rsid w:val="0034699C"/>
    <w:rsid w:val="003469EF"/>
    <w:rsid w:val="00346AB6"/>
    <w:rsid w:val="00346DF4"/>
    <w:rsid w:val="00346F93"/>
    <w:rsid w:val="00346FAE"/>
    <w:rsid w:val="003476DE"/>
    <w:rsid w:val="00347824"/>
    <w:rsid w:val="003479EC"/>
    <w:rsid w:val="00347CC5"/>
    <w:rsid w:val="00347E41"/>
    <w:rsid w:val="0035018D"/>
    <w:rsid w:val="0035036C"/>
    <w:rsid w:val="003503C9"/>
    <w:rsid w:val="003505EF"/>
    <w:rsid w:val="00350A4B"/>
    <w:rsid w:val="00350A74"/>
    <w:rsid w:val="00350E3F"/>
    <w:rsid w:val="00350EC8"/>
    <w:rsid w:val="0035103F"/>
    <w:rsid w:val="0035143C"/>
    <w:rsid w:val="00351E39"/>
    <w:rsid w:val="00352005"/>
    <w:rsid w:val="00352088"/>
    <w:rsid w:val="00352127"/>
    <w:rsid w:val="00352328"/>
    <w:rsid w:val="003524FC"/>
    <w:rsid w:val="00352903"/>
    <w:rsid w:val="003530F9"/>
    <w:rsid w:val="00353242"/>
    <w:rsid w:val="00353B0C"/>
    <w:rsid w:val="00353D0B"/>
    <w:rsid w:val="00353FDE"/>
    <w:rsid w:val="003549A4"/>
    <w:rsid w:val="00354BBC"/>
    <w:rsid w:val="00354C44"/>
    <w:rsid w:val="00354DEA"/>
    <w:rsid w:val="00354E21"/>
    <w:rsid w:val="00354E42"/>
    <w:rsid w:val="00354FA1"/>
    <w:rsid w:val="0035504C"/>
    <w:rsid w:val="003552AD"/>
    <w:rsid w:val="00355324"/>
    <w:rsid w:val="00355805"/>
    <w:rsid w:val="0035583E"/>
    <w:rsid w:val="00355B25"/>
    <w:rsid w:val="00355D39"/>
    <w:rsid w:val="00356385"/>
    <w:rsid w:val="00356497"/>
    <w:rsid w:val="003565E7"/>
    <w:rsid w:val="0035674C"/>
    <w:rsid w:val="00356793"/>
    <w:rsid w:val="003574DA"/>
    <w:rsid w:val="00357508"/>
    <w:rsid w:val="003577B0"/>
    <w:rsid w:val="00357A51"/>
    <w:rsid w:val="003605C7"/>
    <w:rsid w:val="003607FF"/>
    <w:rsid w:val="00360870"/>
    <w:rsid w:val="003612AD"/>
    <w:rsid w:val="003618DF"/>
    <w:rsid w:val="00361907"/>
    <w:rsid w:val="0036194E"/>
    <w:rsid w:val="00361B5A"/>
    <w:rsid w:val="00361C2F"/>
    <w:rsid w:val="00361F15"/>
    <w:rsid w:val="0036283B"/>
    <w:rsid w:val="003628FA"/>
    <w:rsid w:val="003629F5"/>
    <w:rsid w:val="00362A2D"/>
    <w:rsid w:val="00362D5B"/>
    <w:rsid w:val="00362E93"/>
    <w:rsid w:val="003632D6"/>
    <w:rsid w:val="00363389"/>
    <w:rsid w:val="0036394F"/>
    <w:rsid w:val="00363A10"/>
    <w:rsid w:val="00363B3E"/>
    <w:rsid w:val="00363CA2"/>
    <w:rsid w:val="003643CB"/>
    <w:rsid w:val="00364D55"/>
    <w:rsid w:val="00364EF0"/>
    <w:rsid w:val="00364F41"/>
    <w:rsid w:val="00365088"/>
    <w:rsid w:val="00365101"/>
    <w:rsid w:val="00365129"/>
    <w:rsid w:val="003659D0"/>
    <w:rsid w:val="00365BFB"/>
    <w:rsid w:val="003661DB"/>
    <w:rsid w:val="00366388"/>
    <w:rsid w:val="00366555"/>
    <w:rsid w:val="0036674F"/>
    <w:rsid w:val="003669B3"/>
    <w:rsid w:val="00366D39"/>
    <w:rsid w:val="00366D72"/>
    <w:rsid w:val="00366D9F"/>
    <w:rsid w:val="00367118"/>
    <w:rsid w:val="00367152"/>
    <w:rsid w:val="00367D36"/>
    <w:rsid w:val="00367E8D"/>
    <w:rsid w:val="00367F3F"/>
    <w:rsid w:val="0037014F"/>
    <w:rsid w:val="0037040E"/>
    <w:rsid w:val="00370463"/>
    <w:rsid w:val="00370A6A"/>
    <w:rsid w:val="003710F5"/>
    <w:rsid w:val="00371109"/>
    <w:rsid w:val="003711C9"/>
    <w:rsid w:val="003711E6"/>
    <w:rsid w:val="00371439"/>
    <w:rsid w:val="003728D0"/>
    <w:rsid w:val="00372C07"/>
    <w:rsid w:val="00372C26"/>
    <w:rsid w:val="00373152"/>
    <w:rsid w:val="00373471"/>
    <w:rsid w:val="003734A4"/>
    <w:rsid w:val="00373AD2"/>
    <w:rsid w:val="00373CB3"/>
    <w:rsid w:val="00374110"/>
    <w:rsid w:val="0037456F"/>
    <w:rsid w:val="003747E4"/>
    <w:rsid w:val="0037510B"/>
    <w:rsid w:val="00375ABF"/>
    <w:rsid w:val="00375E2F"/>
    <w:rsid w:val="00376093"/>
    <w:rsid w:val="003761BC"/>
    <w:rsid w:val="00376BD5"/>
    <w:rsid w:val="00376CAA"/>
    <w:rsid w:val="003776CA"/>
    <w:rsid w:val="003776D4"/>
    <w:rsid w:val="00377703"/>
    <w:rsid w:val="00377740"/>
    <w:rsid w:val="00377A3B"/>
    <w:rsid w:val="00377FDD"/>
    <w:rsid w:val="00380334"/>
    <w:rsid w:val="0038046C"/>
    <w:rsid w:val="00380B6C"/>
    <w:rsid w:val="00380C1A"/>
    <w:rsid w:val="0038110A"/>
    <w:rsid w:val="00381155"/>
    <w:rsid w:val="003813E9"/>
    <w:rsid w:val="00381502"/>
    <w:rsid w:val="003817DE"/>
    <w:rsid w:val="00381939"/>
    <w:rsid w:val="003823F8"/>
    <w:rsid w:val="00382744"/>
    <w:rsid w:val="00382AEB"/>
    <w:rsid w:val="0038303B"/>
    <w:rsid w:val="003834E3"/>
    <w:rsid w:val="00383630"/>
    <w:rsid w:val="0038365A"/>
    <w:rsid w:val="0038398B"/>
    <w:rsid w:val="003839B9"/>
    <w:rsid w:val="003839D0"/>
    <w:rsid w:val="00383EEF"/>
    <w:rsid w:val="00383F4A"/>
    <w:rsid w:val="00383FE8"/>
    <w:rsid w:val="00384033"/>
    <w:rsid w:val="003846F8"/>
    <w:rsid w:val="003847B8"/>
    <w:rsid w:val="0038498C"/>
    <w:rsid w:val="00384A6C"/>
    <w:rsid w:val="00384AD6"/>
    <w:rsid w:val="00385083"/>
    <w:rsid w:val="003850EC"/>
    <w:rsid w:val="00385291"/>
    <w:rsid w:val="00386071"/>
    <w:rsid w:val="003862DB"/>
    <w:rsid w:val="003864C4"/>
    <w:rsid w:val="00386516"/>
    <w:rsid w:val="003867FA"/>
    <w:rsid w:val="00386838"/>
    <w:rsid w:val="00386969"/>
    <w:rsid w:val="00386D5D"/>
    <w:rsid w:val="00386DEE"/>
    <w:rsid w:val="00386F0D"/>
    <w:rsid w:val="003870F7"/>
    <w:rsid w:val="00387540"/>
    <w:rsid w:val="00387625"/>
    <w:rsid w:val="00387665"/>
    <w:rsid w:val="003878D3"/>
    <w:rsid w:val="00387978"/>
    <w:rsid w:val="00387AB2"/>
    <w:rsid w:val="00387C42"/>
    <w:rsid w:val="00387C63"/>
    <w:rsid w:val="003900B4"/>
    <w:rsid w:val="00390623"/>
    <w:rsid w:val="003906FF"/>
    <w:rsid w:val="003908E6"/>
    <w:rsid w:val="00390963"/>
    <w:rsid w:val="00390AA6"/>
    <w:rsid w:val="00390B7B"/>
    <w:rsid w:val="00390F5B"/>
    <w:rsid w:val="003910FD"/>
    <w:rsid w:val="0039112D"/>
    <w:rsid w:val="00391172"/>
    <w:rsid w:val="0039124B"/>
    <w:rsid w:val="00391A39"/>
    <w:rsid w:val="00391AF4"/>
    <w:rsid w:val="00391C68"/>
    <w:rsid w:val="00391C71"/>
    <w:rsid w:val="00392544"/>
    <w:rsid w:val="00392680"/>
    <w:rsid w:val="00392712"/>
    <w:rsid w:val="00392895"/>
    <w:rsid w:val="0039340C"/>
    <w:rsid w:val="00393503"/>
    <w:rsid w:val="00393801"/>
    <w:rsid w:val="00393B47"/>
    <w:rsid w:val="00394026"/>
    <w:rsid w:val="003946CB"/>
    <w:rsid w:val="00394998"/>
    <w:rsid w:val="00395011"/>
    <w:rsid w:val="00395607"/>
    <w:rsid w:val="0039564A"/>
    <w:rsid w:val="003956A1"/>
    <w:rsid w:val="00395798"/>
    <w:rsid w:val="00395A34"/>
    <w:rsid w:val="00395AE6"/>
    <w:rsid w:val="00395B43"/>
    <w:rsid w:val="00395E11"/>
    <w:rsid w:val="00396020"/>
    <w:rsid w:val="00396660"/>
    <w:rsid w:val="003969BD"/>
    <w:rsid w:val="00396F28"/>
    <w:rsid w:val="00396FDE"/>
    <w:rsid w:val="00397057"/>
    <w:rsid w:val="003971FC"/>
    <w:rsid w:val="00397249"/>
    <w:rsid w:val="0039734C"/>
    <w:rsid w:val="00397387"/>
    <w:rsid w:val="0039745E"/>
    <w:rsid w:val="003974F2"/>
    <w:rsid w:val="00397648"/>
    <w:rsid w:val="00397667"/>
    <w:rsid w:val="0039787E"/>
    <w:rsid w:val="00397B17"/>
    <w:rsid w:val="00397B6F"/>
    <w:rsid w:val="00397B88"/>
    <w:rsid w:val="003A089A"/>
    <w:rsid w:val="003A09E3"/>
    <w:rsid w:val="003A0AB5"/>
    <w:rsid w:val="003A0D45"/>
    <w:rsid w:val="003A0DF8"/>
    <w:rsid w:val="003A139A"/>
    <w:rsid w:val="003A1529"/>
    <w:rsid w:val="003A1580"/>
    <w:rsid w:val="003A1A5F"/>
    <w:rsid w:val="003A1AE2"/>
    <w:rsid w:val="003A1D22"/>
    <w:rsid w:val="003A22E2"/>
    <w:rsid w:val="003A247B"/>
    <w:rsid w:val="003A2D30"/>
    <w:rsid w:val="003A2DE7"/>
    <w:rsid w:val="003A2EDA"/>
    <w:rsid w:val="003A3532"/>
    <w:rsid w:val="003A3567"/>
    <w:rsid w:val="003A3709"/>
    <w:rsid w:val="003A41BB"/>
    <w:rsid w:val="003A46F3"/>
    <w:rsid w:val="003A4876"/>
    <w:rsid w:val="003A4B4F"/>
    <w:rsid w:val="003A5009"/>
    <w:rsid w:val="003A5090"/>
    <w:rsid w:val="003A5116"/>
    <w:rsid w:val="003A567F"/>
    <w:rsid w:val="003A5A32"/>
    <w:rsid w:val="003A5A3B"/>
    <w:rsid w:val="003A5C1B"/>
    <w:rsid w:val="003A5F85"/>
    <w:rsid w:val="003A617D"/>
    <w:rsid w:val="003A6471"/>
    <w:rsid w:val="003A6DBD"/>
    <w:rsid w:val="003A7139"/>
    <w:rsid w:val="003A73DF"/>
    <w:rsid w:val="003A74DC"/>
    <w:rsid w:val="003A769C"/>
    <w:rsid w:val="003A770D"/>
    <w:rsid w:val="003A7986"/>
    <w:rsid w:val="003B0207"/>
    <w:rsid w:val="003B0329"/>
    <w:rsid w:val="003B0333"/>
    <w:rsid w:val="003B0368"/>
    <w:rsid w:val="003B061A"/>
    <w:rsid w:val="003B0829"/>
    <w:rsid w:val="003B083D"/>
    <w:rsid w:val="003B0DF1"/>
    <w:rsid w:val="003B1139"/>
    <w:rsid w:val="003B11C9"/>
    <w:rsid w:val="003B156A"/>
    <w:rsid w:val="003B15CB"/>
    <w:rsid w:val="003B1BEC"/>
    <w:rsid w:val="003B1F85"/>
    <w:rsid w:val="003B2026"/>
    <w:rsid w:val="003B3D16"/>
    <w:rsid w:val="003B3F27"/>
    <w:rsid w:val="003B3F38"/>
    <w:rsid w:val="003B4262"/>
    <w:rsid w:val="003B474B"/>
    <w:rsid w:val="003B4755"/>
    <w:rsid w:val="003B4A2E"/>
    <w:rsid w:val="003B4D57"/>
    <w:rsid w:val="003B4DB7"/>
    <w:rsid w:val="003B4EC5"/>
    <w:rsid w:val="003B4FB9"/>
    <w:rsid w:val="003B5190"/>
    <w:rsid w:val="003B520E"/>
    <w:rsid w:val="003B5237"/>
    <w:rsid w:val="003B5801"/>
    <w:rsid w:val="003B5835"/>
    <w:rsid w:val="003B6189"/>
    <w:rsid w:val="003B6398"/>
    <w:rsid w:val="003B6456"/>
    <w:rsid w:val="003B656C"/>
    <w:rsid w:val="003B6A8F"/>
    <w:rsid w:val="003B6CFC"/>
    <w:rsid w:val="003B6E5B"/>
    <w:rsid w:val="003B6FEF"/>
    <w:rsid w:val="003B710C"/>
    <w:rsid w:val="003B7232"/>
    <w:rsid w:val="003B737B"/>
    <w:rsid w:val="003B7A14"/>
    <w:rsid w:val="003B7E5E"/>
    <w:rsid w:val="003C020F"/>
    <w:rsid w:val="003C02DD"/>
    <w:rsid w:val="003C0AC9"/>
    <w:rsid w:val="003C0CAC"/>
    <w:rsid w:val="003C0E95"/>
    <w:rsid w:val="003C0F9D"/>
    <w:rsid w:val="003C1381"/>
    <w:rsid w:val="003C14F5"/>
    <w:rsid w:val="003C1914"/>
    <w:rsid w:val="003C19F0"/>
    <w:rsid w:val="003C1D4E"/>
    <w:rsid w:val="003C1D92"/>
    <w:rsid w:val="003C2050"/>
    <w:rsid w:val="003C2655"/>
    <w:rsid w:val="003C29F3"/>
    <w:rsid w:val="003C2AB1"/>
    <w:rsid w:val="003C2B06"/>
    <w:rsid w:val="003C2E94"/>
    <w:rsid w:val="003C311B"/>
    <w:rsid w:val="003C38B7"/>
    <w:rsid w:val="003C39CA"/>
    <w:rsid w:val="003C3B0E"/>
    <w:rsid w:val="003C3DA4"/>
    <w:rsid w:val="003C3DC1"/>
    <w:rsid w:val="003C3E23"/>
    <w:rsid w:val="003C42F5"/>
    <w:rsid w:val="003C44AA"/>
    <w:rsid w:val="003C466B"/>
    <w:rsid w:val="003C469D"/>
    <w:rsid w:val="003C4837"/>
    <w:rsid w:val="003C4C73"/>
    <w:rsid w:val="003C4DEC"/>
    <w:rsid w:val="003C4E25"/>
    <w:rsid w:val="003C5073"/>
    <w:rsid w:val="003C512D"/>
    <w:rsid w:val="003C5650"/>
    <w:rsid w:val="003C56AF"/>
    <w:rsid w:val="003C56B9"/>
    <w:rsid w:val="003C589E"/>
    <w:rsid w:val="003C5969"/>
    <w:rsid w:val="003C5C49"/>
    <w:rsid w:val="003C5CF8"/>
    <w:rsid w:val="003C5D0F"/>
    <w:rsid w:val="003C5D45"/>
    <w:rsid w:val="003C5F50"/>
    <w:rsid w:val="003C623C"/>
    <w:rsid w:val="003C67E0"/>
    <w:rsid w:val="003C6D8C"/>
    <w:rsid w:val="003C6E47"/>
    <w:rsid w:val="003C7795"/>
    <w:rsid w:val="003C7951"/>
    <w:rsid w:val="003D0180"/>
    <w:rsid w:val="003D077F"/>
    <w:rsid w:val="003D0A9C"/>
    <w:rsid w:val="003D0BD9"/>
    <w:rsid w:val="003D0C73"/>
    <w:rsid w:val="003D0CE1"/>
    <w:rsid w:val="003D0F57"/>
    <w:rsid w:val="003D1109"/>
    <w:rsid w:val="003D1117"/>
    <w:rsid w:val="003D1668"/>
    <w:rsid w:val="003D1752"/>
    <w:rsid w:val="003D1870"/>
    <w:rsid w:val="003D1FB2"/>
    <w:rsid w:val="003D2376"/>
    <w:rsid w:val="003D23CA"/>
    <w:rsid w:val="003D2670"/>
    <w:rsid w:val="003D2718"/>
    <w:rsid w:val="003D283E"/>
    <w:rsid w:val="003D2942"/>
    <w:rsid w:val="003D2E92"/>
    <w:rsid w:val="003D3290"/>
    <w:rsid w:val="003D36FF"/>
    <w:rsid w:val="003D3926"/>
    <w:rsid w:val="003D3A0E"/>
    <w:rsid w:val="003D3FD8"/>
    <w:rsid w:val="003D403D"/>
    <w:rsid w:val="003D40C4"/>
    <w:rsid w:val="003D45A2"/>
    <w:rsid w:val="003D46D5"/>
    <w:rsid w:val="003D4981"/>
    <w:rsid w:val="003D4A38"/>
    <w:rsid w:val="003D4D74"/>
    <w:rsid w:val="003D4EEE"/>
    <w:rsid w:val="003D502F"/>
    <w:rsid w:val="003D5B7A"/>
    <w:rsid w:val="003D5FAB"/>
    <w:rsid w:val="003D63F4"/>
    <w:rsid w:val="003D6BB0"/>
    <w:rsid w:val="003D6D79"/>
    <w:rsid w:val="003D6ED7"/>
    <w:rsid w:val="003D720D"/>
    <w:rsid w:val="003D7640"/>
    <w:rsid w:val="003D79B2"/>
    <w:rsid w:val="003D7A39"/>
    <w:rsid w:val="003D7C22"/>
    <w:rsid w:val="003E0082"/>
    <w:rsid w:val="003E1D31"/>
    <w:rsid w:val="003E20AA"/>
    <w:rsid w:val="003E275A"/>
    <w:rsid w:val="003E288A"/>
    <w:rsid w:val="003E2C62"/>
    <w:rsid w:val="003E2C6C"/>
    <w:rsid w:val="003E2DF4"/>
    <w:rsid w:val="003E3027"/>
    <w:rsid w:val="003E3266"/>
    <w:rsid w:val="003E42D2"/>
    <w:rsid w:val="003E433F"/>
    <w:rsid w:val="003E4AC3"/>
    <w:rsid w:val="003E4D80"/>
    <w:rsid w:val="003E4D86"/>
    <w:rsid w:val="003E5240"/>
    <w:rsid w:val="003E550B"/>
    <w:rsid w:val="003E5914"/>
    <w:rsid w:val="003E5C89"/>
    <w:rsid w:val="003E6025"/>
    <w:rsid w:val="003E647F"/>
    <w:rsid w:val="003E65F8"/>
    <w:rsid w:val="003E670F"/>
    <w:rsid w:val="003E67D0"/>
    <w:rsid w:val="003E6922"/>
    <w:rsid w:val="003E6965"/>
    <w:rsid w:val="003E6FEE"/>
    <w:rsid w:val="003E7314"/>
    <w:rsid w:val="003E7315"/>
    <w:rsid w:val="003E78F0"/>
    <w:rsid w:val="003E7B21"/>
    <w:rsid w:val="003F01A8"/>
    <w:rsid w:val="003F04FF"/>
    <w:rsid w:val="003F0659"/>
    <w:rsid w:val="003F06FD"/>
    <w:rsid w:val="003F0829"/>
    <w:rsid w:val="003F0A88"/>
    <w:rsid w:val="003F0B4D"/>
    <w:rsid w:val="003F0D4E"/>
    <w:rsid w:val="003F0F10"/>
    <w:rsid w:val="003F106F"/>
    <w:rsid w:val="003F11A4"/>
    <w:rsid w:val="003F1323"/>
    <w:rsid w:val="003F14E5"/>
    <w:rsid w:val="003F1855"/>
    <w:rsid w:val="003F1AC6"/>
    <w:rsid w:val="003F2011"/>
    <w:rsid w:val="003F2015"/>
    <w:rsid w:val="003F24E6"/>
    <w:rsid w:val="003F270F"/>
    <w:rsid w:val="003F273B"/>
    <w:rsid w:val="003F2DB5"/>
    <w:rsid w:val="003F2EA9"/>
    <w:rsid w:val="003F2EAB"/>
    <w:rsid w:val="003F3192"/>
    <w:rsid w:val="003F3782"/>
    <w:rsid w:val="003F3867"/>
    <w:rsid w:val="003F3DFE"/>
    <w:rsid w:val="003F48D6"/>
    <w:rsid w:val="003F496E"/>
    <w:rsid w:val="003F49BA"/>
    <w:rsid w:val="003F4AC8"/>
    <w:rsid w:val="003F4BBD"/>
    <w:rsid w:val="003F4CBF"/>
    <w:rsid w:val="003F4DB0"/>
    <w:rsid w:val="003F5138"/>
    <w:rsid w:val="003F5944"/>
    <w:rsid w:val="003F6219"/>
    <w:rsid w:val="003F63C7"/>
    <w:rsid w:val="003F648E"/>
    <w:rsid w:val="003F65D1"/>
    <w:rsid w:val="003F6B86"/>
    <w:rsid w:val="003F6C9F"/>
    <w:rsid w:val="003F6FED"/>
    <w:rsid w:val="003F710C"/>
    <w:rsid w:val="003F7338"/>
    <w:rsid w:val="003F7581"/>
    <w:rsid w:val="003F77A6"/>
    <w:rsid w:val="003F7976"/>
    <w:rsid w:val="003F798E"/>
    <w:rsid w:val="003F7A78"/>
    <w:rsid w:val="003F7D41"/>
    <w:rsid w:val="004000EC"/>
    <w:rsid w:val="00400105"/>
    <w:rsid w:val="004001C9"/>
    <w:rsid w:val="0040026B"/>
    <w:rsid w:val="004003E2"/>
    <w:rsid w:val="004007C1"/>
    <w:rsid w:val="004009BD"/>
    <w:rsid w:val="00400C61"/>
    <w:rsid w:val="00401427"/>
    <w:rsid w:val="004016F1"/>
    <w:rsid w:val="004019C8"/>
    <w:rsid w:val="00401C97"/>
    <w:rsid w:val="00401D01"/>
    <w:rsid w:val="00401DD5"/>
    <w:rsid w:val="004023B5"/>
    <w:rsid w:val="00402854"/>
    <w:rsid w:val="00403493"/>
    <w:rsid w:val="00404242"/>
    <w:rsid w:val="00404468"/>
    <w:rsid w:val="0040491C"/>
    <w:rsid w:val="0040493A"/>
    <w:rsid w:val="00404A94"/>
    <w:rsid w:val="00405169"/>
    <w:rsid w:val="0040532E"/>
    <w:rsid w:val="004053AC"/>
    <w:rsid w:val="004054C0"/>
    <w:rsid w:val="00405526"/>
    <w:rsid w:val="00405A26"/>
    <w:rsid w:val="00405B19"/>
    <w:rsid w:val="00405F34"/>
    <w:rsid w:val="00406134"/>
    <w:rsid w:val="0040624C"/>
    <w:rsid w:val="00406453"/>
    <w:rsid w:val="00406B0D"/>
    <w:rsid w:val="00406BEF"/>
    <w:rsid w:val="0040738F"/>
    <w:rsid w:val="0040794F"/>
    <w:rsid w:val="00407CC1"/>
    <w:rsid w:val="00407D3B"/>
    <w:rsid w:val="0041024F"/>
    <w:rsid w:val="00410615"/>
    <w:rsid w:val="00410719"/>
    <w:rsid w:val="004109FC"/>
    <w:rsid w:val="00411078"/>
    <w:rsid w:val="00411B97"/>
    <w:rsid w:val="00411BB6"/>
    <w:rsid w:val="00411F42"/>
    <w:rsid w:val="0041200B"/>
    <w:rsid w:val="004123C2"/>
    <w:rsid w:val="004124D9"/>
    <w:rsid w:val="00412606"/>
    <w:rsid w:val="00412632"/>
    <w:rsid w:val="004128B5"/>
    <w:rsid w:val="004131EA"/>
    <w:rsid w:val="00413629"/>
    <w:rsid w:val="00413D94"/>
    <w:rsid w:val="00413E7A"/>
    <w:rsid w:val="0041433A"/>
    <w:rsid w:val="004143DB"/>
    <w:rsid w:val="00414512"/>
    <w:rsid w:val="004145AD"/>
    <w:rsid w:val="00414640"/>
    <w:rsid w:val="004146FF"/>
    <w:rsid w:val="0041510C"/>
    <w:rsid w:val="00415302"/>
    <w:rsid w:val="004153A1"/>
    <w:rsid w:val="004155E4"/>
    <w:rsid w:val="00415731"/>
    <w:rsid w:val="00415AF0"/>
    <w:rsid w:val="00415D3A"/>
    <w:rsid w:val="0041600C"/>
    <w:rsid w:val="00416703"/>
    <w:rsid w:val="00416960"/>
    <w:rsid w:val="00416BE1"/>
    <w:rsid w:val="00416D70"/>
    <w:rsid w:val="00417534"/>
    <w:rsid w:val="004175E1"/>
    <w:rsid w:val="00417646"/>
    <w:rsid w:val="00417817"/>
    <w:rsid w:val="0041798F"/>
    <w:rsid w:val="00417A52"/>
    <w:rsid w:val="00417F67"/>
    <w:rsid w:val="00420479"/>
    <w:rsid w:val="0042089A"/>
    <w:rsid w:val="00420A39"/>
    <w:rsid w:val="00420B29"/>
    <w:rsid w:val="00421A7C"/>
    <w:rsid w:val="00421BA5"/>
    <w:rsid w:val="004221F1"/>
    <w:rsid w:val="00422B2F"/>
    <w:rsid w:val="00422BCA"/>
    <w:rsid w:val="00422D67"/>
    <w:rsid w:val="00422DCC"/>
    <w:rsid w:val="00423060"/>
    <w:rsid w:val="00423278"/>
    <w:rsid w:val="00423391"/>
    <w:rsid w:val="004234B8"/>
    <w:rsid w:val="004234EB"/>
    <w:rsid w:val="00423505"/>
    <w:rsid w:val="00423629"/>
    <w:rsid w:val="0042382C"/>
    <w:rsid w:val="00423BBD"/>
    <w:rsid w:val="00423C2D"/>
    <w:rsid w:val="00423D09"/>
    <w:rsid w:val="004246B0"/>
    <w:rsid w:val="004246D7"/>
    <w:rsid w:val="004248E5"/>
    <w:rsid w:val="0042490F"/>
    <w:rsid w:val="00424D06"/>
    <w:rsid w:val="00424FE3"/>
    <w:rsid w:val="0042502B"/>
    <w:rsid w:val="00425034"/>
    <w:rsid w:val="004253B9"/>
    <w:rsid w:val="004253C5"/>
    <w:rsid w:val="004254AA"/>
    <w:rsid w:val="004259D3"/>
    <w:rsid w:val="00425B49"/>
    <w:rsid w:val="00425D71"/>
    <w:rsid w:val="00425F69"/>
    <w:rsid w:val="0042603B"/>
    <w:rsid w:val="00426127"/>
    <w:rsid w:val="0042619D"/>
    <w:rsid w:val="00426775"/>
    <w:rsid w:val="004267C3"/>
    <w:rsid w:val="00426B90"/>
    <w:rsid w:val="00426BB7"/>
    <w:rsid w:val="00426F17"/>
    <w:rsid w:val="00427629"/>
    <w:rsid w:val="00427F44"/>
    <w:rsid w:val="0043011C"/>
    <w:rsid w:val="0043013E"/>
    <w:rsid w:val="004301AB"/>
    <w:rsid w:val="004303DE"/>
    <w:rsid w:val="004306AF"/>
    <w:rsid w:val="004306FE"/>
    <w:rsid w:val="004309D0"/>
    <w:rsid w:val="00430B96"/>
    <w:rsid w:val="00430C60"/>
    <w:rsid w:val="00430FF0"/>
    <w:rsid w:val="00431089"/>
    <w:rsid w:val="0043127F"/>
    <w:rsid w:val="00431460"/>
    <w:rsid w:val="00431528"/>
    <w:rsid w:val="00432319"/>
    <w:rsid w:val="00432443"/>
    <w:rsid w:val="00432631"/>
    <w:rsid w:val="0043294C"/>
    <w:rsid w:val="00432A20"/>
    <w:rsid w:val="00433299"/>
    <w:rsid w:val="0043344F"/>
    <w:rsid w:val="004338F6"/>
    <w:rsid w:val="00433E0B"/>
    <w:rsid w:val="00433ED7"/>
    <w:rsid w:val="00434077"/>
    <w:rsid w:val="0043412E"/>
    <w:rsid w:val="0043412F"/>
    <w:rsid w:val="00434328"/>
    <w:rsid w:val="004343CE"/>
    <w:rsid w:val="004344E3"/>
    <w:rsid w:val="0043494D"/>
    <w:rsid w:val="0043584F"/>
    <w:rsid w:val="00435BE6"/>
    <w:rsid w:val="00435D7F"/>
    <w:rsid w:val="00435F64"/>
    <w:rsid w:val="00436526"/>
    <w:rsid w:val="00436818"/>
    <w:rsid w:val="00436C47"/>
    <w:rsid w:val="00437749"/>
    <w:rsid w:val="00437B1B"/>
    <w:rsid w:val="00440001"/>
    <w:rsid w:val="004405A7"/>
    <w:rsid w:val="00440892"/>
    <w:rsid w:val="00440CE8"/>
    <w:rsid w:val="00440E35"/>
    <w:rsid w:val="00440E52"/>
    <w:rsid w:val="004410D9"/>
    <w:rsid w:val="004411A2"/>
    <w:rsid w:val="0044121E"/>
    <w:rsid w:val="004415A3"/>
    <w:rsid w:val="00441832"/>
    <w:rsid w:val="004418BA"/>
    <w:rsid w:val="00441C24"/>
    <w:rsid w:val="00441F8C"/>
    <w:rsid w:val="00442246"/>
    <w:rsid w:val="004427B9"/>
    <w:rsid w:val="004429BC"/>
    <w:rsid w:val="00442E3B"/>
    <w:rsid w:val="004431F4"/>
    <w:rsid w:val="00443785"/>
    <w:rsid w:val="00443A7F"/>
    <w:rsid w:val="00443B22"/>
    <w:rsid w:val="00443FAE"/>
    <w:rsid w:val="00444260"/>
    <w:rsid w:val="004443FD"/>
    <w:rsid w:val="0044476A"/>
    <w:rsid w:val="00444CE1"/>
    <w:rsid w:val="00445131"/>
    <w:rsid w:val="0044534F"/>
    <w:rsid w:val="004455B3"/>
    <w:rsid w:val="00445786"/>
    <w:rsid w:val="00445830"/>
    <w:rsid w:val="00445F76"/>
    <w:rsid w:val="004463FC"/>
    <w:rsid w:val="0044650E"/>
    <w:rsid w:val="004466AA"/>
    <w:rsid w:val="004466CC"/>
    <w:rsid w:val="00446931"/>
    <w:rsid w:val="00446C1E"/>
    <w:rsid w:val="00447051"/>
    <w:rsid w:val="004476C2"/>
    <w:rsid w:val="0044785C"/>
    <w:rsid w:val="00450043"/>
    <w:rsid w:val="0045014E"/>
    <w:rsid w:val="0045057E"/>
    <w:rsid w:val="004508C4"/>
    <w:rsid w:val="00450C48"/>
    <w:rsid w:val="004511DC"/>
    <w:rsid w:val="00451278"/>
    <w:rsid w:val="00451595"/>
    <w:rsid w:val="00451A75"/>
    <w:rsid w:val="00451D58"/>
    <w:rsid w:val="00451E11"/>
    <w:rsid w:val="00451FE8"/>
    <w:rsid w:val="004522D3"/>
    <w:rsid w:val="00452BB8"/>
    <w:rsid w:val="00452D1B"/>
    <w:rsid w:val="004530BF"/>
    <w:rsid w:val="004531C3"/>
    <w:rsid w:val="00453206"/>
    <w:rsid w:val="004539C7"/>
    <w:rsid w:val="00453AA2"/>
    <w:rsid w:val="00453BB6"/>
    <w:rsid w:val="00453C19"/>
    <w:rsid w:val="00453FAE"/>
    <w:rsid w:val="004544F3"/>
    <w:rsid w:val="00454A6D"/>
    <w:rsid w:val="00455119"/>
    <w:rsid w:val="00455159"/>
    <w:rsid w:val="00455561"/>
    <w:rsid w:val="004555EA"/>
    <w:rsid w:val="00455B61"/>
    <w:rsid w:val="00455BBA"/>
    <w:rsid w:val="00455E44"/>
    <w:rsid w:val="00455EE1"/>
    <w:rsid w:val="00456489"/>
    <w:rsid w:val="00456568"/>
    <w:rsid w:val="00457045"/>
    <w:rsid w:val="004575D4"/>
    <w:rsid w:val="00457A17"/>
    <w:rsid w:val="00457C58"/>
    <w:rsid w:val="00457D68"/>
    <w:rsid w:val="00457D7E"/>
    <w:rsid w:val="00457DB4"/>
    <w:rsid w:val="004600DC"/>
    <w:rsid w:val="00460335"/>
    <w:rsid w:val="00460375"/>
    <w:rsid w:val="0046039F"/>
    <w:rsid w:val="004606B7"/>
    <w:rsid w:val="0046072C"/>
    <w:rsid w:val="00460E79"/>
    <w:rsid w:val="00460EB4"/>
    <w:rsid w:val="00461097"/>
    <w:rsid w:val="004614E7"/>
    <w:rsid w:val="00461673"/>
    <w:rsid w:val="004617C7"/>
    <w:rsid w:val="004619C3"/>
    <w:rsid w:val="00461C63"/>
    <w:rsid w:val="00462051"/>
    <w:rsid w:val="00462187"/>
    <w:rsid w:val="00462364"/>
    <w:rsid w:val="00462492"/>
    <w:rsid w:val="0046298D"/>
    <w:rsid w:val="00462AED"/>
    <w:rsid w:val="00462F95"/>
    <w:rsid w:val="004631E5"/>
    <w:rsid w:val="00463419"/>
    <w:rsid w:val="004637D8"/>
    <w:rsid w:val="0046380C"/>
    <w:rsid w:val="00463E6F"/>
    <w:rsid w:val="0046442E"/>
    <w:rsid w:val="0046449A"/>
    <w:rsid w:val="0046456E"/>
    <w:rsid w:val="0046487C"/>
    <w:rsid w:val="00464A6D"/>
    <w:rsid w:val="00464AA4"/>
    <w:rsid w:val="00464C91"/>
    <w:rsid w:val="00464DC2"/>
    <w:rsid w:val="0046517B"/>
    <w:rsid w:val="00465B4C"/>
    <w:rsid w:val="0046610C"/>
    <w:rsid w:val="00466365"/>
    <w:rsid w:val="00466579"/>
    <w:rsid w:val="004665CE"/>
    <w:rsid w:val="00466644"/>
    <w:rsid w:val="00466672"/>
    <w:rsid w:val="00466779"/>
    <w:rsid w:val="004667E4"/>
    <w:rsid w:val="00466A75"/>
    <w:rsid w:val="00466B97"/>
    <w:rsid w:val="00466FBD"/>
    <w:rsid w:val="0046725A"/>
    <w:rsid w:val="004678BA"/>
    <w:rsid w:val="00467E14"/>
    <w:rsid w:val="004701C3"/>
    <w:rsid w:val="00470547"/>
    <w:rsid w:val="00470751"/>
    <w:rsid w:val="00470E59"/>
    <w:rsid w:val="00471334"/>
    <w:rsid w:val="004713E2"/>
    <w:rsid w:val="00471D6F"/>
    <w:rsid w:val="00471F1C"/>
    <w:rsid w:val="0047207E"/>
    <w:rsid w:val="004721A3"/>
    <w:rsid w:val="0047265B"/>
    <w:rsid w:val="004729D6"/>
    <w:rsid w:val="00472D57"/>
    <w:rsid w:val="00472F72"/>
    <w:rsid w:val="004730B4"/>
    <w:rsid w:val="004732FD"/>
    <w:rsid w:val="004737D0"/>
    <w:rsid w:val="00473988"/>
    <w:rsid w:val="00473C78"/>
    <w:rsid w:val="0047416F"/>
    <w:rsid w:val="00474450"/>
    <w:rsid w:val="00474620"/>
    <w:rsid w:val="00474627"/>
    <w:rsid w:val="00474860"/>
    <w:rsid w:val="0047486E"/>
    <w:rsid w:val="00474EB5"/>
    <w:rsid w:val="0047599A"/>
    <w:rsid w:val="00475DCA"/>
    <w:rsid w:val="0047600C"/>
    <w:rsid w:val="00476132"/>
    <w:rsid w:val="00476230"/>
    <w:rsid w:val="0047626C"/>
    <w:rsid w:val="0047642D"/>
    <w:rsid w:val="00476430"/>
    <w:rsid w:val="00476BFB"/>
    <w:rsid w:val="00476E51"/>
    <w:rsid w:val="00476F36"/>
    <w:rsid w:val="004770FC"/>
    <w:rsid w:val="00477692"/>
    <w:rsid w:val="004803C5"/>
    <w:rsid w:val="0048072A"/>
    <w:rsid w:val="00480956"/>
    <w:rsid w:val="00480C5C"/>
    <w:rsid w:val="00480DAA"/>
    <w:rsid w:val="00480E50"/>
    <w:rsid w:val="00481095"/>
    <w:rsid w:val="0048119B"/>
    <w:rsid w:val="0048187C"/>
    <w:rsid w:val="00481E38"/>
    <w:rsid w:val="004822B4"/>
    <w:rsid w:val="004824EA"/>
    <w:rsid w:val="004824F9"/>
    <w:rsid w:val="0048293C"/>
    <w:rsid w:val="00482B0F"/>
    <w:rsid w:val="00482E6E"/>
    <w:rsid w:val="00483214"/>
    <w:rsid w:val="0048332F"/>
    <w:rsid w:val="00483D86"/>
    <w:rsid w:val="00483ECC"/>
    <w:rsid w:val="004840D4"/>
    <w:rsid w:val="004840D9"/>
    <w:rsid w:val="004841B8"/>
    <w:rsid w:val="00484575"/>
    <w:rsid w:val="00484592"/>
    <w:rsid w:val="00484839"/>
    <w:rsid w:val="00484F4E"/>
    <w:rsid w:val="004854A2"/>
    <w:rsid w:val="00485BED"/>
    <w:rsid w:val="00485DCD"/>
    <w:rsid w:val="004860AE"/>
    <w:rsid w:val="00486137"/>
    <w:rsid w:val="0048634B"/>
    <w:rsid w:val="004866B7"/>
    <w:rsid w:val="004868FE"/>
    <w:rsid w:val="00486918"/>
    <w:rsid w:val="00486B0A"/>
    <w:rsid w:val="004870AF"/>
    <w:rsid w:val="004871D3"/>
    <w:rsid w:val="0048729A"/>
    <w:rsid w:val="00487418"/>
    <w:rsid w:val="004876CE"/>
    <w:rsid w:val="00487CC4"/>
    <w:rsid w:val="00487D33"/>
    <w:rsid w:val="00487DF5"/>
    <w:rsid w:val="0049058F"/>
    <w:rsid w:val="0049080F"/>
    <w:rsid w:val="00491498"/>
    <w:rsid w:val="00491A34"/>
    <w:rsid w:val="00491AC2"/>
    <w:rsid w:val="00491E10"/>
    <w:rsid w:val="00492380"/>
    <w:rsid w:val="004923D5"/>
    <w:rsid w:val="004924B0"/>
    <w:rsid w:val="00492C0A"/>
    <w:rsid w:val="004936E6"/>
    <w:rsid w:val="00493875"/>
    <w:rsid w:val="004939D3"/>
    <w:rsid w:val="00493DB9"/>
    <w:rsid w:val="00493E70"/>
    <w:rsid w:val="00493FF7"/>
    <w:rsid w:val="00494143"/>
    <w:rsid w:val="0049444D"/>
    <w:rsid w:val="004944AC"/>
    <w:rsid w:val="0049450F"/>
    <w:rsid w:val="00494652"/>
    <w:rsid w:val="0049490A"/>
    <w:rsid w:val="0049497C"/>
    <w:rsid w:val="0049526D"/>
    <w:rsid w:val="0049578A"/>
    <w:rsid w:val="004957D2"/>
    <w:rsid w:val="00495BCA"/>
    <w:rsid w:val="00495C03"/>
    <w:rsid w:val="00495EB0"/>
    <w:rsid w:val="0049637B"/>
    <w:rsid w:val="004964CC"/>
    <w:rsid w:val="00496721"/>
    <w:rsid w:val="00496732"/>
    <w:rsid w:val="0049685B"/>
    <w:rsid w:val="00496870"/>
    <w:rsid w:val="00496E7D"/>
    <w:rsid w:val="00497034"/>
    <w:rsid w:val="004974D2"/>
    <w:rsid w:val="00497983"/>
    <w:rsid w:val="0049799A"/>
    <w:rsid w:val="00497B01"/>
    <w:rsid w:val="00497CDC"/>
    <w:rsid w:val="00497E07"/>
    <w:rsid w:val="004A0293"/>
    <w:rsid w:val="004A052B"/>
    <w:rsid w:val="004A05C5"/>
    <w:rsid w:val="004A061B"/>
    <w:rsid w:val="004A08EA"/>
    <w:rsid w:val="004A0C3F"/>
    <w:rsid w:val="004A0EB3"/>
    <w:rsid w:val="004A11EA"/>
    <w:rsid w:val="004A148A"/>
    <w:rsid w:val="004A1856"/>
    <w:rsid w:val="004A19F3"/>
    <w:rsid w:val="004A1D86"/>
    <w:rsid w:val="004A1F65"/>
    <w:rsid w:val="004A20E5"/>
    <w:rsid w:val="004A2653"/>
    <w:rsid w:val="004A29BD"/>
    <w:rsid w:val="004A29ED"/>
    <w:rsid w:val="004A2AE9"/>
    <w:rsid w:val="004A2DA1"/>
    <w:rsid w:val="004A377A"/>
    <w:rsid w:val="004A394B"/>
    <w:rsid w:val="004A3DAE"/>
    <w:rsid w:val="004A3ECE"/>
    <w:rsid w:val="004A4048"/>
    <w:rsid w:val="004A4605"/>
    <w:rsid w:val="004A4ADF"/>
    <w:rsid w:val="004A4C5D"/>
    <w:rsid w:val="004A4FE5"/>
    <w:rsid w:val="004A528B"/>
    <w:rsid w:val="004A5A52"/>
    <w:rsid w:val="004A5E8A"/>
    <w:rsid w:val="004A61C0"/>
    <w:rsid w:val="004A6464"/>
    <w:rsid w:val="004A6662"/>
    <w:rsid w:val="004A684F"/>
    <w:rsid w:val="004A6974"/>
    <w:rsid w:val="004A731B"/>
    <w:rsid w:val="004A7B2D"/>
    <w:rsid w:val="004A7FA6"/>
    <w:rsid w:val="004B04B7"/>
    <w:rsid w:val="004B0574"/>
    <w:rsid w:val="004B0888"/>
    <w:rsid w:val="004B0C52"/>
    <w:rsid w:val="004B0E51"/>
    <w:rsid w:val="004B1027"/>
    <w:rsid w:val="004B108B"/>
    <w:rsid w:val="004B131C"/>
    <w:rsid w:val="004B13BB"/>
    <w:rsid w:val="004B15A6"/>
    <w:rsid w:val="004B164A"/>
    <w:rsid w:val="004B166A"/>
    <w:rsid w:val="004B17A7"/>
    <w:rsid w:val="004B180A"/>
    <w:rsid w:val="004B1932"/>
    <w:rsid w:val="004B1BC4"/>
    <w:rsid w:val="004B1D75"/>
    <w:rsid w:val="004B1ED6"/>
    <w:rsid w:val="004B200F"/>
    <w:rsid w:val="004B237A"/>
    <w:rsid w:val="004B2644"/>
    <w:rsid w:val="004B3076"/>
    <w:rsid w:val="004B3141"/>
    <w:rsid w:val="004B37AB"/>
    <w:rsid w:val="004B3887"/>
    <w:rsid w:val="004B3B15"/>
    <w:rsid w:val="004B3BEA"/>
    <w:rsid w:val="004B3DCB"/>
    <w:rsid w:val="004B3E9A"/>
    <w:rsid w:val="004B4172"/>
    <w:rsid w:val="004B47D9"/>
    <w:rsid w:val="004B48F0"/>
    <w:rsid w:val="004B4912"/>
    <w:rsid w:val="004B4934"/>
    <w:rsid w:val="004B49A6"/>
    <w:rsid w:val="004B509C"/>
    <w:rsid w:val="004B52B6"/>
    <w:rsid w:val="004B54D6"/>
    <w:rsid w:val="004B55B9"/>
    <w:rsid w:val="004B593F"/>
    <w:rsid w:val="004B5C76"/>
    <w:rsid w:val="004B5CAA"/>
    <w:rsid w:val="004B5D85"/>
    <w:rsid w:val="004B67F0"/>
    <w:rsid w:val="004B691A"/>
    <w:rsid w:val="004B6BA7"/>
    <w:rsid w:val="004B6C88"/>
    <w:rsid w:val="004B704B"/>
    <w:rsid w:val="004B72B5"/>
    <w:rsid w:val="004B772E"/>
    <w:rsid w:val="004B7762"/>
    <w:rsid w:val="004B7A53"/>
    <w:rsid w:val="004B7C09"/>
    <w:rsid w:val="004B7E3F"/>
    <w:rsid w:val="004B7E9F"/>
    <w:rsid w:val="004C000A"/>
    <w:rsid w:val="004C006A"/>
    <w:rsid w:val="004C054B"/>
    <w:rsid w:val="004C111F"/>
    <w:rsid w:val="004C1140"/>
    <w:rsid w:val="004C121F"/>
    <w:rsid w:val="004C123F"/>
    <w:rsid w:val="004C12AA"/>
    <w:rsid w:val="004C13EA"/>
    <w:rsid w:val="004C1921"/>
    <w:rsid w:val="004C1A35"/>
    <w:rsid w:val="004C23E1"/>
    <w:rsid w:val="004C24BA"/>
    <w:rsid w:val="004C35DE"/>
    <w:rsid w:val="004C36CC"/>
    <w:rsid w:val="004C3D90"/>
    <w:rsid w:val="004C4BF3"/>
    <w:rsid w:val="004C4D9A"/>
    <w:rsid w:val="004C54CC"/>
    <w:rsid w:val="004C582F"/>
    <w:rsid w:val="004C5D0F"/>
    <w:rsid w:val="004C6294"/>
    <w:rsid w:val="004C68F3"/>
    <w:rsid w:val="004C699F"/>
    <w:rsid w:val="004C6A65"/>
    <w:rsid w:val="004C6DF0"/>
    <w:rsid w:val="004C764A"/>
    <w:rsid w:val="004C7850"/>
    <w:rsid w:val="004C7A8D"/>
    <w:rsid w:val="004C7BB6"/>
    <w:rsid w:val="004D0057"/>
    <w:rsid w:val="004D00D6"/>
    <w:rsid w:val="004D0294"/>
    <w:rsid w:val="004D03DD"/>
    <w:rsid w:val="004D0796"/>
    <w:rsid w:val="004D0829"/>
    <w:rsid w:val="004D0CE1"/>
    <w:rsid w:val="004D1081"/>
    <w:rsid w:val="004D162F"/>
    <w:rsid w:val="004D16B4"/>
    <w:rsid w:val="004D17EB"/>
    <w:rsid w:val="004D1C8D"/>
    <w:rsid w:val="004D1FC5"/>
    <w:rsid w:val="004D21D8"/>
    <w:rsid w:val="004D2370"/>
    <w:rsid w:val="004D2531"/>
    <w:rsid w:val="004D25DD"/>
    <w:rsid w:val="004D269B"/>
    <w:rsid w:val="004D2F89"/>
    <w:rsid w:val="004D31DF"/>
    <w:rsid w:val="004D346C"/>
    <w:rsid w:val="004D34CD"/>
    <w:rsid w:val="004D3503"/>
    <w:rsid w:val="004D35FA"/>
    <w:rsid w:val="004D3724"/>
    <w:rsid w:val="004D374A"/>
    <w:rsid w:val="004D40E2"/>
    <w:rsid w:val="004D4EFF"/>
    <w:rsid w:val="004D4F84"/>
    <w:rsid w:val="004D5231"/>
    <w:rsid w:val="004D568E"/>
    <w:rsid w:val="004D5BFE"/>
    <w:rsid w:val="004D5D06"/>
    <w:rsid w:val="004D5E01"/>
    <w:rsid w:val="004D609B"/>
    <w:rsid w:val="004D66D6"/>
    <w:rsid w:val="004D680E"/>
    <w:rsid w:val="004D6997"/>
    <w:rsid w:val="004D70DE"/>
    <w:rsid w:val="004D71D9"/>
    <w:rsid w:val="004D72A8"/>
    <w:rsid w:val="004D7499"/>
    <w:rsid w:val="004D7574"/>
    <w:rsid w:val="004D7781"/>
    <w:rsid w:val="004D7E10"/>
    <w:rsid w:val="004D7F8D"/>
    <w:rsid w:val="004E01A0"/>
    <w:rsid w:val="004E01AD"/>
    <w:rsid w:val="004E0671"/>
    <w:rsid w:val="004E0846"/>
    <w:rsid w:val="004E0E3D"/>
    <w:rsid w:val="004E1026"/>
    <w:rsid w:val="004E1169"/>
    <w:rsid w:val="004E137E"/>
    <w:rsid w:val="004E238E"/>
    <w:rsid w:val="004E245C"/>
    <w:rsid w:val="004E2563"/>
    <w:rsid w:val="004E2763"/>
    <w:rsid w:val="004E2767"/>
    <w:rsid w:val="004E30BD"/>
    <w:rsid w:val="004E30D3"/>
    <w:rsid w:val="004E339B"/>
    <w:rsid w:val="004E351A"/>
    <w:rsid w:val="004E36C9"/>
    <w:rsid w:val="004E39B4"/>
    <w:rsid w:val="004E3A57"/>
    <w:rsid w:val="004E3E29"/>
    <w:rsid w:val="004E4761"/>
    <w:rsid w:val="004E47B7"/>
    <w:rsid w:val="004E48CE"/>
    <w:rsid w:val="004E4A24"/>
    <w:rsid w:val="004E4A8B"/>
    <w:rsid w:val="004E5616"/>
    <w:rsid w:val="004E57B0"/>
    <w:rsid w:val="004E592C"/>
    <w:rsid w:val="004E5A1F"/>
    <w:rsid w:val="004E62CA"/>
    <w:rsid w:val="004E6553"/>
    <w:rsid w:val="004E6954"/>
    <w:rsid w:val="004E6FD8"/>
    <w:rsid w:val="004E732A"/>
    <w:rsid w:val="004E7429"/>
    <w:rsid w:val="004E7850"/>
    <w:rsid w:val="004E78A4"/>
    <w:rsid w:val="004E7AC5"/>
    <w:rsid w:val="004E7C1E"/>
    <w:rsid w:val="004F02D1"/>
    <w:rsid w:val="004F05B7"/>
    <w:rsid w:val="004F06BF"/>
    <w:rsid w:val="004F0792"/>
    <w:rsid w:val="004F0ECC"/>
    <w:rsid w:val="004F121F"/>
    <w:rsid w:val="004F12E3"/>
    <w:rsid w:val="004F13D8"/>
    <w:rsid w:val="004F143E"/>
    <w:rsid w:val="004F1517"/>
    <w:rsid w:val="004F1606"/>
    <w:rsid w:val="004F1642"/>
    <w:rsid w:val="004F166C"/>
    <w:rsid w:val="004F1B2F"/>
    <w:rsid w:val="004F1B86"/>
    <w:rsid w:val="004F1D88"/>
    <w:rsid w:val="004F22E0"/>
    <w:rsid w:val="004F2709"/>
    <w:rsid w:val="004F2F4D"/>
    <w:rsid w:val="004F306F"/>
    <w:rsid w:val="004F34E7"/>
    <w:rsid w:val="004F36BE"/>
    <w:rsid w:val="004F3A46"/>
    <w:rsid w:val="004F3CDA"/>
    <w:rsid w:val="004F4041"/>
    <w:rsid w:val="004F4470"/>
    <w:rsid w:val="004F4568"/>
    <w:rsid w:val="004F5581"/>
    <w:rsid w:val="004F57EA"/>
    <w:rsid w:val="004F57FA"/>
    <w:rsid w:val="004F5909"/>
    <w:rsid w:val="004F63C0"/>
    <w:rsid w:val="004F6557"/>
    <w:rsid w:val="004F685C"/>
    <w:rsid w:val="004F685E"/>
    <w:rsid w:val="004F691A"/>
    <w:rsid w:val="004F774C"/>
    <w:rsid w:val="004F7F4C"/>
    <w:rsid w:val="0050007A"/>
    <w:rsid w:val="00500197"/>
    <w:rsid w:val="0050025A"/>
    <w:rsid w:val="0050043E"/>
    <w:rsid w:val="005007AA"/>
    <w:rsid w:val="005007B6"/>
    <w:rsid w:val="00500A4F"/>
    <w:rsid w:val="00500CD0"/>
    <w:rsid w:val="00500D41"/>
    <w:rsid w:val="00501356"/>
    <w:rsid w:val="0050151B"/>
    <w:rsid w:val="00501C5E"/>
    <w:rsid w:val="005020B2"/>
    <w:rsid w:val="00502300"/>
    <w:rsid w:val="0050237D"/>
    <w:rsid w:val="005024F6"/>
    <w:rsid w:val="00502C5A"/>
    <w:rsid w:val="00502E44"/>
    <w:rsid w:val="00502E79"/>
    <w:rsid w:val="0050319F"/>
    <w:rsid w:val="005031B0"/>
    <w:rsid w:val="005033E5"/>
    <w:rsid w:val="00503506"/>
    <w:rsid w:val="00504620"/>
    <w:rsid w:val="005046D3"/>
    <w:rsid w:val="00504924"/>
    <w:rsid w:val="00504A02"/>
    <w:rsid w:val="00504F0B"/>
    <w:rsid w:val="00505375"/>
    <w:rsid w:val="00506553"/>
    <w:rsid w:val="00506F39"/>
    <w:rsid w:val="00507192"/>
    <w:rsid w:val="00507921"/>
    <w:rsid w:val="00507D48"/>
    <w:rsid w:val="00507F84"/>
    <w:rsid w:val="0051082C"/>
    <w:rsid w:val="005109AC"/>
    <w:rsid w:val="005109E8"/>
    <w:rsid w:val="00510A19"/>
    <w:rsid w:val="00510B65"/>
    <w:rsid w:val="00511002"/>
    <w:rsid w:val="005110B8"/>
    <w:rsid w:val="00511718"/>
    <w:rsid w:val="005117A6"/>
    <w:rsid w:val="00511973"/>
    <w:rsid w:val="00511A72"/>
    <w:rsid w:val="00511AF7"/>
    <w:rsid w:val="00511EA1"/>
    <w:rsid w:val="00512133"/>
    <w:rsid w:val="00512678"/>
    <w:rsid w:val="0051298B"/>
    <w:rsid w:val="00512D0F"/>
    <w:rsid w:val="005130E2"/>
    <w:rsid w:val="0051339A"/>
    <w:rsid w:val="0051400E"/>
    <w:rsid w:val="005144F6"/>
    <w:rsid w:val="005147F3"/>
    <w:rsid w:val="00514816"/>
    <w:rsid w:val="00514B37"/>
    <w:rsid w:val="00514B5E"/>
    <w:rsid w:val="00514C55"/>
    <w:rsid w:val="00514F1B"/>
    <w:rsid w:val="005151E9"/>
    <w:rsid w:val="00515511"/>
    <w:rsid w:val="00515BF0"/>
    <w:rsid w:val="0051623A"/>
    <w:rsid w:val="00516271"/>
    <w:rsid w:val="0051644B"/>
    <w:rsid w:val="005164E2"/>
    <w:rsid w:val="005165AF"/>
    <w:rsid w:val="00516943"/>
    <w:rsid w:val="005177D3"/>
    <w:rsid w:val="00517BA0"/>
    <w:rsid w:val="00520025"/>
    <w:rsid w:val="00520892"/>
    <w:rsid w:val="00520940"/>
    <w:rsid w:val="00520A44"/>
    <w:rsid w:val="00520A47"/>
    <w:rsid w:val="00521002"/>
    <w:rsid w:val="005212A5"/>
    <w:rsid w:val="005214D5"/>
    <w:rsid w:val="00521540"/>
    <w:rsid w:val="00522068"/>
    <w:rsid w:val="0052217B"/>
    <w:rsid w:val="0052242F"/>
    <w:rsid w:val="00522815"/>
    <w:rsid w:val="0052299E"/>
    <w:rsid w:val="00522B6C"/>
    <w:rsid w:val="00522BB7"/>
    <w:rsid w:val="00522F8B"/>
    <w:rsid w:val="0052301F"/>
    <w:rsid w:val="00523072"/>
    <w:rsid w:val="005233F0"/>
    <w:rsid w:val="005237B6"/>
    <w:rsid w:val="0052385B"/>
    <w:rsid w:val="00523E91"/>
    <w:rsid w:val="0052443D"/>
    <w:rsid w:val="00524E28"/>
    <w:rsid w:val="00524EC0"/>
    <w:rsid w:val="00524FFC"/>
    <w:rsid w:val="0052501D"/>
    <w:rsid w:val="00525055"/>
    <w:rsid w:val="00525068"/>
    <w:rsid w:val="00525258"/>
    <w:rsid w:val="00525299"/>
    <w:rsid w:val="005253D2"/>
    <w:rsid w:val="00525542"/>
    <w:rsid w:val="00525595"/>
    <w:rsid w:val="00525EDA"/>
    <w:rsid w:val="00525FA3"/>
    <w:rsid w:val="005263D1"/>
    <w:rsid w:val="005263D7"/>
    <w:rsid w:val="005265E4"/>
    <w:rsid w:val="005265F1"/>
    <w:rsid w:val="0052660D"/>
    <w:rsid w:val="00526F69"/>
    <w:rsid w:val="00527C26"/>
    <w:rsid w:val="00527F17"/>
    <w:rsid w:val="005300F8"/>
    <w:rsid w:val="005302F5"/>
    <w:rsid w:val="0053097A"/>
    <w:rsid w:val="00530D8E"/>
    <w:rsid w:val="00531001"/>
    <w:rsid w:val="0053112C"/>
    <w:rsid w:val="0053142A"/>
    <w:rsid w:val="0053142D"/>
    <w:rsid w:val="0053175B"/>
    <w:rsid w:val="00531873"/>
    <w:rsid w:val="00531A75"/>
    <w:rsid w:val="00531BB6"/>
    <w:rsid w:val="00531BD8"/>
    <w:rsid w:val="00531CD8"/>
    <w:rsid w:val="00532344"/>
    <w:rsid w:val="00532447"/>
    <w:rsid w:val="00532539"/>
    <w:rsid w:val="00532691"/>
    <w:rsid w:val="00533183"/>
    <w:rsid w:val="005332B2"/>
    <w:rsid w:val="005333B0"/>
    <w:rsid w:val="00533F78"/>
    <w:rsid w:val="005340F1"/>
    <w:rsid w:val="0053426D"/>
    <w:rsid w:val="00534785"/>
    <w:rsid w:val="00534E43"/>
    <w:rsid w:val="0053508C"/>
    <w:rsid w:val="005357AA"/>
    <w:rsid w:val="00535C71"/>
    <w:rsid w:val="00535EE6"/>
    <w:rsid w:val="005361FC"/>
    <w:rsid w:val="00536216"/>
    <w:rsid w:val="005362C5"/>
    <w:rsid w:val="00536427"/>
    <w:rsid w:val="0053660D"/>
    <w:rsid w:val="00536D45"/>
    <w:rsid w:val="0053732E"/>
    <w:rsid w:val="005375E1"/>
    <w:rsid w:val="00537BEB"/>
    <w:rsid w:val="00537D1D"/>
    <w:rsid w:val="00537DAB"/>
    <w:rsid w:val="00540060"/>
    <w:rsid w:val="005400D9"/>
    <w:rsid w:val="005400E1"/>
    <w:rsid w:val="00540254"/>
    <w:rsid w:val="00540D81"/>
    <w:rsid w:val="005411D4"/>
    <w:rsid w:val="00541B38"/>
    <w:rsid w:val="00541C99"/>
    <w:rsid w:val="00541CE6"/>
    <w:rsid w:val="00541CEE"/>
    <w:rsid w:val="00541E59"/>
    <w:rsid w:val="0054249B"/>
    <w:rsid w:val="005424C1"/>
    <w:rsid w:val="00542CC8"/>
    <w:rsid w:val="00542DA2"/>
    <w:rsid w:val="005432C3"/>
    <w:rsid w:val="00543931"/>
    <w:rsid w:val="00543A89"/>
    <w:rsid w:val="00543CE3"/>
    <w:rsid w:val="005441B4"/>
    <w:rsid w:val="00544C02"/>
    <w:rsid w:val="00544F11"/>
    <w:rsid w:val="005451FB"/>
    <w:rsid w:val="00545241"/>
    <w:rsid w:val="00545361"/>
    <w:rsid w:val="005453F2"/>
    <w:rsid w:val="00545715"/>
    <w:rsid w:val="005458A4"/>
    <w:rsid w:val="00545C6D"/>
    <w:rsid w:val="00545CE0"/>
    <w:rsid w:val="00545D2F"/>
    <w:rsid w:val="00545E7F"/>
    <w:rsid w:val="005464E5"/>
    <w:rsid w:val="005466AE"/>
    <w:rsid w:val="00546876"/>
    <w:rsid w:val="00546CD6"/>
    <w:rsid w:val="00546DF5"/>
    <w:rsid w:val="005471FA"/>
    <w:rsid w:val="00547A7A"/>
    <w:rsid w:val="00547AB5"/>
    <w:rsid w:val="00550227"/>
    <w:rsid w:val="0055125A"/>
    <w:rsid w:val="00551479"/>
    <w:rsid w:val="00551641"/>
    <w:rsid w:val="00551728"/>
    <w:rsid w:val="0055183E"/>
    <w:rsid w:val="00551841"/>
    <w:rsid w:val="00551BDF"/>
    <w:rsid w:val="00551DE5"/>
    <w:rsid w:val="005521E7"/>
    <w:rsid w:val="005521FA"/>
    <w:rsid w:val="005524DB"/>
    <w:rsid w:val="0055288A"/>
    <w:rsid w:val="0055290C"/>
    <w:rsid w:val="0055297A"/>
    <w:rsid w:val="00552A7B"/>
    <w:rsid w:val="00552C1D"/>
    <w:rsid w:val="00552D7E"/>
    <w:rsid w:val="005530E9"/>
    <w:rsid w:val="0055320D"/>
    <w:rsid w:val="0055368E"/>
    <w:rsid w:val="00553690"/>
    <w:rsid w:val="00553872"/>
    <w:rsid w:val="0055387F"/>
    <w:rsid w:val="00553907"/>
    <w:rsid w:val="00553BAC"/>
    <w:rsid w:val="00553C2E"/>
    <w:rsid w:val="00553C8E"/>
    <w:rsid w:val="00553D5E"/>
    <w:rsid w:val="00554049"/>
    <w:rsid w:val="005540CA"/>
    <w:rsid w:val="005545DC"/>
    <w:rsid w:val="0055482C"/>
    <w:rsid w:val="00554943"/>
    <w:rsid w:val="00554BA9"/>
    <w:rsid w:val="00554D42"/>
    <w:rsid w:val="005551EF"/>
    <w:rsid w:val="00555DC0"/>
    <w:rsid w:val="00555DC4"/>
    <w:rsid w:val="00556079"/>
    <w:rsid w:val="0055614A"/>
    <w:rsid w:val="00556159"/>
    <w:rsid w:val="00556177"/>
    <w:rsid w:val="00556209"/>
    <w:rsid w:val="00556ADE"/>
    <w:rsid w:val="00556C3B"/>
    <w:rsid w:val="00556DC0"/>
    <w:rsid w:val="00556DEC"/>
    <w:rsid w:val="00556EC7"/>
    <w:rsid w:val="0055724F"/>
    <w:rsid w:val="005574E4"/>
    <w:rsid w:val="0055754C"/>
    <w:rsid w:val="005576EB"/>
    <w:rsid w:val="00557ABF"/>
    <w:rsid w:val="00557FF0"/>
    <w:rsid w:val="005601DC"/>
    <w:rsid w:val="005602A3"/>
    <w:rsid w:val="005604A0"/>
    <w:rsid w:val="005609DA"/>
    <w:rsid w:val="00560DC6"/>
    <w:rsid w:val="0056112A"/>
    <w:rsid w:val="0056198A"/>
    <w:rsid w:val="00561B1B"/>
    <w:rsid w:val="00561C19"/>
    <w:rsid w:val="0056202B"/>
    <w:rsid w:val="005622B6"/>
    <w:rsid w:val="005622DC"/>
    <w:rsid w:val="00562545"/>
    <w:rsid w:val="00562A51"/>
    <w:rsid w:val="00562F3F"/>
    <w:rsid w:val="00562F8F"/>
    <w:rsid w:val="00562FCD"/>
    <w:rsid w:val="005637B4"/>
    <w:rsid w:val="00563FC9"/>
    <w:rsid w:val="0056446D"/>
    <w:rsid w:val="005644C3"/>
    <w:rsid w:val="005646D9"/>
    <w:rsid w:val="00564874"/>
    <w:rsid w:val="00564D87"/>
    <w:rsid w:val="00565203"/>
    <w:rsid w:val="00565890"/>
    <w:rsid w:val="00565D71"/>
    <w:rsid w:val="005666DE"/>
    <w:rsid w:val="00566977"/>
    <w:rsid w:val="00566991"/>
    <w:rsid w:val="00566B38"/>
    <w:rsid w:val="00566CC9"/>
    <w:rsid w:val="00567518"/>
    <w:rsid w:val="00567665"/>
    <w:rsid w:val="00567783"/>
    <w:rsid w:val="00567A4B"/>
    <w:rsid w:val="00567E5A"/>
    <w:rsid w:val="00570445"/>
    <w:rsid w:val="00570624"/>
    <w:rsid w:val="00570707"/>
    <w:rsid w:val="0057091D"/>
    <w:rsid w:val="00571140"/>
    <w:rsid w:val="005716B5"/>
    <w:rsid w:val="00571A17"/>
    <w:rsid w:val="00571B5B"/>
    <w:rsid w:val="0057229C"/>
    <w:rsid w:val="00572AC5"/>
    <w:rsid w:val="00572AE6"/>
    <w:rsid w:val="00573009"/>
    <w:rsid w:val="005732EE"/>
    <w:rsid w:val="005734A9"/>
    <w:rsid w:val="00573647"/>
    <w:rsid w:val="00573C12"/>
    <w:rsid w:val="00574029"/>
    <w:rsid w:val="0057478B"/>
    <w:rsid w:val="00574837"/>
    <w:rsid w:val="0057493C"/>
    <w:rsid w:val="00575260"/>
    <w:rsid w:val="0057548F"/>
    <w:rsid w:val="00575647"/>
    <w:rsid w:val="00575C13"/>
    <w:rsid w:val="00576B2A"/>
    <w:rsid w:val="00577171"/>
    <w:rsid w:val="005774F4"/>
    <w:rsid w:val="005777A6"/>
    <w:rsid w:val="00577CFF"/>
    <w:rsid w:val="00580579"/>
    <w:rsid w:val="00580789"/>
    <w:rsid w:val="00580DE5"/>
    <w:rsid w:val="00580EA6"/>
    <w:rsid w:val="00580ED8"/>
    <w:rsid w:val="0058100E"/>
    <w:rsid w:val="00581056"/>
    <w:rsid w:val="00581150"/>
    <w:rsid w:val="005812B1"/>
    <w:rsid w:val="005816CD"/>
    <w:rsid w:val="00581B54"/>
    <w:rsid w:val="00581E5E"/>
    <w:rsid w:val="005821E2"/>
    <w:rsid w:val="00582281"/>
    <w:rsid w:val="005822A7"/>
    <w:rsid w:val="00582373"/>
    <w:rsid w:val="00582568"/>
    <w:rsid w:val="005829E7"/>
    <w:rsid w:val="00582EED"/>
    <w:rsid w:val="0058311E"/>
    <w:rsid w:val="00583275"/>
    <w:rsid w:val="005833CC"/>
    <w:rsid w:val="00583490"/>
    <w:rsid w:val="005834FA"/>
    <w:rsid w:val="005837FE"/>
    <w:rsid w:val="00583920"/>
    <w:rsid w:val="00583EBC"/>
    <w:rsid w:val="00583FC2"/>
    <w:rsid w:val="005841A9"/>
    <w:rsid w:val="00584392"/>
    <w:rsid w:val="0058440B"/>
    <w:rsid w:val="00584C18"/>
    <w:rsid w:val="00584C64"/>
    <w:rsid w:val="00584D7A"/>
    <w:rsid w:val="00584ED7"/>
    <w:rsid w:val="00585165"/>
    <w:rsid w:val="0058527E"/>
    <w:rsid w:val="00585AA7"/>
    <w:rsid w:val="00585EAA"/>
    <w:rsid w:val="0058611F"/>
    <w:rsid w:val="005868A5"/>
    <w:rsid w:val="0058690B"/>
    <w:rsid w:val="00586926"/>
    <w:rsid w:val="00586938"/>
    <w:rsid w:val="00586A4B"/>
    <w:rsid w:val="00586F56"/>
    <w:rsid w:val="0058717F"/>
    <w:rsid w:val="00587591"/>
    <w:rsid w:val="005875C4"/>
    <w:rsid w:val="005875EA"/>
    <w:rsid w:val="00587E7C"/>
    <w:rsid w:val="0059069E"/>
    <w:rsid w:val="00590897"/>
    <w:rsid w:val="00590CF2"/>
    <w:rsid w:val="00591183"/>
    <w:rsid w:val="00591549"/>
    <w:rsid w:val="0059155F"/>
    <w:rsid w:val="005916E6"/>
    <w:rsid w:val="00591E4B"/>
    <w:rsid w:val="00591FFD"/>
    <w:rsid w:val="0059201B"/>
    <w:rsid w:val="00592102"/>
    <w:rsid w:val="00592121"/>
    <w:rsid w:val="005925E7"/>
    <w:rsid w:val="00592616"/>
    <w:rsid w:val="00592A9A"/>
    <w:rsid w:val="00592E12"/>
    <w:rsid w:val="00592F82"/>
    <w:rsid w:val="0059322B"/>
    <w:rsid w:val="005932B7"/>
    <w:rsid w:val="005939AD"/>
    <w:rsid w:val="00593C62"/>
    <w:rsid w:val="00593E1F"/>
    <w:rsid w:val="00593EC0"/>
    <w:rsid w:val="005940BB"/>
    <w:rsid w:val="00594714"/>
    <w:rsid w:val="00594787"/>
    <w:rsid w:val="00594BB2"/>
    <w:rsid w:val="00594C2B"/>
    <w:rsid w:val="00594C83"/>
    <w:rsid w:val="00594C9C"/>
    <w:rsid w:val="0059575E"/>
    <w:rsid w:val="00595DD0"/>
    <w:rsid w:val="00596088"/>
    <w:rsid w:val="0059608F"/>
    <w:rsid w:val="005962AE"/>
    <w:rsid w:val="005962DC"/>
    <w:rsid w:val="00596D74"/>
    <w:rsid w:val="00596F89"/>
    <w:rsid w:val="00597039"/>
    <w:rsid w:val="00597153"/>
    <w:rsid w:val="0059735A"/>
    <w:rsid w:val="00597582"/>
    <w:rsid w:val="0059768C"/>
    <w:rsid w:val="005979C5"/>
    <w:rsid w:val="005A0588"/>
    <w:rsid w:val="005A05E9"/>
    <w:rsid w:val="005A0A39"/>
    <w:rsid w:val="005A0BDA"/>
    <w:rsid w:val="005A0CCD"/>
    <w:rsid w:val="005A1007"/>
    <w:rsid w:val="005A10E9"/>
    <w:rsid w:val="005A139F"/>
    <w:rsid w:val="005A1591"/>
    <w:rsid w:val="005A163C"/>
    <w:rsid w:val="005A1E58"/>
    <w:rsid w:val="005A1ED4"/>
    <w:rsid w:val="005A2608"/>
    <w:rsid w:val="005A2831"/>
    <w:rsid w:val="005A29E1"/>
    <w:rsid w:val="005A2AE3"/>
    <w:rsid w:val="005A3934"/>
    <w:rsid w:val="005A3966"/>
    <w:rsid w:val="005A3A7E"/>
    <w:rsid w:val="005A3E8F"/>
    <w:rsid w:val="005A4686"/>
    <w:rsid w:val="005A4DC3"/>
    <w:rsid w:val="005A505E"/>
    <w:rsid w:val="005A55C8"/>
    <w:rsid w:val="005A57B2"/>
    <w:rsid w:val="005A57F8"/>
    <w:rsid w:val="005A58DF"/>
    <w:rsid w:val="005A5918"/>
    <w:rsid w:val="005A5A04"/>
    <w:rsid w:val="005A5AEB"/>
    <w:rsid w:val="005A5AFC"/>
    <w:rsid w:val="005A6030"/>
    <w:rsid w:val="005A6142"/>
    <w:rsid w:val="005A6324"/>
    <w:rsid w:val="005A6633"/>
    <w:rsid w:val="005A6904"/>
    <w:rsid w:val="005A6A31"/>
    <w:rsid w:val="005A6CA2"/>
    <w:rsid w:val="005A6D32"/>
    <w:rsid w:val="005A6F4C"/>
    <w:rsid w:val="005A7280"/>
    <w:rsid w:val="005A7313"/>
    <w:rsid w:val="005A76DA"/>
    <w:rsid w:val="005A76FF"/>
    <w:rsid w:val="005A78EC"/>
    <w:rsid w:val="005A7901"/>
    <w:rsid w:val="005A79A8"/>
    <w:rsid w:val="005A7B15"/>
    <w:rsid w:val="005A7EEB"/>
    <w:rsid w:val="005B02DE"/>
    <w:rsid w:val="005B0347"/>
    <w:rsid w:val="005B0429"/>
    <w:rsid w:val="005B0599"/>
    <w:rsid w:val="005B0903"/>
    <w:rsid w:val="005B0BDC"/>
    <w:rsid w:val="005B0FB4"/>
    <w:rsid w:val="005B1399"/>
    <w:rsid w:val="005B156C"/>
    <w:rsid w:val="005B157E"/>
    <w:rsid w:val="005B19B6"/>
    <w:rsid w:val="005B20C9"/>
    <w:rsid w:val="005B2EDC"/>
    <w:rsid w:val="005B3667"/>
    <w:rsid w:val="005B3789"/>
    <w:rsid w:val="005B3AC0"/>
    <w:rsid w:val="005B3CD7"/>
    <w:rsid w:val="005B3E64"/>
    <w:rsid w:val="005B3E9D"/>
    <w:rsid w:val="005B3ECA"/>
    <w:rsid w:val="005B403C"/>
    <w:rsid w:val="005B40CA"/>
    <w:rsid w:val="005B41C7"/>
    <w:rsid w:val="005B4822"/>
    <w:rsid w:val="005B4CAF"/>
    <w:rsid w:val="005B54AA"/>
    <w:rsid w:val="005B58A3"/>
    <w:rsid w:val="005B59B4"/>
    <w:rsid w:val="005B6238"/>
    <w:rsid w:val="005B64DC"/>
    <w:rsid w:val="005B673A"/>
    <w:rsid w:val="005B6B29"/>
    <w:rsid w:val="005B6B65"/>
    <w:rsid w:val="005B6DE2"/>
    <w:rsid w:val="005B6F36"/>
    <w:rsid w:val="005B70A7"/>
    <w:rsid w:val="005B73F1"/>
    <w:rsid w:val="005B7835"/>
    <w:rsid w:val="005B7992"/>
    <w:rsid w:val="005B79C2"/>
    <w:rsid w:val="005B7BC5"/>
    <w:rsid w:val="005B7EDF"/>
    <w:rsid w:val="005C0054"/>
    <w:rsid w:val="005C0137"/>
    <w:rsid w:val="005C02A3"/>
    <w:rsid w:val="005C0A86"/>
    <w:rsid w:val="005C0AAB"/>
    <w:rsid w:val="005C0CF4"/>
    <w:rsid w:val="005C0F6A"/>
    <w:rsid w:val="005C143C"/>
    <w:rsid w:val="005C1510"/>
    <w:rsid w:val="005C16D7"/>
    <w:rsid w:val="005C17C6"/>
    <w:rsid w:val="005C1ACD"/>
    <w:rsid w:val="005C26BA"/>
    <w:rsid w:val="005C27E2"/>
    <w:rsid w:val="005C2ED3"/>
    <w:rsid w:val="005C314A"/>
    <w:rsid w:val="005C3D12"/>
    <w:rsid w:val="005C3F40"/>
    <w:rsid w:val="005C3FF9"/>
    <w:rsid w:val="005C45C9"/>
    <w:rsid w:val="005C485B"/>
    <w:rsid w:val="005C4BEE"/>
    <w:rsid w:val="005C50A4"/>
    <w:rsid w:val="005C5213"/>
    <w:rsid w:val="005C5B5D"/>
    <w:rsid w:val="005C6482"/>
    <w:rsid w:val="005C64E3"/>
    <w:rsid w:val="005C64EB"/>
    <w:rsid w:val="005C667E"/>
    <w:rsid w:val="005D01C3"/>
    <w:rsid w:val="005D01E3"/>
    <w:rsid w:val="005D0261"/>
    <w:rsid w:val="005D0555"/>
    <w:rsid w:val="005D06AA"/>
    <w:rsid w:val="005D06CA"/>
    <w:rsid w:val="005D08EE"/>
    <w:rsid w:val="005D0DC1"/>
    <w:rsid w:val="005D0DC2"/>
    <w:rsid w:val="005D0FBF"/>
    <w:rsid w:val="005D1415"/>
    <w:rsid w:val="005D15D9"/>
    <w:rsid w:val="005D1699"/>
    <w:rsid w:val="005D17AA"/>
    <w:rsid w:val="005D1BCB"/>
    <w:rsid w:val="005D1E3E"/>
    <w:rsid w:val="005D1E44"/>
    <w:rsid w:val="005D21AE"/>
    <w:rsid w:val="005D2942"/>
    <w:rsid w:val="005D2969"/>
    <w:rsid w:val="005D2B9D"/>
    <w:rsid w:val="005D2E23"/>
    <w:rsid w:val="005D2F4E"/>
    <w:rsid w:val="005D3852"/>
    <w:rsid w:val="005D390E"/>
    <w:rsid w:val="005D3D9B"/>
    <w:rsid w:val="005D3DFA"/>
    <w:rsid w:val="005D3E30"/>
    <w:rsid w:val="005D3F39"/>
    <w:rsid w:val="005D404A"/>
    <w:rsid w:val="005D40A8"/>
    <w:rsid w:val="005D45B2"/>
    <w:rsid w:val="005D47E3"/>
    <w:rsid w:val="005D49C5"/>
    <w:rsid w:val="005D51F7"/>
    <w:rsid w:val="005D55DD"/>
    <w:rsid w:val="005D56F7"/>
    <w:rsid w:val="005D574C"/>
    <w:rsid w:val="005D59BA"/>
    <w:rsid w:val="005D5C7A"/>
    <w:rsid w:val="005D6051"/>
    <w:rsid w:val="005D6466"/>
    <w:rsid w:val="005D6469"/>
    <w:rsid w:val="005D65EF"/>
    <w:rsid w:val="005D670E"/>
    <w:rsid w:val="005D6C94"/>
    <w:rsid w:val="005D6DBB"/>
    <w:rsid w:val="005D6FAE"/>
    <w:rsid w:val="005D71FE"/>
    <w:rsid w:val="005D751F"/>
    <w:rsid w:val="005D7722"/>
    <w:rsid w:val="005D7B43"/>
    <w:rsid w:val="005D7D9B"/>
    <w:rsid w:val="005D7F61"/>
    <w:rsid w:val="005E0201"/>
    <w:rsid w:val="005E0484"/>
    <w:rsid w:val="005E070A"/>
    <w:rsid w:val="005E0719"/>
    <w:rsid w:val="005E0D7A"/>
    <w:rsid w:val="005E1049"/>
    <w:rsid w:val="005E110C"/>
    <w:rsid w:val="005E142A"/>
    <w:rsid w:val="005E14AC"/>
    <w:rsid w:val="005E162E"/>
    <w:rsid w:val="005E17AC"/>
    <w:rsid w:val="005E1974"/>
    <w:rsid w:val="005E1DE7"/>
    <w:rsid w:val="005E26B9"/>
    <w:rsid w:val="005E2A31"/>
    <w:rsid w:val="005E2E75"/>
    <w:rsid w:val="005E3351"/>
    <w:rsid w:val="005E39B7"/>
    <w:rsid w:val="005E4963"/>
    <w:rsid w:val="005E4A42"/>
    <w:rsid w:val="005E4C23"/>
    <w:rsid w:val="005E4E91"/>
    <w:rsid w:val="005E5830"/>
    <w:rsid w:val="005E5A29"/>
    <w:rsid w:val="005E5DCF"/>
    <w:rsid w:val="005E628F"/>
    <w:rsid w:val="005E638D"/>
    <w:rsid w:val="005E6794"/>
    <w:rsid w:val="005E6DDE"/>
    <w:rsid w:val="005E779A"/>
    <w:rsid w:val="005E7A9A"/>
    <w:rsid w:val="005E7B58"/>
    <w:rsid w:val="005E7D48"/>
    <w:rsid w:val="005E7EA9"/>
    <w:rsid w:val="005E7EDE"/>
    <w:rsid w:val="005E7F64"/>
    <w:rsid w:val="005F025F"/>
    <w:rsid w:val="005F04B0"/>
    <w:rsid w:val="005F0581"/>
    <w:rsid w:val="005F07F4"/>
    <w:rsid w:val="005F08E5"/>
    <w:rsid w:val="005F09D2"/>
    <w:rsid w:val="005F0C5C"/>
    <w:rsid w:val="005F0D1A"/>
    <w:rsid w:val="005F0DE5"/>
    <w:rsid w:val="005F102B"/>
    <w:rsid w:val="005F10B2"/>
    <w:rsid w:val="005F14E1"/>
    <w:rsid w:val="005F19FE"/>
    <w:rsid w:val="005F1FA5"/>
    <w:rsid w:val="005F22D0"/>
    <w:rsid w:val="005F232A"/>
    <w:rsid w:val="005F2464"/>
    <w:rsid w:val="005F24C6"/>
    <w:rsid w:val="005F27AB"/>
    <w:rsid w:val="005F2A48"/>
    <w:rsid w:val="005F2B75"/>
    <w:rsid w:val="005F2E75"/>
    <w:rsid w:val="005F2F8A"/>
    <w:rsid w:val="005F3364"/>
    <w:rsid w:val="005F34B9"/>
    <w:rsid w:val="005F35EB"/>
    <w:rsid w:val="005F3D5D"/>
    <w:rsid w:val="005F42DD"/>
    <w:rsid w:val="005F46E8"/>
    <w:rsid w:val="005F4A05"/>
    <w:rsid w:val="005F4BB6"/>
    <w:rsid w:val="005F5185"/>
    <w:rsid w:val="005F53F1"/>
    <w:rsid w:val="005F575E"/>
    <w:rsid w:val="005F57C5"/>
    <w:rsid w:val="005F58CD"/>
    <w:rsid w:val="005F594D"/>
    <w:rsid w:val="005F5CF5"/>
    <w:rsid w:val="005F5F55"/>
    <w:rsid w:val="005F605E"/>
    <w:rsid w:val="005F6C98"/>
    <w:rsid w:val="005F72CD"/>
    <w:rsid w:val="005F7594"/>
    <w:rsid w:val="005F79D9"/>
    <w:rsid w:val="005F7BF4"/>
    <w:rsid w:val="005F7EB1"/>
    <w:rsid w:val="006007DB"/>
    <w:rsid w:val="00600929"/>
    <w:rsid w:val="00600B9C"/>
    <w:rsid w:val="00601772"/>
    <w:rsid w:val="00601833"/>
    <w:rsid w:val="00601C07"/>
    <w:rsid w:val="00602499"/>
    <w:rsid w:val="006024AB"/>
    <w:rsid w:val="00602601"/>
    <w:rsid w:val="006026FB"/>
    <w:rsid w:val="00602829"/>
    <w:rsid w:val="0060285D"/>
    <w:rsid w:val="00602DC6"/>
    <w:rsid w:val="00602F8E"/>
    <w:rsid w:val="00603037"/>
    <w:rsid w:val="00603076"/>
    <w:rsid w:val="006035BF"/>
    <w:rsid w:val="00604221"/>
    <w:rsid w:val="0060462E"/>
    <w:rsid w:val="006046FD"/>
    <w:rsid w:val="00604CBC"/>
    <w:rsid w:val="006056B6"/>
    <w:rsid w:val="00605D6F"/>
    <w:rsid w:val="006062EE"/>
    <w:rsid w:val="00606386"/>
    <w:rsid w:val="00606558"/>
    <w:rsid w:val="006067A0"/>
    <w:rsid w:val="006069A6"/>
    <w:rsid w:val="00606A23"/>
    <w:rsid w:val="00606C2D"/>
    <w:rsid w:val="0060751F"/>
    <w:rsid w:val="00607541"/>
    <w:rsid w:val="006077EE"/>
    <w:rsid w:val="00607B7C"/>
    <w:rsid w:val="00607BCC"/>
    <w:rsid w:val="0061016F"/>
    <w:rsid w:val="0061036A"/>
    <w:rsid w:val="0061063A"/>
    <w:rsid w:val="00610AC3"/>
    <w:rsid w:val="00610C4A"/>
    <w:rsid w:val="00610DB7"/>
    <w:rsid w:val="00610F4B"/>
    <w:rsid w:val="0061133A"/>
    <w:rsid w:val="00611515"/>
    <w:rsid w:val="006116C1"/>
    <w:rsid w:val="00611869"/>
    <w:rsid w:val="00611890"/>
    <w:rsid w:val="00611C2D"/>
    <w:rsid w:val="00612211"/>
    <w:rsid w:val="006125B8"/>
    <w:rsid w:val="0061264A"/>
    <w:rsid w:val="00612F97"/>
    <w:rsid w:val="0061346F"/>
    <w:rsid w:val="006137B6"/>
    <w:rsid w:val="0061387C"/>
    <w:rsid w:val="00613926"/>
    <w:rsid w:val="00613B3C"/>
    <w:rsid w:val="00613EB0"/>
    <w:rsid w:val="006141BA"/>
    <w:rsid w:val="0061439F"/>
    <w:rsid w:val="00614526"/>
    <w:rsid w:val="00614884"/>
    <w:rsid w:val="00614C1F"/>
    <w:rsid w:val="00615308"/>
    <w:rsid w:val="00615EB7"/>
    <w:rsid w:val="006168A2"/>
    <w:rsid w:val="006168B2"/>
    <w:rsid w:val="006169A6"/>
    <w:rsid w:val="00616BEB"/>
    <w:rsid w:val="00616D1F"/>
    <w:rsid w:val="00616E84"/>
    <w:rsid w:val="00616F47"/>
    <w:rsid w:val="0061756F"/>
    <w:rsid w:val="006175AF"/>
    <w:rsid w:val="006176A3"/>
    <w:rsid w:val="00617879"/>
    <w:rsid w:val="00617B49"/>
    <w:rsid w:val="00617DBE"/>
    <w:rsid w:val="00617E79"/>
    <w:rsid w:val="0062016F"/>
    <w:rsid w:val="00620B64"/>
    <w:rsid w:val="00620CCF"/>
    <w:rsid w:val="00620DA9"/>
    <w:rsid w:val="00621BB7"/>
    <w:rsid w:val="00622059"/>
    <w:rsid w:val="00622893"/>
    <w:rsid w:val="00622AAB"/>
    <w:rsid w:val="006230A3"/>
    <w:rsid w:val="00623495"/>
    <w:rsid w:val="006234E1"/>
    <w:rsid w:val="006238E9"/>
    <w:rsid w:val="00623999"/>
    <w:rsid w:val="00623C43"/>
    <w:rsid w:val="00624126"/>
    <w:rsid w:val="0062451D"/>
    <w:rsid w:val="00625BC9"/>
    <w:rsid w:val="00626393"/>
    <w:rsid w:val="00626561"/>
    <w:rsid w:val="00626869"/>
    <w:rsid w:val="00626BFD"/>
    <w:rsid w:val="00626DD8"/>
    <w:rsid w:val="00627067"/>
    <w:rsid w:val="00627AD2"/>
    <w:rsid w:val="00627F08"/>
    <w:rsid w:val="00627F1D"/>
    <w:rsid w:val="00630091"/>
    <w:rsid w:val="006300B8"/>
    <w:rsid w:val="0063013D"/>
    <w:rsid w:val="00630176"/>
    <w:rsid w:val="0063043C"/>
    <w:rsid w:val="00630474"/>
    <w:rsid w:val="0063083B"/>
    <w:rsid w:val="00630CE1"/>
    <w:rsid w:val="00630D58"/>
    <w:rsid w:val="00630F53"/>
    <w:rsid w:val="00630FF3"/>
    <w:rsid w:val="006311A4"/>
    <w:rsid w:val="00631364"/>
    <w:rsid w:val="00631703"/>
    <w:rsid w:val="006317B5"/>
    <w:rsid w:val="00631AB8"/>
    <w:rsid w:val="006322D1"/>
    <w:rsid w:val="0063233F"/>
    <w:rsid w:val="0063242B"/>
    <w:rsid w:val="00632E25"/>
    <w:rsid w:val="00632EF0"/>
    <w:rsid w:val="0063312A"/>
    <w:rsid w:val="0063357F"/>
    <w:rsid w:val="00633608"/>
    <w:rsid w:val="00633990"/>
    <w:rsid w:val="0063479D"/>
    <w:rsid w:val="00634BBA"/>
    <w:rsid w:val="00634BC1"/>
    <w:rsid w:val="00634BFC"/>
    <w:rsid w:val="00634FC5"/>
    <w:rsid w:val="00635078"/>
    <w:rsid w:val="00635369"/>
    <w:rsid w:val="00635500"/>
    <w:rsid w:val="0063573E"/>
    <w:rsid w:val="00635D6C"/>
    <w:rsid w:val="00635DE7"/>
    <w:rsid w:val="00635E22"/>
    <w:rsid w:val="006369A6"/>
    <w:rsid w:val="00636DAF"/>
    <w:rsid w:val="00636E19"/>
    <w:rsid w:val="00636E3B"/>
    <w:rsid w:val="00637855"/>
    <w:rsid w:val="0063787B"/>
    <w:rsid w:val="006379A6"/>
    <w:rsid w:val="00637A0E"/>
    <w:rsid w:val="00637A21"/>
    <w:rsid w:val="00637D1D"/>
    <w:rsid w:val="00637EC2"/>
    <w:rsid w:val="006401B9"/>
    <w:rsid w:val="00640298"/>
    <w:rsid w:val="006403F7"/>
    <w:rsid w:val="00640414"/>
    <w:rsid w:val="0064050C"/>
    <w:rsid w:val="00640794"/>
    <w:rsid w:val="0064096B"/>
    <w:rsid w:val="0064098A"/>
    <w:rsid w:val="00640D06"/>
    <w:rsid w:val="00640E0D"/>
    <w:rsid w:val="00640E7F"/>
    <w:rsid w:val="0064105A"/>
    <w:rsid w:val="0064122B"/>
    <w:rsid w:val="006414BF"/>
    <w:rsid w:val="006416DB"/>
    <w:rsid w:val="00641991"/>
    <w:rsid w:val="00641E6C"/>
    <w:rsid w:val="00642171"/>
    <w:rsid w:val="00642353"/>
    <w:rsid w:val="006423E4"/>
    <w:rsid w:val="0064268A"/>
    <w:rsid w:val="00642922"/>
    <w:rsid w:val="00642BE7"/>
    <w:rsid w:val="00642D7D"/>
    <w:rsid w:val="00642DC1"/>
    <w:rsid w:val="00642F44"/>
    <w:rsid w:val="00642F73"/>
    <w:rsid w:val="006432D4"/>
    <w:rsid w:val="00643770"/>
    <w:rsid w:val="00643805"/>
    <w:rsid w:val="00643905"/>
    <w:rsid w:val="006439D1"/>
    <w:rsid w:val="00643B36"/>
    <w:rsid w:val="00643D46"/>
    <w:rsid w:val="00644276"/>
    <w:rsid w:val="006443D8"/>
    <w:rsid w:val="00644491"/>
    <w:rsid w:val="00644640"/>
    <w:rsid w:val="00644DD0"/>
    <w:rsid w:val="00645195"/>
    <w:rsid w:val="006452C6"/>
    <w:rsid w:val="006453AA"/>
    <w:rsid w:val="006455E7"/>
    <w:rsid w:val="00645C61"/>
    <w:rsid w:val="00645F48"/>
    <w:rsid w:val="0064612F"/>
    <w:rsid w:val="0064620B"/>
    <w:rsid w:val="006464E4"/>
    <w:rsid w:val="0064654A"/>
    <w:rsid w:val="006465AC"/>
    <w:rsid w:val="006468B1"/>
    <w:rsid w:val="006468FF"/>
    <w:rsid w:val="006469E8"/>
    <w:rsid w:val="00646A73"/>
    <w:rsid w:val="00646A83"/>
    <w:rsid w:val="00646BF0"/>
    <w:rsid w:val="00646DE9"/>
    <w:rsid w:val="0064709A"/>
    <w:rsid w:val="006476A3"/>
    <w:rsid w:val="00647861"/>
    <w:rsid w:val="0064798F"/>
    <w:rsid w:val="00650482"/>
    <w:rsid w:val="0065052A"/>
    <w:rsid w:val="00650695"/>
    <w:rsid w:val="006507AA"/>
    <w:rsid w:val="006508B7"/>
    <w:rsid w:val="006508B8"/>
    <w:rsid w:val="0065144D"/>
    <w:rsid w:val="00651F19"/>
    <w:rsid w:val="00652081"/>
    <w:rsid w:val="00652130"/>
    <w:rsid w:val="00652419"/>
    <w:rsid w:val="006525F5"/>
    <w:rsid w:val="00652E70"/>
    <w:rsid w:val="0065324B"/>
    <w:rsid w:val="00653477"/>
    <w:rsid w:val="00653708"/>
    <w:rsid w:val="00654212"/>
    <w:rsid w:val="00654904"/>
    <w:rsid w:val="00654D99"/>
    <w:rsid w:val="00654E3B"/>
    <w:rsid w:val="00655822"/>
    <w:rsid w:val="00655A1A"/>
    <w:rsid w:val="00655EA0"/>
    <w:rsid w:val="00655EC9"/>
    <w:rsid w:val="00656348"/>
    <w:rsid w:val="006569FD"/>
    <w:rsid w:val="00656AC8"/>
    <w:rsid w:val="00656B55"/>
    <w:rsid w:val="00656F5F"/>
    <w:rsid w:val="0065708B"/>
    <w:rsid w:val="00657582"/>
    <w:rsid w:val="00657855"/>
    <w:rsid w:val="00657A7E"/>
    <w:rsid w:val="00657DF5"/>
    <w:rsid w:val="00657E0F"/>
    <w:rsid w:val="006602D1"/>
    <w:rsid w:val="00660662"/>
    <w:rsid w:val="00660A78"/>
    <w:rsid w:val="00660EEA"/>
    <w:rsid w:val="006612BB"/>
    <w:rsid w:val="0066132E"/>
    <w:rsid w:val="006614D8"/>
    <w:rsid w:val="00661CDE"/>
    <w:rsid w:val="00661F04"/>
    <w:rsid w:val="006624AC"/>
    <w:rsid w:val="006627AE"/>
    <w:rsid w:val="00662EB4"/>
    <w:rsid w:val="006632E2"/>
    <w:rsid w:val="00663312"/>
    <w:rsid w:val="0066337D"/>
    <w:rsid w:val="00663549"/>
    <w:rsid w:val="006635D3"/>
    <w:rsid w:val="00663A52"/>
    <w:rsid w:val="00663AAA"/>
    <w:rsid w:val="00663C44"/>
    <w:rsid w:val="00663CC1"/>
    <w:rsid w:val="00663DAC"/>
    <w:rsid w:val="00663DE7"/>
    <w:rsid w:val="00664067"/>
    <w:rsid w:val="00665212"/>
    <w:rsid w:val="0066544C"/>
    <w:rsid w:val="00665490"/>
    <w:rsid w:val="0066571D"/>
    <w:rsid w:val="00665AC5"/>
    <w:rsid w:val="00665D13"/>
    <w:rsid w:val="00665D37"/>
    <w:rsid w:val="00665E12"/>
    <w:rsid w:val="0066628A"/>
    <w:rsid w:val="006666DF"/>
    <w:rsid w:val="00666A2F"/>
    <w:rsid w:val="006670B0"/>
    <w:rsid w:val="0066740F"/>
    <w:rsid w:val="00667485"/>
    <w:rsid w:val="00667643"/>
    <w:rsid w:val="00667F88"/>
    <w:rsid w:val="0067013B"/>
    <w:rsid w:val="0067043F"/>
    <w:rsid w:val="00670B52"/>
    <w:rsid w:val="00670BDC"/>
    <w:rsid w:val="00670C59"/>
    <w:rsid w:val="00670FB9"/>
    <w:rsid w:val="006715CF"/>
    <w:rsid w:val="00671ADA"/>
    <w:rsid w:val="0067204E"/>
    <w:rsid w:val="00672102"/>
    <w:rsid w:val="006724D7"/>
    <w:rsid w:val="0067263F"/>
    <w:rsid w:val="00673043"/>
    <w:rsid w:val="0067329A"/>
    <w:rsid w:val="00673392"/>
    <w:rsid w:val="006738C9"/>
    <w:rsid w:val="006739E5"/>
    <w:rsid w:val="00673AF3"/>
    <w:rsid w:val="00674089"/>
    <w:rsid w:val="00674136"/>
    <w:rsid w:val="00674477"/>
    <w:rsid w:val="00674A8A"/>
    <w:rsid w:val="00675109"/>
    <w:rsid w:val="00675396"/>
    <w:rsid w:val="00675440"/>
    <w:rsid w:val="00675837"/>
    <w:rsid w:val="00675975"/>
    <w:rsid w:val="00675CA1"/>
    <w:rsid w:val="00676097"/>
    <w:rsid w:val="00676C85"/>
    <w:rsid w:val="00677999"/>
    <w:rsid w:val="006779CF"/>
    <w:rsid w:val="00677D7E"/>
    <w:rsid w:val="006804BF"/>
    <w:rsid w:val="006805B9"/>
    <w:rsid w:val="0068084E"/>
    <w:rsid w:val="00680D58"/>
    <w:rsid w:val="00680EE9"/>
    <w:rsid w:val="00680F10"/>
    <w:rsid w:val="0068101C"/>
    <w:rsid w:val="0068123F"/>
    <w:rsid w:val="006813A6"/>
    <w:rsid w:val="0068157A"/>
    <w:rsid w:val="00681869"/>
    <w:rsid w:val="00681C30"/>
    <w:rsid w:val="00681C77"/>
    <w:rsid w:val="00681F56"/>
    <w:rsid w:val="0068257F"/>
    <w:rsid w:val="00682651"/>
    <w:rsid w:val="0068292F"/>
    <w:rsid w:val="006829EB"/>
    <w:rsid w:val="00682CCE"/>
    <w:rsid w:val="00682D5A"/>
    <w:rsid w:val="00682F6D"/>
    <w:rsid w:val="00682F74"/>
    <w:rsid w:val="0068317D"/>
    <w:rsid w:val="006833FA"/>
    <w:rsid w:val="00683BB5"/>
    <w:rsid w:val="00683E3E"/>
    <w:rsid w:val="00683FB1"/>
    <w:rsid w:val="00684428"/>
    <w:rsid w:val="006846A6"/>
    <w:rsid w:val="0068482F"/>
    <w:rsid w:val="00684878"/>
    <w:rsid w:val="00684906"/>
    <w:rsid w:val="00685241"/>
    <w:rsid w:val="006853A9"/>
    <w:rsid w:val="0068545F"/>
    <w:rsid w:val="006857A6"/>
    <w:rsid w:val="00685AD3"/>
    <w:rsid w:val="00685E40"/>
    <w:rsid w:val="00685E52"/>
    <w:rsid w:val="006863BF"/>
    <w:rsid w:val="0068704A"/>
    <w:rsid w:val="0068722C"/>
    <w:rsid w:val="006872E4"/>
    <w:rsid w:val="00687680"/>
    <w:rsid w:val="00687BE0"/>
    <w:rsid w:val="00687BE3"/>
    <w:rsid w:val="00690007"/>
    <w:rsid w:val="00690E12"/>
    <w:rsid w:val="00690E29"/>
    <w:rsid w:val="006914B0"/>
    <w:rsid w:val="006917C0"/>
    <w:rsid w:val="0069192B"/>
    <w:rsid w:val="00691B03"/>
    <w:rsid w:val="00691FEE"/>
    <w:rsid w:val="00692119"/>
    <w:rsid w:val="00692235"/>
    <w:rsid w:val="006925BB"/>
    <w:rsid w:val="006926CE"/>
    <w:rsid w:val="00692708"/>
    <w:rsid w:val="00692F00"/>
    <w:rsid w:val="006930A8"/>
    <w:rsid w:val="00693938"/>
    <w:rsid w:val="00693A10"/>
    <w:rsid w:val="00693B46"/>
    <w:rsid w:val="00693C99"/>
    <w:rsid w:val="00693EAF"/>
    <w:rsid w:val="00694206"/>
    <w:rsid w:val="0069477C"/>
    <w:rsid w:val="00694C26"/>
    <w:rsid w:val="00694D17"/>
    <w:rsid w:val="00694DA1"/>
    <w:rsid w:val="006950DA"/>
    <w:rsid w:val="00695116"/>
    <w:rsid w:val="0069529E"/>
    <w:rsid w:val="00695D7A"/>
    <w:rsid w:val="0069616B"/>
    <w:rsid w:val="00696309"/>
    <w:rsid w:val="00696396"/>
    <w:rsid w:val="006963F5"/>
    <w:rsid w:val="00696BC8"/>
    <w:rsid w:val="00697337"/>
    <w:rsid w:val="006978FA"/>
    <w:rsid w:val="00697917"/>
    <w:rsid w:val="00697B4D"/>
    <w:rsid w:val="00697C71"/>
    <w:rsid w:val="00697C7D"/>
    <w:rsid w:val="006A0452"/>
    <w:rsid w:val="006A093F"/>
    <w:rsid w:val="006A0FB5"/>
    <w:rsid w:val="006A0FD7"/>
    <w:rsid w:val="006A1396"/>
    <w:rsid w:val="006A1758"/>
    <w:rsid w:val="006A1ABB"/>
    <w:rsid w:val="006A1F02"/>
    <w:rsid w:val="006A23E8"/>
    <w:rsid w:val="006A3227"/>
    <w:rsid w:val="006A33D8"/>
    <w:rsid w:val="006A390F"/>
    <w:rsid w:val="006A39D3"/>
    <w:rsid w:val="006A3AE9"/>
    <w:rsid w:val="006A3C5A"/>
    <w:rsid w:val="006A4024"/>
    <w:rsid w:val="006A4150"/>
    <w:rsid w:val="006A4230"/>
    <w:rsid w:val="006A42F6"/>
    <w:rsid w:val="006A46E3"/>
    <w:rsid w:val="006A4929"/>
    <w:rsid w:val="006A4F54"/>
    <w:rsid w:val="006A5117"/>
    <w:rsid w:val="006A518D"/>
    <w:rsid w:val="006A51E7"/>
    <w:rsid w:val="006A543C"/>
    <w:rsid w:val="006A5705"/>
    <w:rsid w:val="006A5909"/>
    <w:rsid w:val="006A5916"/>
    <w:rsid w:val="006A5AB7"/>
    <w:rsid w:val="006A5E74"/>
    <w:rsid w:val="006A628A"/>
    <w:rsid w:val="006A64F5"/>
    <w:rsid w:val="006A6AAB"/>
    <w:rsid w:val="006A6BB3"/>
    <w:rsid w:val="006A716E"/>
    <w:rsid w:val="006A720D"/>
    <w:rsid w:val="006A726D"/>
    <w:rsid w:val="006A7487"/>
    <w:rsid w:val="006A7714"/>
    <w:rsid w:val="006A7B18"/>
    <w:rsid w:val="006A7E20"/>
    <w:rsid w:val="006B000A"/>
    <w:rsid w:val="006B00DD"/>
    <w:rsid w:val="006B0557"/>
    <w:rsid w:val="006B0AFA"/>
    <w:rsid w:val="006B0E37"/>
    <w:rsid w:val="006B1068"/>
    <w:rsid w:val="006B1B55"/>
    <w:rsid w:val="006B1BCE"/>
    <w:rsid w:val="006B1F53"/>
    <w:rsid w:val="006B2165"/>
    <w:rsid w:val="006B23E2"/>
    <w:rsid w:val="006B2456"/>
    <w:rsid w:val="006B2971"/>
    <w:rsid w:val="006B2988"/>
    <w:rsid w:val="006B2A71"/>
    <w:rsid w:val="006B2DC0"/>
    <w:rsid w:val="006B2E9C"/>
    <w:rsid w:val="006B2F6E"/>
    <w:rsid w:val="006B3131"/>
    <w:rsid w:val="006B37D8"/>
    <w:rsid w:val="006B3E7C"/>
    <w:rsid w:val="006B3F5D"/>
    <w:rsid w:val="006B466E"/>
    <w:rsid w:val="006B4805"/>
    <w:rsid w:val="006B4C1F"/>
    <w:rsid w:val="006B50C2"/>
    <w:rsid w:val="006B523A"/>
    <w:rsid w:val="006B5CD5"/>
    <w:rsid w:val="006B605A"/>
    <w:rsid w:val="006B6396"/>
    <w:rsid w:val="006B6D46"/>
    <w:rsid w:val="006B6D86"/>
    <w:rsid w:val="006B6DFC"/>
    <w:rsid w:val="006B6EB8"/>
    <w:rsid w:val="006B7139"/>
    <w:rsid w:val="006B7154"/>
    <w:rsid w:val="006B7472"/>
    <w:rsid w:val="006B7480"/>
    <w:rsid w:val="006B7503"/>
    <w:rsid w:val="006B7715"/>
    <w:rsid w:val="006B7DE5"/>
    <w:rsid w:val="006C0833"/>
    <w:rsid w:val="006C10F6"/>
    <w:rsid w:val="006C158F"/>
    <w:rsid w:val="006C1901"/>
    <w:rsid w:val="006C1907"/>
    <w:rsid w:val="006C1B46"/>
    <w:rsid w:val="006C21D8"/>
    <w:rsid w:val="006C2953"/>
    <w:rsid w:val="006C2BA5"/>
    <w:rsid w:val="006C2D41"/>
    <w:rsid w:val="006C2F10"/>
    <w:rsid w:val="006C2F90"/>
    <w:rsid w:val="006C3215"/>
    <w:rsid w:val="006C3A5F"/>
    <w:rsid w:val="006C3A9E"/>
    <w:rsid w:val="006C3C71"/>
    <w:rsid w:val="006C3CD0"/>
    <w:rsid w:val="006C3DD6"/>
    <w:rsid w:val="006C4341"/>
    <w:rsid w:val="006C4493"/>
    <w:rsid w:val="006C4C4D"/>
    <w:rsid w:val="006C4CCB"/>
    <w:rsid w:val="006C4E4D"/>
    <w:rsid w:val="006C53A9"/>
    <w:rsid w:val="006C5772"/>
    <w:rsid w:val="006C5CD9"/>
    <w:rsid w:val="006C5E16"/>
    <w:rsid w:val="006C623E"/>
    <w:rsid w:val="006C6630"/>
    <w:rsid w:val="006C6727"/>
    <w:rsid w:val="006C69AF"/>
    <w:rsid w:val="006C6C35"/>
    <w:rsid w:val="006C73C0"/>
    <w:rsid w:val="006C75C1"/>
    <w:rsid w:val="006C787D"/>
    <w:rsid w:val="006C7A10"/>
    <w:rsid w:val="006D01CC"/>
    <w:rsid w:val="006D0B2D"/>
    <w:rsid w:val="006D0D5F"/>
    <w:rsid w:val="006D0E1B"/>
    <w:rsid w:val="006D0E21"/>
    <w:rsid w:val="006D1456"/>
    <w:rsid w:val="006D1C79"/>
    <w:rsid w:val="006D1CCE"/>
    <w:rsid w:val="006D1E7E"/>
    <w:rsid w:val="006D2720"/>
    <w:rsid w:val="006D2A96"/>
    <w:rsid w:val="006D2B58"/>
    <w:rsid w:val="006D2C7D"/>
    <w:rsid w:val="006D2FB6"/>
    <w:rsid w:val="006D35CA"/>
    <w:rsid w:val="006D3896"/>
    <w:rsid w:val="006D3AEF"/>
    <w:rsid w:val="006D3B95"/>
    <w:rsid w:val="006D3C7E"/>
    <w:rsid w:val="006D40EF"/>
    <w:rsid w:val="006D426D"/>
    <w:rsid w:val="006D4391"/>
    <w:rsid w:val="006D4556"/>
    <w:rsid w:val="006D4C8F"/>
    <w:rsid w:val="006D4EFD"/>
    <w:rsid w:val="006D4F9D"/>
    <w:rsid w:val="006D5117"/>
    <w:rsid w:val="006D5A96"/>
    <w:rsid w:val="006D5E96"/>
    <w:rsid w:val="006D6046"/>
    <w:rsid w:val="006D604F"/>
    <w:rsid w:val="006D6729"/>
    <w:rsid w:val="006D672B"/>
    <w:rsid w:val="006D6963"/>
    <w:rsid w:val="006D6C2E"/>
    <w:rsid w:val="006D6F1E"/>
    <w:rsid w:val="006D74A6"/>
    <w:rsid w:val="006D7A36"/>
    <w:rsid w:val="006D7D32"/>
    <w:rsid w:val="006D7EDD"/>
    <w:rsid w:val="006D7FDC"/>
    <w:rsid w:val="006E0186"/>
    <w:rsid w:val="006E09A5"/>
    <w:rsid w:val="006E0C3C"/>
    <w:rsid w:val="006E0E2A"/>
    <w:rsid w:val="006E110F"/>
    <w:rsid w:val="006E14B3"/>
    <w:rsid w:val="006E1C6A"/>
    <w:rsid w:val="006E1F28"/>
    <w:rsid w:val="006E1FD1"/>
    <w:rsid w:val="006E245F"/>
    <w:rsid w:val="006E2894"/>
    <w:rsid w:val="006E289F"/>
    <w:rsid w:val="006E2EB7"/>
    <w:rsid w:val="006E2EC1"/>
    <w:rsid w:val="006E2F57"/>
    <w:rsid w:val="006E343D"/>
    <w:rsid w:val="006E3CA5"/>
    <w:rsid w:val="006E4492"/>
    <w:rsid w:val="006E44CF"/>
    <w:rsid w:val="006E44E9"/>
    <w:rsid w:val="006E5037"/>
    <w:rsid w:val="006E5135"/>
    <w:rsid w:val="006E539A"/>
    <w:rsid w:val="006E55EF"/>
    <w:rsid w:val="006E5B27"/>
    <w:rsid w:val="006E5D64"/>
    <w:rsid w:val="006E5FB7"/>
    <w:rsid w:val="006E6083"/>
    <w:rsid w:val="006E60D9"/>
    <w:rsid w:val="006E6153"/>
    <w:rsid w:val="006E6C5A"/>
    <w:rsid w:val="006E76DF"/>
    <w:rsid w:val="006E77C5"/>
    <w:rsid w:val="006E7B54"/>
    <w:rsid w:val="006E7C49"/>
    <w:rsid w:val="006E7F06"/>
    <w:rsid w:val="006E7F53"/>
    <w:rsid w:val="006F03D9"/>
    <w:rsid w:val="006F03EA"/>
    <w:rsid w:val="006F0770"/>
    <w:rsid w:val="006F07F3"/>
    <w:rsid w:val="006F0AA5"/>
    <w:rsid w:val="006F0D69"/>
    <w:rsid w:val="006F11BE"/>
    <w:rsid w:val="006F1615"/>
    <w:rsid w:val="006F1F00"/>
    <w:rsid w:val="006F24B9"/>
    <w:rsid w:val="006F2520"/>
    <w:rsid w:val="006F252B"/>
    <w:rsid w:val="006F25D4"/>
    <w:rsid w:val="006F26A2"/>
    <w:rsid w:val="006F277A"/>
    <w:rsid w:val="006F27D5"/>
    <w:rsid w:val="006F28AC"/>
    <w:rsid w:val="006F293F"/>
    <w:rsid w:val="006F2E4D"/>
    <w:rsid w:val="006F30B9"/>
    <w:rsid w:val="006F318F"/>
    <w:rsid w:val="006F3390"/>
    <w:rsid w:val="006F380C"/>
    <w:rsid w:val="006F3935"/>
    <w:rsid w:val="006F3B24"/>
    <w:rsid w:val="006F3C30"/>
    <w:rsid w:val="006F3E1A"/>
    <w:rsid w:val="006F4121"/>
    <w:rsid w:val="006F4967"/>
    <w:rsid w:val="006F49B5"/>
    <w:rsid w:val="006F4A83"/>
    <w:rsid w:val="006F4C90"/>
    <w:rsid w:val="006F50A6"/>
    <w:rsid w:val="006F50C1"/>
    <w:rsid w:val="006F50C3"/>
    <w:rsid w:val="006F5198"/>
    <w:rsid w:val="006F52D5"/>
    <w:rsid w:val="006F5B68"/>
    <w:rsid w:val="006F5BAA"/>
    <w:rsid w:val="006F5FE2"/>
    <w:rsid w:val="006F60C4"/>
    <w:rsid w:val="006F60D3"/>
    <w:rsid w:val="006F68E1"/>
    <w:rsid w:val="006F6BD8"/>
    <w:rsid w:val="006F6C34"/>
    <w:rsid w:val="006F6C92"/>
    <w:rsid w:val="006F706B"/>
    <w:rsid w:val="006F73F8"/>
    <w:rsid w:val="006F746D"/>
    <w:rsid w:val="006F7819"/>
    <w:rsid w:val="006F7B7E"/>
    <w:rsid w:val="006F7F29"/>
    <w:rsid w:val="006F7F4D"/>
    <w:rsid w:val="007003D1"/>
    <w:rsid w:val="0070056B"/>
    <w:rsid w:val="00700578"/>
    <w:rsid w:val="0070091B"/>
    <w:rsid w:val="00700970"/>
    <w:rsid w:val="00700B6F"/>
    <w:rsid w:val="007013F1"/>
    <w:rsid w:val="0070146D"/>
    <w:rsid w:val="00701696"/>
    <w:rsid w:val="00701749"/>
    <w:rsid w:val="00701E0E"/>
    <w:rsid w:val="00701F6D"/>
    <w:rsid w:val="0070215F"/>
    <w:rsid w:val="007025AD"/>
    <w:rsid w:val="007026FF"/>
    <w:rsid w:val="00702EF0"/>
    <w:rsid w:val="0070317E"/>
    <w:rsid w:val="0070358C"/>
    <w:rsid w:val="0070365D"/>
    <w:rsid w:val="00703A14"/>
    <w:rsid w:val="00703A26"/>
    <w:rsid w:val="00703D6A"/>
    <w:rsid w:val="0070414C"/>
    <w:rsid w:val="00704174"/>
    <w:rsid w:val="007045C8"/>
    <w:rsid w:val="00704F6C"/>
    <w:rsid w:val="00704FF7"/>
    <w:rsid w:val="0070572B"/>
    <w:rsid w:val="0070614D"/>
    <w:rsid w:val="00706182"/>
    <w:rsid w:val="007061D8"/>
    <w:rsid w:val="0070644D"/>
    <w:rsid w:val="0070673C"/>
    <w:rsid w:val="0070734B"/>
    <w:rsid w:val="00710381"/>
    <w:rsid w:val="00710443"/>
    <w:rsid w:val="00710AA2"/>
    <w:rsid w:val="00710B2D"/>
    <w:rsid w:val="00710EDE"/>
    <w:rsid w:val="00710F69"/>
    <w:rsid w:val="00710FEA"/>
    <w:rsid w:val="007115A7"/>
    <w:rsid w:val="00712238"/>
    <w:rsid w:val="007122C3"/>
    <w:rsid w:val="0071276D"/>
    <w:rsid w:val="007127CA"/>
    <w:rsid w:val="007129E6"/>
    <w:rsid w:val="00713899"/>
    <w:rsid w:val="00713FC6"/>
    <w:rsid w:val="007142C5"/>
    <w:rsid w:val="00714A15"/>
    <w:rsid w:val="00714A8E"/>
    <w:rsid w:val="00714D1A"/>
    <w:rsid w:val="00715519"/>
    <w:rsid w:val="00715B41"/>
    <w:rsid w:val="00715F75"/>
    <w:rsid w:val="007160F7"/>
    <w:rsid w:val="00716557"/>
    <w:rsid w:val="0071659E"/>
    <w:rsid w:val="00716615"/>
    <w:rsid w:val="007167ED"/>
    <w:rsid w:val="007169F3"/>
    <w:rsid w:val="00716B37"/>
    <w:rsid w:val="007170C4"/>
    <w:rsid w:val="00717169"/>
    <w:rsid w:val="007171AF"/>
    <w:rsid w:val="007171F0"/>
    <w:rsid w:val="0071726F"/>
    <w:rsid w:val="007172EB"/>
    <w:rsid w:val="00717336"/>
    <w:rsid w:val="007174AF"/>
    <w:rsid w:val="00717932"/>
    <w:rsid w:val="00717C15"/>
    <w:rsid w:val="0072001E"/>
    <w:rsid w:val="0072061E"/>
    <w:rsid w:val="00720FB4"/>
    <w:rsid w:val="00720FBC"/>
    <w:rsid w:val="00721369"/>
    <w:rsid w:val="0072186E"/>
    <w:rsid w:val="00721C11"/>
    <w:rsid w:val="00721C5B"/>
    <w:rsid w:val="00721D16"/>
    <w:rsid w:val="00721E9B"/>
    <w:rsid w:val="007225FE"/>
    <w:rsid w:val="00722879"/>
    <w:rsid w:val="00722982"/>
    <w:rsid w:val="00722A04"/>
    <w:rsid w:val="00722D9E"/>
    <w:rsid w:val="007231E4"/>
    <w:rsid w:val="0072350A"/>
    <w:rsid w:val="0072358B"/>
    <w:rsid w:val="00723A12"/>
    <w:rsid w:val="00723C41"/>
    <w:rsid w:val="00723E17"/>
    <w:rsid w:val="00724513"/>
    <w:rsid w:val="007247B7"/>
    <w:rsid w:val="00724D68"/>
    <w:rsid w:val="00724EF5"/>
    <w:rsid w:val="00725509"/>
    <w:rsid w:val="00725620"/>
    <w:rsid w:val="007258CD"/>
    <w:rsid w:val="00725A28"/>
    <w:rsid w:val="00725C1C"/>
    <w:rsid w:val="00725D0C"/>
    <w:rsid w:val="00725DB2"/>
    <w:rsid w:val="00725EA4"/>
    <w:rsid w:val="00725EBD"/>
    <w:rsid w:val="00726468"/>
    <w:rsid w:val="00726921"/>
    <w:rsid w:val="00726B3A"/>
    <w:rsid w:val="00726B81"/>
    <w:rsid w:val="00726D4D"/>
    <w:rsid w:val="00726EAB"/>
    <w:rsid w:val="00727418"/>
    <w:rsid w:val="00727599"/>
    <w:rsid w:val="007275DD"/>
    <w:rsid w:val="00727A23"/>
    <w:rsid w:val="00727BFC"/>
    <w:rsid w:val="00727CB8"/>
    <w:rsid w:val="00727CCA"/>
    <w:rsid w:val="00727E29"/>
    <w:rsid w:val="007302FD"/>
    <w:rsid w:val="0073080D"/>
    <w:rsid w:val="007308E4"/>
    <w:rsid w:val="007309FE"/>
    <w:rsid w:val="00730A14"/>
    <w:rsid w:val="00730EFF"/>
    <w:rsid w:val="00730F6F"/>
    <w:rsid w:val="007312F0"/>
    <w:rsid w:val="00731625"/>
    <w:rsid w:val="007316FF"/>
    <w:rsid w:val="00731CF3"/>
    <w:rsid w:val="00731E65"/>
    <w:rsid w:val="00731EA2"/>
    <w:rsid w:val="007325C8"/>
    <w:rsid w:val="00732838"/>
    <w:rsid w:val="007333D3"/>
    <w:rsid w:val="007337A1"/>
    <w:rsid w:val="007338ED"/>
    <w:rsid w:val="007340A2"/>
    <w:rsid w:val="007341C4"/>
    <w:rsid w:val="007343A0"/>
    <w:rsid w:val="007343B8"/>
    <w:rsid w:val="0073450B"/>
    <w:rsid w:val="00734695"/>
    <w:rsid w:val="00734783"/>
    <w:rsid w:val="0073496F"/>
    <w:rsid w:val="00734A54"/>
    <w:rsid w:val="00734A8E"/>
    <w:rsid w:val="00734EA2"/>
    <w:rsid w:val="00734F78"/>
    <w:rsid w:val="0073519F"/>
    <w:rsid w:val="007356B8"/>
    <w:rsid w:val="00735B9C"/>
    <w:rsid w:val="00735D5E"/>
    <w:rsid w:val="00735DDB"/>
    <w:rsid w:val="007360F1"/>
    <w:rsid w:val="00736349"/>
    <w:rsid w:val="007365A9"/>
    <w:rsid w:val="007366FE"/>
    <w:rsid w:val="00736894"/>
    <w:rsid w:val="00736CC6"/>
    <w:rsid w:val="00736E90"/>
    <w:rsid w:val="0073716A"/>
    <w:rsid w:val="00737408"/>
    <w:rsid w:val="007376F7"/>
    <w:rsid w:val="0073778A"/>
    <w:rsid w:val="00737800"/>
    <w:rsid w:val="00737A89"/>
    <w:rsid w:val="00740317"/>
    <w:rsid w:val="00740396"/>
    <w:rsid w:val="00740825"/>
    <w:rsid w:val="00740A9A"/>
    <w:rsid w:val="00740EB4"/>
    <w:rsid w:val="00740F16"/>
    <w:rsid w:val="0074155B"/>
    <w:rsid w:val="007415BE"/>
    <w:rsid w:val="007417A3"/>
    <w:rsid w:val="00741A5C"/>
    <w:rsid w:val="0074208A"/>
    <w:rsid w:val="00742135"/>
    <w:rsid w:val="007422E6"/>
    <w:rsid w:val="007423B9"/>
    <w:rsid w:val="00742539"/>
    <w:rsid w:val="007428A9"/>
    <w:rsid w:val="00742B32"/>
    <w:rsid w:val="00742CFF"/>
    <w:rsid w:val="00742E98"/>
    <w:rsid w:val="007432D6"/>
    <w:rsid w:val="007437DC"/>
    <w:rsid w:val="007438A1"/>
    <w:rsid w:val="00743952"/>
    <w:rsid w:val="0074396E"/>
    <w:rsid w:val="00743DF0"/>
    <w:rsid w:val="00744035"/>
    <w:rsid w:val="00744053"/>
    <w:rsid w:val="00744119"/>
    <w:rsid w:val="00744464"/>
    <w:rsid w:val="0074473F"/>
    <w:rsid w:val="00744905"/>
    <w:rsid w:val="00744D5B"/>
    <w:rsid w:val="00744D84"/>
    <w:rsid w:val="00744DD8"/>
    <w:rsid w:val="00744F6A"/>
    <w:rsid w:val="00745362"/>
    <w:rsid w:val="007454F3"/>
    <w:rsid w:val="0074557D"/>
    <w:rsid w:val="00745653"/>
    <w:rsid w:val="007458B5"/>
    <w:rsid w:val="00745D85"/>
    <w:rsid w:val="00745DE8"/>
    <w:rsid w:val="007465BA"/>
    <w:rsid w:val="007468CF"/>
    <w:rsid w:val="00746902"/>
    <w:rsid w:val="007469BF"/>
    <w:rsid w:val="00746B62"/>
    <w:rsid w:val="00746C8D"/>
    <w:rsid w:val="00746DEA"/>
    <w:rsid w:val="00746F32"/>
    <w:rsid w:val="00747003"/>
    <w:rsid w:val="007470AB"/>
    <w:rsid w:val="007472C0"/>
    <w:rsid w:val="0074774E"/>
    <w:rsid w:val="0074776E"/>
    <w:rsid w:val="00747A75"/>
    <w:rsid w:val="00747C12"/>
    <w:rsid w:val="00747EA8"/>
    <w:rsid w:val="00750094"/>
    <w:rsid w:val="0075039A"/>
    <w:rsid w:val="0075090E"/>
    <w:rsid w:val="00750AA1"/>
    <w:rsid w:val="00750D30"/>
    <w:rsid w:val="007510A5"/>
    <w:rsid w:val="0075135C"/>
    <w:rsid w:val="0075162F"/>
    <w:rsid w:val="00751922"/>
    <w:rsid w:val="007519E7"/>
    <w:rsid w:val="00751A7B"/>
    <w:rsid w:val="00751C54"/>
    <w:rsid w:val="00751F04"/>
    <w:rsid w:val="00752058"/>
    <w:rsid w:val="007521F3"/>
    <w:rsid w:val="00752270"/>
    <w:rsid w:val="007522F4"/>
    <w:rsid w:val="00752416"/>
    <w:rsid w:val="0075253B"/>
    <w:rsid w:val="0075256A"/>
    <w:rsid w:val="0075287F"/>
    <w:rsid w:val="007528BB"/>
    <w:rsid w:val="00752B1C"/>
    <w:rsid w:val="00752B21"/>
    <w:rsid w:val="00752DCC"/>
    <w:rsid w:val="00752FD1"/>
    <w:rsid w:val="00753237"/>
    <w:rsid w:val="00753460"/>
    <w:rsid w:val="00753564"/>
    <w:rsid w:val="007536E6"/>
    <w:rsid w:val="00753889"/>
    <w:rsid w:val="007539F8"/>
    <w:rsid w:val="00753F45"/>
    <w:rsid w:val="0075472D"/>
    <w:rsid w:val="0075493C"/>
    <w:rsid w:val="00754C07"/>
    <w:rsid w:val="00754CBD"/>
    <w:rsid w:val="00754E43"/>
    <w:rsid w:val="00754E78"/>
    <w:rsid w:val="007555AD"/>
    <w:rsid w:val="00755651"/>
    <w:rsid w:val="00755A0E"/>
    <w:rsid w:val="00755B8A"/>
    <w:rsid w:val="00755C95"/>
    <w:rsid w:val="00755CE0"/>
    <w:rsid w:val="00755CF3"/>
    <w:rsid w:val="00755D55"/>
    <w:rsid w:val="00755D92"/>
    <w:rsid w:val="00755DFB"/>
    <w:rsid w:val="00756006"/>
    <w:rsid w:val="007560E3"/>
    <w:rsid w:val="00756533"/>
    <w:rsid w:val="007565F5"/>
    <w:rsid w:val="007566FE"/>
    <w:rsid w:val="00756A74"/>
    <w:rsid w:val="00756AB2"/>
    <w:rsid w:val="00757017"/>
    <w:rsid w:val="007573E6"/>
    <w:rsid w:val="00757B01"/>
    <w:rsid w:val="00757B45"/>
    <w:rsid w:val="00757D68"/>
    <w:rsid w:val="00760032"/>
    <w:rsid w:val="00760117"/>
    <w:rsid w:val="007606A1"/>
    <w:rsid w:val="00760886"/>
    <w:rsid w:val="00760A6F"/>
    <w:rsid w:val="00761539"/>
    <w:rsid w:val="007626A9"/>
    <w:rsid w:val="0076273A"/>
    <w:rsid w:val="00762741"/>
    <w:rsid w:val="007627D9"/>
    <w:rsid w:val="0076290C"/>
    <w:rsid w:val="00763279"/>
    <w:rsid w:val="00763AF1"/>
    <w:rsid w:val="00763BCE"/>
    <w:rsid w:val="00763E38"/>
    <w:rsid w:val="007642F9"/>
    <w:rsid w:val="0076434A"/>
    <w:rsid w:val="0076460B"/>
    <w:rsid w:val="00764762"/>
    <w:rsid w:val="00764800"/>
    <w:rsid w:val="00764D34"/>
    <w:rsid w:val="00764E05"/>
    <w:rsid w:val="00764FBD"/>
    <w:rsid w:val="007652C1"/>
    <w:rsid w:val="007654F6"/>
    <w:rsid w:val="007656AE"/>
    <w:rsid w:val="007656D1"/>
    <w:rsid w:val="007657C3"/>
    <w:rsid w:val="00765F86"/>
    <w:rsid w:val="00765FE8"/>
    <w:rsid w:val="0076664F"/>
    <w:rsid w:val="0076778A"/>
    <w:rsid w:val="007679D4"/>
    <w:rsid w:val="00767A34"/>
    <w:rsid w:val="00767BCA"/>
    <w:rsid w:val="00767BE9"/>
    <w:rsid w:val="00767D7E"/>
    <w:rsid w:val="00767DD2"/>
    <w:rsid w:val="00770D2A"/>
    <w:rsid w:val="00771030"/>
    <w:rsid w:val="00771122"/>
    <w:rsid w:val="00771495"/>
    <w:rsid w:val="00771BB2"/>
    <w:rsid w:val="00771DEA"/>
    <w:rsid w:val="00772049"/>
    <w:rsid w:val="007720DA"/>
    <w:rsid w:val="00772C61"/>
    <w:rsid w:val="00772FF2"/>
    <w:rsid w:val="00773113"/>
    <w:rsid w:val="007735A9"/>
    <w:rsid w:val="0077389B"/>
    <w:rsid w:val="00773B71"/>
    <w:rsid w:val="00773C1D"/>
    <w:rsid w:val="00773C48"/>
    <w:rsid w:val="00774138"/>
    <w:rsid w:val="007744EE"/>
    <w:rsid w:val="0077467B"/>
    <w:rsid w:val="0077490D"/>
    <w:rsid w:val="00774976"/>
    <w:rsid w:val="00774E0C"/>
    <w:rsid w:val="00774F42"/>
    <w:rsid w:val="007753F8"/>
    <w:rsid w:val="0077572B"/>
    <w:rsid w:val="00775AA0"/>
    <w:rsid w:val="00775BD6"/>
    <w:rsid w:val="00776292"/>
    <w:rsid w:val="007768A4"/>
    <w:rsid w:val="00776B27"/>
    <w:rsid w:val="00776DDD"/>
    <w:rsid w:val="00776E8E"/>
    <w:rsid w:val="00776EF6"/>
    <w:rsid w:val="0077729B"/>
    <w:rsid w:val="00777470"/>
    <w:rsid w:val="00777A00"/>
    <w:rsid w:val="00777A08"/>
    <w:rsid w:val="00777B16"/>
    <w:rsid w:val="00777C60"/>
    <w:rsid w:val="0078035F"/>
    <w:rsid w:val="007803DE"/>
    <w:rsid w:val="00780663"/>
    <w:rsid w:val="007809D3"/>
    <w:rsid w:val="00780AAF"/>
    <w:rsid w:val="00780D08"/>
    <w:rsid w:val="007812F8"/>
    <w:rsid w:val="007816D6"/>
    <w:rsid w:val="00781B0D"/>
    <w:rsid w:val="00781CE4"/>
    <w:rsid w:val="00781D02"/>
    <w:rsid w:val="00781DCA"/>
    <w:rsid w:val="00782187"/>
    <w:rsid w:val="00782374"/>
    <w:rsid w:val="007823C0"/>
    <w:rsid w:val="007827A4"/>
    <w:rsid w:val="007827DA"/>
    <w:rsid w:val="0078282C"/>
    <w:rsid w:val="00782A4F"/>
    <w:rsid w:val="00782CD4"/>
    <w:rsid w:val="00782DC4"/>
    <w:rsid w:val="007834E1"/>
    <w:rsid w:val="0078352D"/>
    <w:rsid w:val="007840B3"/>
    <w:rsid w:val="00784133"/>
    <w:rsid w:val="00784199"/>
    <w:rsid w:val="007849A5"/>
    <w:rsid w:val="00784C80"/>
    <w:rsid w:val="00784F5F"/>
    <w:rsid w:val="007851A7"/>
    <w:rsid w:val="0078530A"/>
    <w:rsid w:val="007853FA"/>
    <w:rsid w:val="00785746"/>
    <w:rsid w:val="007859AC"/>
    <w:rsid w:val="00785D61"/>
    <w:rsid w:val="0078604A"/>
    <w:rsid w:val="007862FC"/>
    <w:rsid w:val="00786368"/>
    <w:rsid w:val="0078687E"/>
    <w:rsid w:val="00786A74"/>
    <w:rsid w:val="00786B8B"/>
    <w:rsid w:val="00786D1A"/>
    <w:rsid w:val="00787436"/>
    <w:rsid w:val="00787EA3"/>
    <w:rsid w:val="007904B4"/>
    <w:rsid w:val="007906FB"/>
    <w:rsid w:val="0079089A"/>
    <w:rsid w:val="00790F79"/>
    <w:rsid w:val="00791C0F"/>
    <w:rsid w:val="00791E98"/>
    <w:rsid w:val="00791EC7"/>
    <w:rsid w:val="00791EFB"/>
    <w:rsid w:val="0079209B"/>
    <w:rsid w:val="00792251"/>
    <w:rsid w:val="00792F85"/>
    <w:rsid w:val="007935A9"/>
    <w:rsid w:val="007935B8"/>
    <w:rsid w:val="00793C25"/>
    <w:rsid w:val="00794014"/>
    <w:rsid w:val="0079418A"/>
    <w:rsid w:val="0079445C"/>
    <w:rsid w:val="00794782"/>
    <w:rsid w:val="00794A53"/>
    <w:rsid w:val="00794BA9"/>
    <w:rsid w:val="00794CC9"/>
    <w:rsid w:val="00794F9E"/>
    <w:rsid w:val="0079547E"/>
    <w:rsid w:val="00795552"/>
    <w:rsid w:val="007956C3"/>
    <w:rsid w:val="00795920"/>
    <w:rsid w:val="007959A2"/>
    <w:rsid w:val="00795C8C"/>
    <w:rsid w:val="00795DBD"/>
    <w:rsid w:val="00795F14"/>
    <w:rsid w:val="00796636"/>
    <w:rsid w:val="007966D4"/>
    <w:rsid w:val="0079675E"/>
    <w:rsid w:val="00796ABE"/>
    <w:rsid w:val="00796B73"/>
    <w:rsid w:val="00796C5D"/>
    <w:rsid w:val="0079749E"/>
    <w:rsid w:val="00797F5A"/>
    <w:rsid w:val="00797F7E"/>
    <w:rsid w:val="007A02E1"/>
    <w:rsid w:val="007A03BD"/>
    <w:rsid w:val="007A040C"/>
    <w:rsid w:val="007A04DE"/>
    <w:rsid w:val="007A0A67"/>
    <w:rsid w:val="007A0B87"/>
    <w:rsid w:val="007A0FAE"/>
    <w:rsid w:val="007A16E1"/>
    <w:rsid w:val="007A1712"/>
    <w:rsid w:val="007A1E63"/>
    <w:rsid w:val="007A1EAC"/>
    <w:rsid w:val="007A25B8"/>
    <w:rsid w:val="007A2C77"/>
    <w:rsid w:val="007A2CFC"/>
    <w:rsid w:val="007A2F71"/>
    <w:rsid w:val="007A3178"/>
    <w:rsid w:val="007A339B"/>
    <w:rsid w:val="007A3AAE"/>
    <w:rsid w:val="007A4310"/>
    <w:rsid w:val="007A456F"/>
    <w:rsid w:val="007A45CD"/>
    <w:rsid w:val="007A4A3E"/>
    <w:rsid w:val="007A4D98"/>
    <w:rsid w:val="007A5053"/>
    <w:rsid w:val="007A53CA"/>
    <w:rsid w:val="007A58F5"/>
    <w:rsid w:val="007A59FF"/>
    <w:rsid w:val="007A61B8"/>
    <w:rsid w:val="007A622D"/>
    <w:rsid w:val="007A6294"/>
    <w:rsid w:val="007A62F4"/>
    <w:rsid w:val="007A63CD"/>
    <w:rsid w:val="007A660F"/>
    <w:rsid w:val="007A6BB8"/>
    <w:rsid w:val="007A6BF2"/>
    <w:rsid w:val="007A70C2"/>
    <w:rsid w:val="007A7ADA"/>
    <w:rsid w:val="007B00EB"/>
    <w:rsid w:val="007B0313"/>
    <w:rsid w:val="007B06E9"/>
    <w:rsid w:val="007B0852"/>
    <w:rsid w:val="007B09B6"/>
    <w:rsid w:val="007B0BE9"/>
    <w:rsid w:val="007B0C46"/>
    <w:rsid w:val="007B0D99"/>
    <w:rsid w:val="007B1C86"/>
    <w:rsid w:val="007B236D"/>
    <w:rsid w:val="007B2565"/>
    <w:rsid w:val="007B296D"/>
    <w:rsid w:val="007B29AB"/>
    <w:rsid w:val="007B2A86"/>
    <w:rsid w:val="007B2B23"/>
    <w:rsid w:val="007B2E9B"/>
    <w:rsid w:val="007B3D38"/>
    <w:rsid w:val="007B3DF2"/>
    <w:rsid w:val="007B3F48"/>
    <w:rsid w:val="007B405D"/>
    <w:rsid w:val="007B443E"/>
    <w:rsid w:val="007B445F"/>
    <w:rsid w:val="007B457C"/>
    <w:rsid w:val="007B4741"/>
    <w:rsid w:val="007B4846"/>
    <w:rsid w:val="007B4942"/>
    <w:rsid w:val="007B52E8"/>
    <w:rsid w:val="007B58D8"/>
    <w:rsid w:val="007B5952"/>
    <w:rsid w:val="007B5CE0"/>
    <w:rsid w:val="007B67F2"/>
    <w:rsid w:val="007B6C2D"/>
    <w:rsid w:val="007B6C6D"/>
    <w:rsid w:val="007B6D09"/>
    <w:rsid w:val="007B6DCF"/>
    <w:rsid w:val="007B6E72"/>
    <w:rsid w:val="007B78FC"/>
    <w:rsid w:val="007B7B7F"/>
    <w:rsid w:val="007B7BB7"/>
    <w:rsid w:val="007C0259"/>
    <w:rsid w:val="007C0371"/>
    <w:rsid w:val="007C04F3"/>
    <w:rsid w:val="007C08C9"/>
    <w:rsid w:val="007C0C87"/>
    <w:rsid w:val="007C0DFA"/>
    <w:rsid w:val="007C0E15"/>
    <w:rsid w:val="007C0FF0"/>
    <w:rsid w:val="007C1303"/>
    <w:rsid w:val="007C14B2"/>
    <w:rsid w:val="007C1943"/>
    <w:rsid w:val="007C1F42"/>
    <w:rsid w:val="007C20A1"/>
    <w:rsid w:val="007C263E"/>
    <w:rsid w:val="007C2869"/>
    <w:rsid w:val="007C2A82"/>
    <w:rsid w:val="007C2CCA"/>
    <w:rsid w:val="007C3CAE"/>
    <w:rsid w:val="007C3D02"/>
    <w:rsid w:val="007C3F1B"/>
    <w:rsid w:val="007C444A"/>
    <w:rsid w:val="007C49C5"/>
    <w:rsid w:val="007C4F38"/>
    <w:rsid w:val="007C4FE2"/>
    <w:rsid w:val="007C526A"/>
    <w:rsid w:val="007C53D3"/>
    <w:rsid w:val="007C5A13"/>
    <w:rsid w:val="007C5BC8"/>
    <w:rsid w:val="007C6273"/>
    <w:rsid w:val="007C6565"/>
    <w:rsid w:val="007C66CC"/>
    <w:rsid w:val="007C69E4"/>
    <w:rsid w:val="007C6D17"/>
    <w:rsid w:val="007C6E0A"/>
    <w:rsid w:val="007C7177"/>
    <w:rsid w:val="007C71DA"/>
    <w:rsid w:val="007C727E"/>
    <w:rsid w:val="007C789F"/>
    <w:rsid w:val="007C7C64"/>
    <w:rsid w:val="007C7FCF"/>
    <w:rsid w:val="007D03E2"/>
    <w:rsid w:val="007D040B"/>
    <w:rsid w:val="007D0794"/>
    <w:rsid w:val="007D08F2"/>
    <w:rsid w:val="007D0DEA"/>
    <w:rsid w:val="007D1046"/>
    <w:rsid w:val="007D10F1"/>
    <w:rsid w:val="007D1101"/>
    <w:rsid w:val="007D1556"/>
    <w:rsid w:val="007D1B07"/>
    <w:rsid w:val="007D21C1"/>
    <w:rsid w:val="007D2241"/>
    <w:rsid w:val="007D28C8"/>
    <w:rsid w:val="007D2F71"/>
    <w:rsid w:val="007D339C"/>
    <w:rsid w:val="007D37D6"/>
    <w:rsid w:val="007D37FA"/>
    <w:rsid w:val="007D41D7"/>
    <w:rsid w:val="007D48BE"/>
    <w:rsid w:val="007D4E6C"/>
    <w:rsid w:val="007D5280"/>
    <w:rsid w:val="007D54ED"/>
    <w:rsid w:val="007D570D"/>
    <w:rsid w:val="007D58D5"/>
    <w:rsid w:val="007D5A06"/>
    <w:rsid w:val="007D5E58"/>
    <w:rsid w:val="007D6011"/>
    <w:rsid w:val="007D6518"/>
    <w:rsid w:val="007D6646"/>
    <w:rsid w:val="007D6663"/>
    <w:rsid w:val="007D677C"/>
    <w:rsid w:val="007D679E"/>
    <w:rsid w:val="007D6A8D"/>
    <w:rsid w:val="007D6ACC"/>
    <w:rsid w:val="007D6AFE"/>
    <w:rsid w:val="007D6C73"/>
    <w:rsid w:val="007D6E0F"/>
    <w:rsid w:val="007D6F02"/>
    <w:rsid w:val="007D6F22"/>
    <w:rsid w:val="007D72BE"/>
    <w:rsid w:val="007D7378"/>
    <w:rsid w:val="007D7412"/>
    <w:rsid w:val="007D7415"/>
    <w:rsid w:val="007D7640"/>
    <w:rsid w:val="007D76BA"/>
    <w:rsid w:val="007D76C1"/>
    <w:rsid w:val="007D77B0"/>
    <w:rsid w:val="007D7929"/>
    <w:rsid w:val="007D7A5F"/>
    <w:rsid w:val="007D7B75"/>
    <w:rsid w:val="007E02B1"/>
    <w:rsid w:val="007E06A7"/>
    <w:rsid w:val="007E085E"/>
    <w:rsid w:val="007E0A78"/>
    <w:rsid w:val="007E0F8F"/>
    <w:rsid w:val="007E127C"/>
    <w:rsid w:val="007E1374"/>
    <w:rsid w:val="007E15D9"/>
    <w:rsid w:val="007E1622"/>
    <w:rsid w:val="007E175F"/>
    <w:rsid w:val="007E17E1"/>
    <w:rsid w:val="007E185A"/>
    <w:rsid w:val="007E1A80"/>
    <w:rsid w:val="007E1C38"/>
    <w:rsid w:val="007E1C4C"/>
    <w:rsid w:val="007E2095"/>
    <w:rsid w:val="007E3507"/>
    <w:rsid w:val="007E3A14"/>
    <w:rsid w:val="007E3AD1"/>
    <w:rsid w:val="007E451B"/>
    <w:rsid w:val="007E4E0E"/>
    <w:rsid w:val="007E4E9E"/>
    <w:rsid w:val="007E50E8"/>
    <w:rsid w:val="007E524C"/>
    <w:rsid w:val="007E59BA"/>
    <w:rsid w:val="007E5C90"/>
    <w:rsid w:val="007E5DE4"/>
    <w:rsid w:val="007E63EB"/>
    <w:rsid w:val="007E688C"/>
    <w:rsid w:val="007E6AB3"/>
    <w:rsid w:val="007E7624"/>
    <w:rsid w:val="007E763B"/>
    <w:rsid w:val="007E769F"/>
    <w:rsid w:val="007E774F"/>
    <w:rsid w:val="007E7BB4"/>
    <w:rsid w:val="007E7F07"/>
    <w:rsid w:val="007F005E"/>
    <w:rsid w:val="007F0A6C"/>
    <w:rsid w:val="007F0A91"/>
    <w:rsid w:val="007F0F40"/>
    <w:rsid w:val="007F16AE"/>
    <w:rsid w:val="007F16F5"/>
    <w:rsid w:val="007F2075"/>
    <w:rsid w:val="007F2334"/>
    <w:rsid w:val="007F263B"/>
    <w:rsid w:val="007F2662"/>
    <w:rsid w:val="007F2777"/>
    <w:rsid w:val="007F29DA"/>
    <w:rsid w:val="007F2A2F"/>
    <w:rsid w:val="007F2D07"/>
    <w:rsid w:val="007F3108"/>
    <w:rsid w:val="007F3211"/>
    <w:rsid w:val="007F32B6"/>
    <w:rsid w:val="007F36B0"/>
    <w:rsid w:val="007F380C"/>
    <w:rsid w:val="007F3E3F"/>
    <w:rsid w:val="007F45A7"/>
    <w:rsid w:val="007F45FD"/>
    <w:rsid w:val="007F4A3A"/>
    <w:rsid w:val="007F4B3F"/>
    <w:rsid w:val="007F4B9E"/>
    <w:rsid w:val="007F4E49"/>
    <w:rsid w:val="007F4F9C"/>
    <w:rsid w:val="007F510B"/>
    <w:rsid w:val="007F5512"/>
    <w:rsid w:val="007F5A93"/>
    <w:rsid w:val="007F6737"/>
    <w:rsid w:val="007F6795"/>
    <w:rsid w:val="007F6971"/>
    <w:rsid w:val="007F6D45"/>
    <w:rsid w:val="007F782C"/>
    <w:rsid w:val="007F7FE3"/>
    <w:rsid w:val="008000B3"/>
    <w:rsid w:val="00800161"/>
    <w:rsid w:val="00800306"/>
    <w:rsid w:val="00800557"/>
    <w:rsid w:val="00800E83"/>
    <w:rsid w:val="00800EA8"/>
    <w:rsid w:val="0080133B"/>
    <w:rsid w:val="008013F1"/>
    <w:rsid w:val="0080183D"/>
    <w:rsid w:val="0080192B"/>
    <w:rsid w:val="0080230B"/>
    <w:rsid w:val="008023EE"/>
    <w:rsid w:val="00802BE1"/>
    <w:rsid w:val="008033FD"/>
    <w:rsid w:val="008036C6"/>
    <w:rsid w:val="0080375C"/>
    <w:rsid w:val="008037CF"/>
    <w:rsid w:val="00803BA3"/>
    <w:rsid w:val="00803EBC"/>
    <w:rsid w:val="00803FA4"/>
    <w:rsid w:val="008043A4"/>
    <w:rsid w:val="00804973"/>
    <w:rsid w:val="00804D4F"/>
    <w:rsid w:val="00804F55"/>
    <w:rsid w:val="008050A7"/>
    <w:rsid w:val="00805152"/>
    <w:rsid w:val="008056B2"/>
    <w:rsid w:val="00805820"/>
    <w:rsid w:val="008059E8"/>
    <w:rsid w:val="00805AD8"/>
    <w:rsid w:val="00805AE5"/>
    <w:rsid w:val="00805E4D"/>
    <w:rsid w:val="00806493"/>
    <w:rsid w:val="00806CBD"/>
    <w:rsid w:val="00806CF7"/>
    <w:rsid w:val="00806F7A"/>
    <w:rsid w:val="0080772C"/>
    <w:rsid w:val="00807B74"/>
    <w:rsid w:val="00807FB9"/>
    <w:rsid w:val="0081010C"/>
    <w:rsid w:val="0081022A"/>
    <w:rsid w:val="0081050D"/>
    <w:rsid w:val="00810DC2"/>
    <w:rsid w:val="008111FE"/>
    <w:rsid w:val="008112D5"/>
    <w:rsid w:val="008114AA"/>
    <w:rsid w:val="0081175E"/>
    <w:rsid w:val="00811E83"/>
    <w:rsid w:val="008123DC"/>
    <w:rsid w:val="0081247F"/>
    <w:rsid w:val="0081252B"/>
    <w:rsid w:val="00812686"/>
    <w:rsid w:val="00812C6D"/>
    <w:rsid w:val="00812CCE"/>
    <w:rsid w:val="008136B2"/>
    <w:rsid w:val="0081370E"/>
    <w:rsid w:val="00813A9B"/>
    <w:rsid w:val="00813BD0"/>
    <w:rsid w:val="0081419C"/>
    <w:rsid w:val="00814217"/>
    <w:rsid w:val="00814568"/>
    <w:rsid w:val="00814BDA"/>
    <w:rsid w:val="00814D71"/>
    <w:rsid w:val="0081515C"/>
    <w:rsid w:val="00815490"/>
    <w:rsid w:val="00815497"/>
    <w:rsid w:val="008154EB"/>
    <w:rsid w:val="008156EB"/>
    <w:rsid w:val="00815761"/>
    <w:rsid w:val="00815882"/>
    <w:rsid w:val="008161D8"/>
    <w:rsid w:val="008163E2"/>
    <w:rsid w:val="008164BC"/>
    <w:rsid w:val="008168DE"/>
    <w:rsid w:val="00816FDE"/>
    <w:rsid w:val="00817032"/>
    <w:rsid w:val="00817229"/>
    <w:rsid w:val="008172AC"/>
    <w:rsid w:val="00817FAF"/>
    <w:rsid w:val="008200EA"/>
    <w:rsid w:val="00820447"/>
    <w:rsid w:val="008206C4"/>
    <w:rsid w:val="00820903"/>
    <w:rsid w:val="00820D83"/>
    <w:rsid w:val="008210B8"/>
    <w:rsid w:val="00821102"/>
    <w:rsid w:val="0082131F"/>
    <w:rsid w:val="00821384"/>
    <w:rsid w:val="00821DFB"/>
    <w:rsid w:val="0082228E"/>
    <w:rsid w:val="008226E6"/>
    <w:rsid w:val="0082272B"/>
    <w:rsid w:val="0082280E"/>
    <w:rsid w:val="008229CF"/>
    <w:rsid w:val="00822BC0"/>
    <w:rsid w:val="00822D7B"/>
    <w:rsid w:val="00822E26"/>
    <w:rsid w:val="00823009"/>
    <w:rsid w:val="00823433"/>
    <w:rsid w:val="008236DD"/>
    <w:rsid w:val="00823773"/>
    <w:rsid w:val="0082391D"/>
    <w:rsid w:val="00823E82"/>
    <w:rsid w:val="00824197"/>
    <w:rsid w:val="0082469F"/>
    <w:rsid w:val="008246F4"/>
    <w:rsid w:val="00824716"/>
    <w:rsid w:val="00824E6A"/>
    <w:rsid w:val="00825758"/>
    <w:rsid w:val="008259CC"/>
    <w:rsid w:val="00825CF2"/>
    <w:rsid w:val="00825E8F"/>
    <w:rsid w:val="00826130"/>
    <w:rsid w:val="0082620B"/>
    <w:rsid w:val="00826862"/>
    <w:rsid w:val="008270A2"/>
    <w:rsid w:val="00827164"/>
    <w:rsid w:val="008273D6"/>
    <w:rsid w:val="0082789D"/>
    <w:rsid w:val="00827AA2"/>
    <w:rsid w:val="00827B15"/>
    <w:rsid w:val="00827B46"/>
    <w:rsid w:val="00827CCA"/>
    <w:rsid w:val="00827EA2"/>
    <w:rsid w:val="008302CE"/>
    <w:rsid w:val="00830339"/>
    <w:rsid w:val="008303D2"/>
    <w:rsid w:val="00830640"/>
    <w:rsid w:val="0083077F"/>
    <w:rsid w:val="00830AD0"/>
    <w:rsid w:val="00830C22"/>
    <w:rsid w:val="00830E5A"/>
    <w:rsid w:val="00830EF1"/>
    <w:rsid w:val="00830EF8"/>
    <w:rsid w:val="008313C3"/>
    <w:rsid w:val="0083173B"/>
    <w:rsid w:val="008317EE"/>
    <w:rsid w:val="0083193C"/>
    <w:rsid w:val="00831D1C"/>
    <w:rsid w:val="008323F3"/>
    <w:rsid w:val="008327F8"/>
    <w:rsid w:val="00832D6D"/>
    <w:rsid w:val="00833246"/>
    <w:rsid w:val="008333F5"/>
    <w:rsid w:val="008337B0"/>
    <w:rsid w:val="00833AE2"/>
    <w:rsid w:val="00833D32"/>
    <w:rsid w:val="00834515"/>
    <w:rsid w:val="00834694"/>
    <w:rsid w:val="00834800"/>
    <w:rsid w:val="00834945"/>
    <w:rsid w:val="008349C8"/>
    <w:rsid w:val="00834E59"/>
    <w:rsid w:val="008353DC"/>
    <w:rsid w:val="00835596"/>
    <w:rsid w:val="00835847"/>
    <w:rsid w:val="00835951"/>
    <w:rsid w:val="00835A1A"/>
    <w:rsid w:val="00835B11"/>
    <w:rsid w:val="00835C08"/>
    <w:rsid w:val="00835F9D"/>
    <w:rsid w:val="00836126"/>
    <w:rsid w:val="008361F8"/>
    <w:rsid w:val="00836201"/>
    <w:rsid w:val="00836457"/>
    <w:rsid w:val="0083650B"/>
    <w:rsid w:val="00836D93"/>
    <w:rsid w:val="00836F35"/>
    <w:rsid w:val="00836FC1"/>
    <w:rsid w:val="008371C2"/>
    <w:rsid w:val="00837475"/>
    <w:rsid w:val="008376B3"/>
    <w:rsid w:val="00837806"/>
    <w:rsid w:val="00837EB0"/>
    <w:rsid w:val="0084017B"/>
    <w:rsid w:val="00840381"/>
    <w:rsid w:val="008407CA"/>
    <w:rsid w:val="00840DF4"/>
    <w:rsid w:val="00840EE3"/>
    <w:rsid w:val="00841010"/>
    <w:rsid w:val="00841358"/>
    <w:rsid w:val="008413D2"/>
    <w:rsid w:val="00841CCB"/>
    <w:rsid w:val="008422CA"/>
    <w:rsid w:val="008425FF"/>
    <w:rsid w:val="00842CFA"/>
    <w:rsid w:val="00842D7C"/>
    <w:rsid w:val="00842E59"/>
    <w:rsid w:val="00842F6E"/>
    <w:rsid w:val="008430E2"/>
    <w:rsid w:val="008433D9"/>
    <w:rsid w:val="008434B2"/>
    <w:rsid w:val="008436B9"/>
    <w:rsid w:val="00843973"/>
    <w:rsid w:val="00843ACB"/>
    <w:rsid w:val="00843B4F"/>
    <w:rsid w:val="00843D7F"/>
    <w:rsid w:val="00844964"/>
    <w:rsid w:val="00844C33"/>
    <w:rsid w:val="00844CDB"/>
    <w:rsid w:val="00844E06"/>
    <w:rsid w:val="00845155"/>
    <w:rsid w:val="00845208"/>
    <w:rsid w:val="008453FE"/>
    <w:rsid w:val="008457E0"/>
    <w:rsid w:val="00845A59"/>
    <w:rsid w:val="00845BC8"/>
    <w:rsid w:val="00845BDC"/>
    <w:rsid w:val="00845DE8"/>
    <w:rsid w:val="008460AE"/>
    <w:rsid w:val="008463FB"/>
    <w:rsid w:val="00846806"/>
    <w:rsid w:val="00846B50"/>
    <w:rsid w:val="00847377"/>
    <w:rsid w:val="00847435"/>
    <w:rsid w:val="0084744C"/>
    <w:rsid w:val="00847466"/>
    <w:rsid w:val="0084776F"/>
    <w:rsid w:val="00847954"/>
    <w:rsid w:val="00847B32"/>
    <w:rsid w:val="00847C5B"/>
    <w:rsid w:val="00847F7A"/>
    <w:rsid w:val="00850064"/>
    <w:rsid w:val="0085057A"/>
    <w:rsid w:val="008506AA"/>
    <w:rsid w:val="008507D4"/>
    <w:rsid w:val="00850D00"/>
    <w:rsid w:val="00850D61"/>
    <w:rsid w:val="00850F0C"/>
    <w:rsid w:val="00850F66"/>
    <w:rsid w:val="00851040"/>
    <w:rsid w:val="00851057"/>
    <w:rsid w:val="008511FC"/>
    <w:rsid w:val="008512AD"/>
    <w:rsid w:val="008512E6"/>
    <w:rsid w:val="00851619"/>
    <w:rsid w:val="00851A85"/>
    <w:rsid w:val="00851B86"/>
    <w:rsid w:val="008521ED"/>
    <w:rsid w:val="00852493"/>
    <w:rsid w:val="00852666"/>
    <w:rsid w:val="00852835"/>
    <w:rsid w:val="00852A73"/>
    <w:rsid w:val="00852DA1"/>
    <w:rsid w:val="00852ECC"/>
    <w:rsid w:val="008533AE"/>
    <w:rsid w:val="00853876"/>
    <w:rsid w:val="00853CF3"/>
    <w:rsid w:val="008545B9"/>
    <w:rsid w:val="00854704"/>
    <w:rsid w:val="0085480F"/>
    <w:rsid w:val="0085494F"/>
    <w:rsid w:val="00854BB5"/>
    <w:rsid w:val="00855086"/>
    <w:rsid w:val="0085542C"/>
    <w:rsid w:val="00855537"/>
    <w:rsid w:val="008556E2"/>
    <w:rsid w:val="00855F0B"/>
    <w:rsid w:val="0085615F"/>
    <w:rsid w:val="0085626E"/>
    <w:rsid w:val="00856510"/>
    <w:rsid w:val="00856848"/>
    <w:rsid w:val="00856937"/>
    <w:rsid w:val="00856941"/>
    <w:rsid w:val="008569CA"/>
    <w:rsid w:val="008569DC"/>
    <w:rsid w:val="008569E2"/>
    <w:rsid w:val="00856CB5"/>
    <w:rsid w:val="00856CE0"/>
    <w:rsid w:val="00856DC2"/>
    <w:rsid w:val="0085718B"/>
    <w:rsid w:val="008575EA"/>
    <w:rsid w:val="008578CB"/>
    <w:rsid w:val="00857AE5"/>
    <w:rsid w:val="00857B50"/>
    <w:rsid w:val="00857B89"/>
    <w:rsid w:val="00857CA1"/>
    <w:rsid w:val="00857CE8"/>
    <w:rsid w:val="00860014"/>
    <w:rsid w:val="008600AD"/>
    <w:rsid w:val="008600B8"/>
    <w:rsid w:val="00860172"/>
    <w:rsid w:val="00860665"/>
    <w:rsid w:val="008613E1"/>
    <w:rsid w:val="008614EA"/>
    <w:rsid w:val="00861E81"/>
    <w:rsid w:val="00862327"/>
    <w:rsid w:val="00862581"/>
    <w:rsid w:val="00862837"/>
    <w:rsid w:val="008628E8"/>
    <w:rsid w:val="0086299C"/>
    <w:rsid w:val="00862AE8"/>
    <w:rsid w:val="00862E2A"/>
    <w:rsid w:val="00862EE4"/>
    <w:rsid w:val="00862F38"/>
    <w:rsid w:val="00863663"/>
    <w:rsid w:val="00863A83"/>
    <w:rsid w:val="00863AD8"/>
    <w:rsid w:val="008648F1"/>
    <w:rsid w:val="00864912"/>
    <w:rsid w:val="008652A2"/>
    <w:rsid w:val="00865380"/>
    <w:rsid w:val="0086550D"/>
    <w:rsid w:val="008655F5"/>
    <w:rsid w:val="00865969"/>
    <w:rsid w:val="00865C7E"/>
    <w:rsid w:val="0086676D"/>
    <w:rsid w:val="00866859"/>
    <w:rsid w:val="00866A6E"/>
    <w:rsid w:val="00866F10"/>
    <w:rsid w:val="00867225"/>
    <w:rsid w:val="008676AE"/>
    <w:rsid w:val="00867841"/>
    <w:rsid w:val="0086791E"/>
    <w:rsid w:val="00867ACA"/>
    <w:rsid w:val="00867C6F"/>
    <w:rsid w:val="0087049D"/>
    <w:rsid w:val="0087058D"/>
    <w:rsid w:val="008709B3"/>
    <w:rsid w:val="00870A5B"/>
    <w:rsid w:val="008710C3"/>
    <w:rsid w:val="00871104"/>
    <w:rsid w:val="008713A5"/>
    <w:rsid w:val="0087146E"/>
    <w:rsid w:val="0087153C"/>
    <w:rsid w:val="00871731"/>
    <w:rsid w:val="008719DF"/>
    <w:rsid w:val="00871BF1"/>
    <w:rsid w:val="00871E00"/>
    <w:rsid w:val="00871E40"/>
    <w:rsid w:val="00871EE8"/>
    <w:rsid w:val="008720CC"/>
    <w:rsid w:val="008721FE"/>
    <w:rsid w:val="00872B8C"/>
    <w:rsid w:val="00872E76"/>
    <w:rsid w:val="00872F1B"/>
    <w:rsid w:val="00872F2D"/>
    <w:rsid w:val="00872F2E"/>
    <w:rsid w:val="008734AA"/>
    <w:rsid w:val="008737BA"/>
    <w:rsid w:val="008737E2"/>
    <w:rsid w:val="00873927"/>
    <w:rsid w:val="00873A27"/>
    <w:rsid w:val="00873B9B"/>
    <w:rsid w:val="00873FDB"/>
    <w:rsid w:val="00874156"/>
    <w:rsid w:val="008742D7"/>
    <w:rsid w:val="008744B2"/>
    <w:rsid w:val="00875019"/>
    <w:rsid w:val="00875437"/>
    <w:rsid w:val="008756FE"/>
    <w:rsid w:val="00875735"/>
    <w:rsid w:val="00875B18"/>
    <w:rsid w:val="008760E6"/>
    <w:rsid w:val="0087640C"/>
    <w:rsid w:val="008767A7"/>
    <w:rsid w:val="00876936"/>
    <w:rsid w:val="0087721F"/>
    <w:rsid w:val="008807B2"/>
    <w:rsid w:val="00880896"/>
    <w:rsid w:val="008808FB"/>
    <w:rsid w:val="00880C65"/>
    <w:rsid w:val="00880E1C"/>
    <w:rsid w:val="0088134F"/>
    <w:rsid w:val="00881476"/>
    <w:rsid w:val="0088179C"/>
    <w:rsid w:val="00881961"/>
    <w:rsid w:val="00881B72"/>
    <w:rsid w:val="00881ECD"/>
    <w:rsid w:val="00882199"/>
    <w:rsid w:val="008823DA"/>
    <w:rsid w:val="008827FB"/>
    <w:rsid w:val="0088280C"/>
    <w:rsid w:val="00882C65"/>
    <w:rsid w:val="00882C86"/>
    <w:rsid w:val="00883957"/>
    <w:rsid w:val="00883CDC"/>
    <w:rsid w:val="00884992"/>
    <w:rsid w:val="00884B3A"/>
    <w:rsid w:val="00884D2F"/>
    <w:rsid w:val="00884E9C"/>
    <w:rsid w:val="00884F5B"/>
    <w:rsid w:val="008852AE"/>
    <w:rsid w:val="0088531D"/>
    <w:rsid w:val="008854B0"/>
    <w:rsid w:val="00885722"/>
    <w:rsid w:val="008860BF"/>
    <w:rsid w:val="00886150"/>
    <w:rsid w:val="008863D6"/>
    <w:rsid w:val="008863E4"/>
    <w:rsid w:val="00886539"/>
    <w:rsid w:val="00887156"/>
    <w:rsid w:val="0088775A"/>
    <w:rsid w:val="00887A69"/>
    <w:rsid w:val="00887DA8"/>
    <w:rsid w:val="00890092"/>
    <w:rsid w:val="00890120"/>
    <w:rsid w:val="00890680"/>
    <w:rsid w:val="008908F7"/>
    <w:rsid w:val="00890C9F"/>
    <w:rsid w:val="0089165A"/>
    <w:rsid w:val="00891F6F"/>
    <w:rsid w:val="008921DA"/>
    <w:rsid w:val="00892B04"/>
    <w:rsid w:val="00892B9F"/>
    <w:rsid w:val="008931B4"/>
    <w:rsid w:val="008931D5"/>
    <w:rsid w:val="0089381A"/>
    <w:rsid w:val="00893E38"/>
    <w:rsid w:val="00894059"/>
    <w:rsid w:val="008941A9"/>
    <w:rsid w:val="008942E0"/>
    <w:rsid w:val="008946FC"/>
    <w:rsid w:val="00894F8C"/>
    <w:rsid w:val="00895131"/>
    <w:rsid w:val="0089532C"/>
    <w:rsid w:val="0089576E"/>
    <w:rsid w:val="00895BE0"/>
    <w:rsid w:val="00895EFA"/>
    <w:rsid w:val="00896197"/>
    <w:rsid w:val="00896273"/>
    <w:rsid w:val="008962AE"/>
    <w:rsid w:val="008965B7"/>
    <w:rsid w:val="0089677C"/>
    <w:rsid w:val="0089683E"/>
    <w:rsid w:val="00896B08"/>
    <w:rsid w:val="00896D93"/>
    <w:rsid w:val="00896E63"/>
    <w:rsid w:val="00896EA6"/>
    <w:rsid w:val="008970C6"/>
    <w:rsid w:val="00897994"/>
    <w:rsid w:val="00897A04"/>
    <w:rsid w:val="00897A83"/>
    <w:rsid w:val="008A06B1"/>
    <w:rsid w:val="008A06BA"/>
    <w:rsid w:val="008A08CC"/>
    <w:rsid w:val="008A0CAE"/>
    <w:rsid w:val="008A127D"/>
    <w:rsid w:val="008A133E"/>
    <w:rsid w:val="008A1435"/>
    <w:rsid w:val="008A143D"/>
    <w:rsid w:val="008A1889"/>
    <w:rsid w:val="008A1996"/>
    <w:rsid w:val="008A1AC2"/>
    <w:rsid w:val="008A1D84"/>
    <w:rsid w:val="008A1FC1"/>
    <w:rsid w:val="008A20BF"/>
    <w:rsid w:val="008A214A"/>
    <w:rsid w:val="008A227F"/>
    <w:rsid w:val="008A2661"/>
    <w:rsid w:val="008A2786"/>
    <w:rsid w:val="008A2949"/>
    <w:rsid w:val="008A2E70"/>
    <w:rsid w:val="008A3075"/>
    <w:rsid w:val="008A30FE"/>
    <w:rsid w:val="008A327B"/>
    <w:rsid w:val="008A329D"/>
    <w:rsid w:val="008A34EC"/>
    <w:rsid w:val="008A359C"/>
    <w:rsid w:val="008A3692"/>
    <w:rsid w:val="008A3879"/>
    <w:rsid w:val="008A3F87"/>
    <w:rsid w:val="008A44A0"/>
    <w:rsid w:val="008A4500"/>
    <w:rsid w:val="008A463F"/>
    <w:rsid w:val="008A4A39"/>
    <w:rsid w:val="008A545D"/>
    <w:rsid w:val="008A5878"/>
    <w:rsid w:val="008A5AFE"/>
    <w:rsid w:val="008A5B26"/>
    <w:rsid w:val="008A61F6"/>
    <w:rsid w:val="008A680B"/>
    <w:rsid w:val="008A70C9"/>
    <w:rsid w:val="008A75A0"/>
    <w:rsid w:val="008A7B1B"/>
    <w:rsid w:val="008A7C2C"/>
    <w:rsid w:val="008A7CE3"/>
    <w:rsid w:val="008A7E60"/>
    <w:rsid w:val="008B015E"/>
    <w:rsid w:val="008B03B5"/>
    <w:rsid w:val="008B16B5"/>
    <w:rsid w:val="008B18B4"/>
    <w:rsid w:val="008B193B"/>
    <w:rsid w:val="008B1AEA"/>
    <w:rsid w:val="008B1B3D"/>
    <w:rsid w:val="008B20AC"/>
    <w:rsid w:val="008B249E"/>
    <w:rsid w:val="008B251E"/>
    <w:rsid w:val="008B2F6B"/>
    <w:rsid w:val="008B3017"/>
    <w:rsid w:val="008B3121"/>
    <w:rsid w:val="008B3170"/>
    <w:rsid w:val="008B31A2"/>
    <w:rsid w:val="008B3588"/>
    <w:rsid w:val="008B3772"/>
    <w:rsid w:val="008B3962"/>
    <w:rsid w:val="008B3A75"/>
    <w:rsid w:val="008B3DEB"/>
    <w:rsid w:val="008B433F"/>
    <w:rsid w:val="008B45FE"/>
    <w:rsid w:val="008B5059"/>
    <w:rsid w:val="008B50CF"/>
    <w:rsid w:val="008B5122"/>
    <w:rsid w:val="008B5C08"/>
    <w:rsid w:val="008B5D15"/>
    <w:rsid w:val="008B5EB2"/>
    <w:rsid w:val="008B5EE1"/>
    <w:rsid w:val="008B6068"/>
    <w:rsid w:val="008B61A2"/>
    <w:rsid w:val="008B61D8"/>
    <w:rsid w:val="008B64BA"/>
    <w:rsid w:val="008B6C7A"/>
    <w:rsid w:val="008B70BE"/>
    <w:rsid w:val="008B764D"/>
    <w:rsid w:val="008B7895"/>
    <w:rsid w:val="008B799E"/>
    <w:rsid w:val="008B7CEC"/>
    <w:rsid w:val="008B7E99"/>
    <w:rsid w:val="008C0170"/>
    <w:rsid w:val="008C12C0"/>
    <w:rsid w:val="008C14F1"/>
    <w:rsid w:val="008C1A2F"/>
    <w:rsid w:val="008C1B7B"/>
    <w:rsid w:val="008C1B99"/>
    <w:rsid w:val="008C1C99"/>
    <w:rsid w:val="008C1D82"/>
    <w:rsid w:val="008C2353"/>
    <w:rsid w:val="008C255F"/>
    <w:rsid w:val="008C2A69"/>
    <w:rsid w:val="008C2B2A"/>
    <w:rsid w:val="008C2D97"/>
    <w:rsid w:val="008C2DCD"/>
    <w:rsid w:val="008C2E5B"/>
    <w:rsid w:val="008C2F21"/>
    <w:rsid w:val="008C2FB3"/>
    <w:rsid w:val="008C329C"/>
    <w:rsid w:val="008C3FD3"/>
    <w:rsid w:val="008C4272"/>
    <w:rsid w:val="008C45B2"/>
    <w:rsid w:val="008C464F"/>
    <w:rsid w:val="008C4790"/>
    <w:rsid w:val="008C4845"/>
    <w:rsid w:val="008C498B"/>
    <w:rsid w:val="008C4ABD"/>
    <w:rsid w:val="008C4B97"/>
    <w:rsid w:val="008C4D8A"/>
    <w:rsid w:val="008C560A"/>
    <w:rsid w:val="008C57AE"/>
    <w:rsid w:val="008C57C2"/>
    <w:rsid w:val="008C594B"/>
    <w:rsid w:val="008C5CD7"/>
    <w:rsid w:val="008C5DC1"/>
    <w:rsid w:val="008C5F3E"/>
    <w:rsid w:val="008C632D"/>
    <w:rsid w:val="008C64D2"/>
    <w:rsid w:val="008C6607"/>
    <w:rsid w:val="008C666A"/>
    <w:rsid w:val="008C6AAD"/>
    <w:rsid w:val="008C7038"/>
    <w:rsid w:val="008C7316"/>
    <w:rsid w:val="008C79B6"/>
    <w:rsid w:val="008D02D3"/>
    <w:rsid w:val="008D0916"/>
    <w:rsid w:val="008D0963"/>
    <w:rsid w:val="008D0AA7"/>
    <w:rsid w:val="008D0B3A"/>
    <w:rsid w:val="008D0F5B"/>
    <w:rsid w:val="008D13E6"/>
    <w:rsid w:val="008D18BA"/>
    <w:rsid w:val="008D2238"/>
    <w:rsid w:val="008D2649"/>
    <w:rsid w:val="008D28FD"/>
    <w:rsid w:val="008D2C1E"/>
    <w:rsid w:val="008D35EE"/>
    <w:rsid w:val="008D376B"/>
    <w:rsid w:val="008D37B2"/>
    <w:rsid w:val="008D37D0"/>
    <w:rsid w:val="008D3D76"/>
    <w:rsid w:val="008D3E7E"/>
    <w:rsid w:val="008D3F3F"/>
    <w:rsid w:val="008D41A2"/>
    <w:rsid w:val="008D41ED"/>
    <w:rsid w:val="008D4270"/>
    <w:rsid w:val="008D45DC"/>
    <w:rsid w:val="008D480C"/>
    <w:rsid w:val="008D50CB"/>
    <w:rsid w:val="008D525B"/>
    <w:rsid w:val="008D54CB"/>
    <w:rsid w:val="008D56AE"/>
    <w:rsid w:val="008D5796"/>
    <w:rsid w:val="008D5D9E"/>
    <w:rsid w:val="008D5FD9"/>
    <w:rsid w:val="008D6793"/>
    <w:rsid w:val="008D6AC2"/>
    <w:rsid w:val="008D75E5"/>
    <w:rsid w:val="008D7726"/>
    <w:rsid w:val="008D772B"/>
    <w:rsid w:val="008D77D6"/>
    <w:rsid w:val="008D79C8"/>
    <w:rsid w:val="008D7C5B"/>
    <w:rsid w:val="008E0440"/>
    <w:rsid w:val="008E1575"/>
    <w:rsid w:val="008E1647"/>
    <w:rsid w:val="008E1661"/>
    <w:rsid w:val="008E1750"/>
    <w:rsid w:val="008E1DED"/>
    <w:rsid w:val="008E1E7F"/>
    <w:rsid w:val="008E1F43"/>
    <w:rsid w:val="008E23C4"/>
    <w:rsid w:val="008E23FF"/>
    <w:rsid w:val="008E2583"/>
    <w:rsid w:val="008E28A2"/>
    <w:rsid w:val="008E28F7"/>
    <w:rsid w:val="008E2937"/>
    <w:rsid w:val="008E3619"/>
    <w:rsid w:val="008E378F"/>
    <w:rsid w:val="008E3BAF"/>
    <w:rsid w:val="008E3C72"/>
    <w:rsid w:val="008E3E9C"/>
    <w:rsid w:val="008E4970"/>
    <w:rsid w:val="008E4981"/>
    <w:rsid w:val="008E4D2C"/>
    <w:rsid w:val="008E58CE"/>
    <w:rsid w:val="008E5DA0"/>
    <w:rsid w:val="008E5DC4"/>
    <w:rsid w:val="008E5F12"/>
    <w:rsid w:val="008E61ED"/>
    <w:rsid w:val="008E66D4"/>
    <w:rsid w:val="008E680D"/>
    <w:rsid w:val="008E6E4D"/>
    <w:rsid w:val="008E788F"/>
    <w:rsid w:val="008F06ED"/>
    <w:rsid w:val="008F079A"/>
    <w:rsid w:val="008F0A89"/>
    <w:rsid w:val="008F10B9"/>
    <w:rsid w:val="008F1137"/>
    <w:rsid w:val="008F11C3"/>
    <w:rsid w:val="008F1540"/>
    <w:rsid w:val="008F1623"/>
    <w:rsid w:val="008F16D5"/>
    <w:rsid w:val="008F1940"/>
    <w:rsid w:val="008F21C9"/>
    <w:rsid w:val="008F22F7"/>
    <w:rsid w:val="008F23AB"/>
    <w:rsid w:val="008F24B7"/>
    <w:rsid w:val="008F26D4"/>
    <w:rsid w:val="008F26FF"/>
    <w:rsid w:val="008F296F"/>
    <w:rsid w:val="008F2B76"/>
    <w:rsid w:val="008F2FA8"/>
    <w:rsid w:val="008F3898"/>
    <w:rsid w:val="008F3B0A"/>
    <w:rsid w:val="008F3C17"/>
    <w:rsid w:val="008F3C34"/>
    <w:rsid w:val="008F3D91"/>
    <w:rsid w:val="008F4020"/>
    <w:rsid w:val="008F432A"/>
    <w:rsid w:val="008F47EF"/>
    <w:rsid w:val="008F4A09"/>
    <w:rsid w:val="008F4B00"/>
    <w:rsid w:val="008F5A39"/>
    <w:rsid w:val="008F5D26"/>
    <w:rsid w:val="008F5EA2"/>
    <w:rsid w:val="008F5F97"/>
    <w:rsid w:val="008F6266"/>
    <w:rsid w:val="008F6500"/>
    <w:rsid w:val="008F65BE"/>
    <w:rsid w:val="008F6A73"/>
    <w:rsid w:val="008F6F0B"/>
    <w:rsid w:val="008F737C"/>
    <w:rsid w:val="008F74C6"/>
    <w:rsid w:val="008F77AE"/>
    <w:rsid w:val="008F794F"/>
    <w:rsid w:val="008F79CA"/>
    <w:rsid w:val="008F7C56"/>
    <w:rsid w:val="008F7CB6"/>
    <w:rsid w:val="008F7DAE"/>
    <w:rsid w:val="008F7FF3"/>
    <w:rsid w:val="009000F5"/>
    <w:rsid w:val="009006C2"/>
    <w:rsid w:val="00900750"/>
    <w:rsid w:val="00900C91"/>
    <w:rsid w:val="00900C9C"/>
    <w:rsid w:val="009010ED"/>
    <w:rsid w:val="009010F8"/>
    <w:rsid w:val="00901106"/>
    <w:rsid w:val="009019AC"/>
    <w:rsid w:val="00901ACF"/>
    <w:rsid w:val="00901B74"/>
    <w:rsid w:val="00901D46"/>
    <w:rsid w:val="00902A98"/>
    <w:rsid w:val="00902CBC"/>
    <w:rsid w:val="00902D47"/>
    <w:rsid w:val="00902FAE"/>
    <w:rsid w:val="009031CF"/>
    <w:rsid w:val="0090320C"/>
    <w:rsid w:val="00903590"/>
    <w:rsid w:val="00903843"/>
    <w:rsid w:val="009038EF"/>
    <w:rsid w:val="00903D5E"/>
    <w:rsid w:val="00903D93"/>
    <w:rsid w:val="009040F0"/>
    <w:rsid w:val="009041BC"/>
    <w:rsid w:val="009043E0"/>
    <w:rsid w:val="009045F7"/>
    <w:rsid w:val="00904653"/>
    <w:rsid w:val="009048B7"/>
    <w:rsid w:val="00904AE8"/>
    <w:rsid w:val="00904B61"/>
    <w:rsid w:val="00905527"/>
    <w:rsid w:val="00905A8C"/>
    <w:rsid w:val="00905DBC"/>
    <w:rsid w:val="00906209"/>
    <w:rsid w:val="00906920"/>
    <w:rsid w:val="00906CBC"/>
    <w:rsid w:val="00906D38"/>
    <w:rsid w:val="00906F28"/>
    <w:rsid w:val="009074C7"/>
    <w:rsid w:val="0090777F"/>
    <w:rsid w:val="009078B0"/>
    <w:rsid w:val="00907AB9"/>
    <w:rsid w:val="00907F74"/>
    <w:rsid w:val="00910075"/>
    <w:rsid w:val="0091026F"/>
    <w:rsid w:val="009102AA"/>
    <w:rsid w:val="00910BCB"/>
    <w:rsid w:val="00910C61"/>
    <w:rsid w:val="0091102F"/>
    <w:rsid w:val="00911394"/>
    <w:rsid w:val="0091145A"/>
    <w:rsid w:val="0091145E"/>
    <w:rsid w:val="009115E1"/>
    <w:rsid w:val="00911614"/>
    <w:rsid w:val="00911662"/>
    <w:rsid w:val="009116D8"/>
    <w:rsid w:val="009120D2"/>
    <w:rsid w:val="009122F7"/>
    <w:rsid w:val="00912332"/>
    <w:rsid w:val="009124FC"/>
    <w:rsid w:val="00912E98"/>
    <w:rsid w:val="009133B2"/>
    <w:rsid w:val="009137D9"/>
    <w:rsid w:val="00913ADB"/>
    <w:rsid w:val="00913AF9"/>
    <w:rsid w:val="00913CBA"/>
    <w:rsid w:val="00913D69"/>
    <w:rsid w:val="00913DAF"/>
    <w:rsid w:val="00913F8C"/>
    <w:rsid w:val="009142B1"/>
    <w:rsid w:val="0091449A"/>
    <w:rsid w:val="0091474D"/>
    <w:rsid w:val="009148AC"/>
    <w:rsid w:val="009159C9"/>
    <w:rsid w:val="00915A0E"/>
    <w:rsid w:val="00915CA3"/>
    <w:rsid w:val="00915E93"/>
    <w:rsid w:val="009161A6"/>
    <w:rsid w:val="00916404"/>
    <w:rsid w:val="0091647F"/>
    <w:rsid w:val="009165A9"/>
    <w:rsid w:val="00917668"/>
    <w:rsid w:val="00917C05"/>
    <w:rsid w:val="00917F69"/>
    <w:rsid w:val="00920465"/>
    <w:rsid w:val="009207BA"/>
    <w:rsid w:val="009207D0"/>
    <w:rsid w:val="00920C0F"/>
    <w:rsid w:val="00920E05"/>
    <w:rsid w:val="00920FAF"/>
    <w:rsid w:val="00921150"/>
    <w:rsid w:val="009216AB"/>
    <w:rsid w:val="00921901"/>
    <w:rsid w:val="00921955"/>
    <w:rsid w:val="00921BE7"/>
    <w:rsid w:val="00921CA2"/>
    <w:rsid w:val="00922015"/>
    <w:rsid w:val="00922025"/>
    <w:rsid w:val="0092229E"/>
    <w:rsid w:val="0092243E"/>
    <w:rsid w:val="0092291F"/>
    <w:rsid w:val="009229D6"/>
    <w:rsid w:val="00922F8F"/>
    <w:rsid w:val="00923213"/>
    <w:rsid w:val="00923A19"/>
    <w:rsid w:val="00923BE8"/>
    <w:rsid w:val="00923F8A"/>
    <w:rsid w:val="00924423"/>
    <w:rsid w:val="0092465D"/>
    <w:rsid w:val="009248CE"/>
    <w:rsid w:val="00924BF5"/>
    <w:rsid w:val="00924C0D"/>
    <w:rsid w:val="00924EB6"/>
    <w:rsid w:val="009251DE"/>
    <w:rsid w:val="00925939"/>
    <w:rsid w:val="009259B0"/>
    <w:rsid w:val="00925BD6"/>
    <w:rsid w:val="00925DB1"/>
    <w:rsid w:val="0092640B"/>
    <w:rsid w:val="00926459"/>
    <w:rsid w:val="00926723"/>
    <w:rsid w:val="00926A3B"/>
    <w:rsid w:val="00926CB9"/>
    <w:rsid w:val="00926E2C"/>
    <w:rsid w:val="009278CD"/>
    <w:rsid w:val="00927AD5"/>
    <w:rsid w:val="00927BCB"/>
    <w:rsid w:val="00927C96"/>
    <w:rsid w:val="00927D87"/>
    <w:rsid w:val="00927F3B"/>
    <w:rsid w:val="009300D3"/>
    <w:rsid w:val="009301B9"/>
    <w:rsid w:val="00930713"/>
    <w:rsid w:val="00930AE4"/>
    <w:rsid w:val="00930F7E"/>
    <w:rsid w:val="0093139E"/>
    <w:rsid w:val="0093168B"/>
    <w:rsid w:val="00931C71"/>
    <w:rsid w:val="00932134"/>
    <w:rsid w:val="0093233A"/>
    <w:rsid w:val="00932588"/>
    <w:rsid w:val="009325FE"/>
    <w:rsid w:val="00932A89"/>
    <w:rsid w:val="00932BD7"/>
    <w:rsid w:val="00932CA5"/>
    <w:rsid w:val="00932E5A"/>
    <w:rsid w:val="00932FD5"/>
    <w:rsid w:val="009330B9"/>
    <w:rsid w:val="009331D7"/>
    <w:rsid w:val="00933333"/>
    <w:rsid w:val="00933583"/>
    <w:rsid w:val="00933866"/>
    <w:rsid w:val="00933C18"/>
    <w:rsid w:val="00933FDF"/>
    <w:rsid w:val="00934051"/>
    <w:rsid w:val="009341E0"/>
    <w:rsid w:val="00934670"/>
    <w:rsid w:val="00934FDF"/>
    <w:rsid w:val="00935238"/>
    <w:rsid w:val="0093545F"/>
    <w:rsid w:val="00935895"/>
    <w:rsid w:val="009359CE"/>
    <w:rsid w:val="00935DA7"/>
    <w:rsid w:val="0093696D"/>
    <w:rsid w:val="009369A3"/>
    <w:rsid w:val="00936E01"/>
    <w:rsid w:val="009378FF"/>
    <w:rsid w:val="00937B52"/>
    <w:rsid w:val="00940103"/>
    <w:rsid w:val="0094042D"/>
    <w:rsid w:val="009405A5"/>
    <w:rsid w:val="00940757"/>
    <w:rsid w:val="009409A5"/>
    <w:rsid w:val="0094106C"/>
    <w:rsid w:val="009414F6"/>
    <w:rsid w:val="0094150A"/>
    <w:rsid w:val="0094188D"/>
    <w:rsid w:val="009419F4"/>
    <w:rsid w:val="009419FE"/>
    <w:rsid w:val="00941CAB"/>
    <w:rsid w:val="00941EB3"/>
    <w:rsid w:val="00942598"/>
    <w:rsid w:val="009426C3"/>
    <w:rsid w:val="00942752"/>
    <w:rsid w:val="009428AA"/>
    <w:rsid w:val="00942C8A"/>
    <w:rsid w:val="00943145"/>
    <w:rsid w:val="0094324B"/>
    <w:rsid w:val="00943533"/>
    <w:rsid w:val="00943B82"/>
    <w:rsid w:val="00944644"/>
    <w:rsid w:val="00945098"/>
    <w:rsid w:val="009450E7"/>
    <w:rsid w:val="0094510F"/>
    <w:rsid w:val="0094531C"/>
    <w:rsid w:val="00945677"/>
    <w:rsid w:val="00945733"/>
    <w:rsid w:val="009460EC"/>
    <w:rsid w:val="009464B3"/>
    <w:rsid w:val="00946D01"/>
    <w:rsid w:val="00946FDA"/>
    <w:rsid w:val="00947A5A"/>
    <w:rsid w:val="00947ADB"/>
    <w:rsid w:val="00947C37"/>
    <w:rsid w:val="00947E18"/>
    <w:rsid w:val="00947EFB"/>
    <w:rsid w:val="00947FA3"/>
    <w:rsid w:val="00950A76"/>
    <w:rsid w:val="00950F5D"/>
    <w:rsid w:val="00951192"/>
    <w:rsid w:val="009511E1"/>
    <w:rsid w:val="0095129E"/>
    <w:rsid w:val="00951572"/>
    <w:rsid w:val="00951612"/>
    <w:rsid w:val="0095169A"/>
    <w:rsid w:val="0095204F"/>
    <w:rsid w:val="00952106"/>
    <w:rsid w:val="0095229E"/>
    <w:rsid w:val="0095231E"/>
    <w:rsid w:val="009526E5"/>
    <w:rsid w:val="00952C88"/>
    <w:rsid w:val="00952EEC"/>
    <w:rsid w:val="0095332F"/>
    <w:rsid w:val="0095356A"/>
    <w:rsid w:val="00953709"/>
    <w:rsid w:val="009539E4"/>
    <w:rsid w:val="00953B28"/>
    <w:rsid w:val="00953B72"/>
    <w:rsid w:val="00953B8E"/>
    <w:rsid w:val="00953C64"/>
    <w:rsid w:val="00953FAB"/>
    <w:rsid w:val="0095417C"/>
    <w:rsid w:val="0095441D"/>
    <w:rsid w:val="00954741"/>
    <w:rsid w:val="009549AA"/>
    <w:rsid w:val="009550B8"/>
    <w:rsid w:val="0095524F"/>
    <w:rsid w:val="009556A1"/>
    <w:rsid w:val="00955DF5"/>
    <w:rsid w:val="00955F20"/>
    <w:rsid w:val="00955FE9"/>
    <w:rsid w:val="009561F6"/>
    <w:rsid w:val="0095664F"/>
    <w:rsid w:val="00956765"/>
    <w:rsid w:val="0095683E"/>
    <w:rsid w:val="00956CA7"/>
    <w:rsid w:val="00956EEA"/>
    <w:rsid w:val="00956F1E"/>
    <w:rsid w:val="009570CC"/>
    <w:rsid w:val="00957144"/>
    <w:rsid w:val="009572F8"/>
    <w:rsid w:val="0095732D"/>
    <w:rsid w:val="009573ED"/>
    <w:rsid w:val="0095787A"/>
    <w:rsid w:val="00957A62"/>
    <w:rsid w:val="00960525"/>
    <w:rsid w:val="00960690"/>
    <w:rsid w:val="00961058"/>
    <w:rsid w:val="009610FC"/>
    <w:rsid w:val="00961446"/>
    <w:rsid w:val="00961487"/>
    <w:rsid w:val="0096157B"/>
    <w:rsid w:val="009617C1"/>
    <w:rsid w:val="0096181F"/>
    <w:rsid w:val="009618D5"/>
    <w:rsid w:val="00961EEA"/>
    <w:rsid w:val="00961F41"/>
    <w:rsid w:val="009621D4"/>
    <w:rsid w:val="00962AD4"/>
    <w:rsid w:val="009631FB"/>
    <w:rsid w:val="009636A2"/>
    <w:rsid w:val="00963BEA"/>
    <w:rsid w:val="009641B4"/>
    <w:rsid w:val="009642A3"/>
    <w:rsid w:val="00964C4E"/>
    <w:rsid w:val="00964E42"/>
    <w:rsid w:val="00964F4A"/>
    <w:rsid w:val="00965573"/>
    <w:rsid w:val="009656B8"/>
    <w:rsid w:val="00965C73"/>
    <w:rsid w:val="00965D9D"/>
    <w:rsid w:val="00965EF9"/>
    <w:rsid w:val="00965FEF"/>
    <w:rsid w:val="00966153"/>
    <w:rsid w:val="009667D4"/>
    <w:rsid w:val="00966C4D"/>
    <w:rsid w:val="00966FC0"/>
    <w:rsid w:val="00967188"/>
    <w:rsid w:val="009672E2"/>
    <w:rsid w:val="0096738B"/>
    <w:rsid w:val="0096747A"/>
    <w:rsid w:val="00967556"/>
    <w:rsid w:val="009676A6"/>
    <w:rsid w:val="0096774D"/>
    <w:rsid w:val="00967F34"/>
    <w:rsid w:val="009701C7"/>
    <w:rsid w:val="009706B6"/>
    <w:rsid w:val="0097089C"/>
    <w:rsid w:val="0097140E"/>
    <w:rsid w:val="00972945"/>
    <w:rsid w:val="00972A0A"/>
    <w:rsid w:val="00972EB5"/>
    <w:rsid w:val="0097351A"/>
    <w:rsid w:val="00973613"/>
    <w:rsid w:val="00973705"/>
    <w:rsid w:val="009738EC"/>
    <w:rsid w:val="00973B98"/>
    <w:rsid w:val="00974465"/>
    <w:rsid w:val="00974C3A"/>
    <w:rsid w:val="00974E7F"/>
    <w:rsid w:val="0097526B"/>
    <w:rsid w:val="00975474"/>
    <w:rsid w:val="00975B29"/>
    <w:rsid w:val="00975B90"/>
    <w:rsid w:val="00975E3F"/>
    <w:rsid w:val="0097673E"/>
    <w:rsid w:val="00976767"/>
    <w:rsid w:val="00976943"/>
    <w:rsid w:val="00976BA4"/>
    <w:rsid w:val="00976CBC"/>
    <w:rsid w:val="00976EFE"/>
    <w:rsid w:val="0097708A"/>
    <w:rsid w:val="00977173"/>
    <w:rsid w:val="00977257"/>
    <w:rsid w:val="009773CA"/>
    <w:rsid w:val="0097764C"/>
    <w:rsid w:val="009776D2"/>
    <w:rsid w:val="009778B9"/>
    <w:rsid w:val="00977A75"/>
    <w:rsid w:val="00977C5A"/>
    <w:rsid w:val="00977D17"/>
    <w:rsid w:val="00977D74"/>
    <w:rsid w:val="00977DA4"/>
    <w:rsid w:val="009800C5"/>
    <w:rsid w:val="009804A3"/>
    <w:rsid w:val="00980675"/>
    <w:rsid w:val="00980691"/>
    <w:rsid w:val="00980828"/>
    <w:rsid w:val="009808EF"/>
    <w:rsid w:val="00980AC6"/>
    <w:rsid w:val="00980E36"/>
    <w:rsid w:val="009811B7"/>
    <w:rsid w:val="009814B5"/>
    <w:rsid w:val="00981979"/>
    <w:rsid w:val="00981B7C"/>
    <w:rsid w:val="00981C51"/>
    <w:rsid w:val="0098287C"/>
    <w:rsid w:val="00982B79"/>
    <w:rsid w:val="00982CE9"/>
    <w:rsid w:val="00982FF6"/>
    <w:rsid w:val="009837A0"/>
    <w:rsid w:val="009837EA"/>
    <w:rsid w:val="0098407A"/>
    <w:rsid w:val="00984310"/>
    <w:rsid w:val="0098451B"/>
    <w:rsid w:val="00984667"/>
    <w:rsid w:val="0098471A"/>
    <w:rsid w:val="00984745"/>
    <w:rsid w:val="009849A3"/>
    <w:rsid w:val="00984C17"/>
    <w:rsid w:val="00985680"/>
    <w:rsid w:val="009857AB"/>
    <w:rsid w:val="009858C1"/>
    <w:rsid w:val="00985A47"/>
    <w:rsid w:val="00985B37"/>
    <w:rsid w:val="00985E6F"/>
    <w:rsid w:val="00986390"/>
    <w:rsid w:val="00986479"/>
    <w:rsid w:val="009867BC"/>
    <w:rsid w:val="00986C0E"/>
    <w:rsid w:val="00987531"/>
    <w:rsid w:val="009875E3"/>
    <w:rsid w:val="0098763B"/>
    <w:rsid w:val="00987812"/>
    <w:rsid w:val="00987A56"/>
    <w:rsid w:val="00987B26"/>
    <w:rsid w:val="00987B75"/>
    <w:rsid w:val="00987D5C"/>
    <w:rsid w:val="00987DB9"/>
    <w:rsid w:val="00987F34"/>
    <w:rsid w:val="0099030F"/>
    <w:rsid w:val="00990567"/>
    <w:rsid w:val="00990939"/>
    <w:rsid w:val="00990AB3"/>
    <w:rsid w:val="00990B67"/>
    <w:rsid w:val="00990DCB"/>
    <w:rsid w:val="0099103C"/>
    <w:rsid w:val="009910F9"/>
    <w:rsid w:val="009916BC"/>
    <w:rsid w:val="00991C5B"/>
    <w:rsid w:val="00991DEC"/>
    <w:rsid w:val="00991F05"/>
    <w:rsid w:val="009923DA"/>
    <w:rsid w:val="00992DDD"/>
    <w:rsid w:val="00992DE7"/>
    <w:rsid w:val="00992EC1"/>
    <w:rsid w:val="00993809"/>
    <w:rsid w:val="0099381E"/>
    <w:rsid w:val="00993B18"/>
    <w:rsid w:val="00993E88"/>
    <w:rsid w:val="009940AB"/>
    <w:rsid w:val="009940D3"/>
    <w:rsid w:val="009940F9"/>
    <w:rsid w:val="009942C0"/>
    <w:rsid w:val="00994325"/>
    <w:rsid w:val="00994490"/>
    <w:rsid w:val="00994CA0"/>
    <w:rsid w:val="00994E1A"/>
    <w:rsid w:val="0099508E"/>
    <w:rsid w:val="009951EA"/>
    <w:rsid w:val="0099528F"/>
    <w:rsid w:val="009954FA"/>
    <w:rsid w:val="00995542"/>
    <w:rsid w:val="009961C1"/>
    <w:rsid w:val="00996331"/>
    <w:rsid w:val="0099648B"/>
    <w:rsid w:val="009966D2"/>
    <w:rsid w:val="009967F0"/>
    <w:rsid w:val="00996A7F"/>
    <w:rsid w:val="00997140"/>
    <w:rsid w:val="00997165"/>
    <w:rsid w:val="0099724A"/>
    <w:rsid w:val="009975E4"/>
    <w:rsid w:val="0099762E"/>
    <w:rsid w:val="00997795"/>
    <w:rsid w:val="00997BD2"/>
    <w:rsid w:val="00997E7A"/>
    <w:rsid w:val="00997F99"/>
    <w:rsid w:val="009A0135"/>
    <w:rsid w:val="009A032C"/>
    <w:rsid w:val="009A03F0"/>
    <w:rsid w:val="009A0541"/>
    <w:rsid w:val="009A063F"/>
    <w:rsid w:val="009A07E0"/>
    <w:rsid w:val="009A092A"/>
    <w:rsid w:val="009A096C"/>
    <w:rsid w:val="009A0C04"/>
    <w:rsid w:val="009A0D00"/>
    <w:rsid w:val="009A0DE4"/>
    <w:rsid w:val="009A11E4"/>
    <w:rsid w:val="009A14F4"/>
    <w:rsid w:val="009A154C"/>
    <w:rsid w:val="009A1EAB"/>
    <w:rsid w:val="009A1F47"/>
    <w:rsid w:val="009A23AF"/>
    <w:rsid w:val="009A279C"/>
    <w:rsid w:val="009A289C"/>
    <w:rsid w:val="009A290E"/>
    <w:rsid w:val="009A2A36"/>
    <w:rsid w:val="009A3199"/>
    <w:rsid w:val="009A31C7"/>
    <w:rsid w:val="009A33BC"/>
    <w:rsid w:val="009A3A5F"/>
    <w:rsid w:val="009A3F2C"/>
    <w:rsid w:val="009A438F"/>
    <w:rsid w:val="009A444D"/>
    <w:rsid w:val="009A4960"/>
    <w:rsid w:val="009A513D"/>
    <w:rsid w:val="009A5165"/>
    <w:rsid w:val="009A5530"/>
    <w:rsid w:val="009A5917"/>
    <w:rsid w:val="009A60EC"/>
    <w:rsid w:val="009A6232"/>
    <w:rsid w:val="009A6590"/>
    <w:rsid w:val="009A6990"/>
    <w:rsid w:val="009A6C34"/>
    <w:rsid w:val="009A6D96"/>
    <w:rsid w:val="009A7219"/>
    <w:rsid w:val="009A72E5"/>
    <w:rsid w:val="009A736B"/>
    <w:rsid w:val="009A785D"/>
    <w:rsid w:val="009A793E"/>
    <w:rsid w:val="009A7D84"/>
    <w:rsid w:val="009A7D86"/>
    <w:rsid w:val="009A7E2A"/>
    <w:rsid w:val="009A7E46"/>
    <w:rsid w:val="009B00C8"/>
    <w:rsid w:val="009B0238"/>
    <w:rsid w:val="009B0D1D"/>
    <w:rsid w:val="009B0D58"/>
    <w:rsid w:val="009B0D68"/>
    <w:rsid w:val="009B0DD8"/>
    <w:rsid w:val="009B1053"/>
    <w:rsid w:val="009B153B"/>
    <w:rsid w:val="009B1750"/>
    <w:rsid w:val="009B18B3"/>
    <w:rsid w:val="009B269F"/>
    <w:rsid w:val="009B26D7"/>
    <w:rsid w:val="009B297C"/>
    <w:rsid w:val="009B2A8E"/>
    <w:rsid w:val="009B37F1"/>
    <w:rsid w:val="009B3C4F"/>
    <w:rsid w:val="009B3CC5"/>
    <w:rsid w:val="009B3F25"/>
    <w:rsid w:val="009B40EA"/>
    <w:rsid w:val="009B43F9"/>
    <w:rsid w:val="009B4875"/>
    <w:rsid w:val="009B48A2"/>
    <w:rsid w:val="009B4C64"/>
    <w:rsid w:val="009B4D61"/>
    <w:rsid w:val="009B4E4E"/>
    <w:rsid w:val="009B4EE3"/>
    <w:rsid w:val="009B55B4"/>
    <w:rsid w:val="009B593E"/>
    <w:rsid w:val="009B5CBE"/>
    <w:rsid w:val="009B60A4"/>
    <w:rsid w:val="009B62F7"/>
    <w:rsid w:val="009B6968"/>
    <w:rsid w:val="009B6A8A"/>
    <w:rsid w:val="009B6B0A"/>
    <w:rsid w:val="009B6EDD"/>
    <w:rsid w:val="009B719A"/>
    <w:rsid w:val="009B71D2"/>
    <w:rsid w:val="009B79B6"/>
    <w:rsid w:val="009B7AF9"/>
    <w:rsid w:val="009B7E83"/>
    <w:rsid w:val="009C0043"/>
    <w:rsid w:val="009C01D4"/>
    <w:rsid w:val="009C04C2"/>
    <w:rsid w:val="009C0837"/>
    <w:rsid w:val="009C0935"/>
    <w:rsid w:val="009C0A4A"/>
    <w:rsid w:val="009C12A8"/>
    <w:rsid w:val="009C14AE"/>
    <w:rsid w:val="009C14F5"/>
    <w:rsid w:val="009C19BC"/>
    <w:rsid w:val="009C1AE5"/>
    <w:rsid w:val="009C1F9D"/>
    <w:rsid w:val="009C201F"/>
    <w:rsid w:val="009C24CF"/>
    <w:rsid w:val="009C2736"/>
    <w:rsid w:val="009C2A06"/>
    <w:rsid w:val="009C2DEC"/>
    <w:rsid w:val="009C34F8"/>
    <w:rsid w:val="009C3AA1"/>
    <w:rsid w:val="009C3FE1"/>
    <w:rsid w:val="009C420F"/>
    <w:rsid w:val="009C4297"/>
    <w:rsid w:val="009C45C1"/>
    <w:rsid w:val="009C490A"/>
    <w:rsid w:val="009C50AA"/>
    <w:rsid w:val="009C5422"/>
    <w:rsid w:val="009C568C"/>
    <w:rsid w:val="009C5744"/>
    <w:rsid w:val="009C5A19"/>
    <w:rsid w:val="009C5BEA"/>
    <w:rsid w:val="009C5FE9"/>
    <w:rsid w:val="009C60B0"/>
    <w:rsid w:val="009C60B7"/>
    <w:rsid w:val="009C6A68"/>
    <w:rsid w:val="009C6B94"/>
    <w:rsid w:val="009C6DDE"/>
    <w:rsid w:val="009C6E14"/>
    <w:rsid w:val="009C7047"/>
    <w:rsid w:val="009C70BA"/>
    <w:rsid w:val="009C712E"/>
    <w:rsid w:val="009C739E"/>
    <w:rsid w:val="009C7FF4"/>
    <w:rsid w:val="009D0EC2"/>
    <w:rsid w:val="009D0FB3"/>
    <w:rsid w:val="009D1519"/>
    <w:rsid w:val="009D16C3"/>
    <w:rsid w:val="009D1907"/>
    <w:rsid w:val="009D1C14"/>
    <w:rsid w:val="009D1CD8"/>
    <w:rsid w:val="009D1E48"/>
    <w:rsid w:val="009D259A"/>
    <w:rsid w:val="009D2778"/>
    <w:rsid w:val="009D2BBD"/>
    <w:rsid w:val="009D2F66"/>
    <w:rsid w:val="009D3322"/>
    <w:rsid w:val="009D34E5"/>
    <w:rsid w:val="009D363F"/>
    <w:rsid w:val="009D3A95"/>
    <w:rsid w:val="009D3E33"/>
    <w:rsid w:val="009D437B"/>
    <w:rsid w:val="009D4710"/>
    <w:rsid w:val="009D482C"/>
    <w:rsid w:val="009D4913"/>
    <w:rsid w:val="009D51B2"/>
    <w:rsid w:val="009D5247"/>
    <w:rsid w:val="009D5419"/>
    <w:rsid w:val="009D5C72"/>
    <w:rsid w:val="009D6590"/>
    <w:rsid w:val="009D69A6"/>
    <w:rsid w:val="009D69AD"/>
    <w:rsid w:val="009D6C57"/>
    <w:rsid w:val="009D6CEC"/>
    <w:rsid w:val="009D6F0C"/>
    <w:rsid w:val="009D702C"/>
    <w:rsid w:val="009D7C07"/>
    <w:rsid w:val="009D7C90"/>
    <w:rsid w:val="009E010C"/>
    <w:rsid w:val="009E0134"/>
    <w:rsid w:val="009E01D6"/>
    <w:rsid w:val="009E1366"/>
    <w:rsid w:val="009E13CB"/>
    <w:rsid w:val="009E18B7"/>
    <w:rsid w:val="009E198B"/>
    <w:rsid w:val="009E1CD2"/>
    <w:rsid w:val="009E269D"/>
    <w:rsid w:val="009E273D"/>
    <w:rsid w:val="009E29C5"/>
    <w:rsid w:val="009E2C12"/>
    <w:rsid w:val="009E2C84"/>
    <w:rsid w:val="009E3566"/>
    <w:rsid w:val="009E497D"/>
    <w:rsid w:val="009E4CCE"/>
    <w:rsid w:val="009E533A"/>
    <w:rsid w:val="009E5B1E"/>
    <w:rsid w:val="009E62C7"/>
    <w:rsid w:val="009E63EE"/>
    <w:rsid w:val="009E65F9"/>
    <w:rsid w:val="009E664F"/>
    <w:rsid w:val="009E6681"/>
    <w:rsid w:val="009E69C0"/>
    <w:rsid w:val="009E6A42"/>
    <w:rsid w:val="009E6D5F"/>
    <w:rsid w:val="009E717B"/>
    <w:rsid w:val="009E7469"/>
    <w:rsid w:val="009E74A9"/>
    <w:rsid w:val="009E7A00"/>
    <w:rsid w:val="009F0335"/>
    <w:rsid w:val="009F0760"/>
    <w:rsid w:val="009F0B75"/>
    <w:rsid w:val="009F0F6C"/>
    <w:rsid w:val="009F10D8"/>
    <w:rsid w:val="009F15B5"/>
    <w:rsid w:val="009F2360"/>
    <w:rsid w:val="009F278A"/>
    <w:rsid w:val="009F32EC"/>
    <w:rsid w:val="009F36A0"/>
    <w:rsid w:val="009F39E5"/>
    <w:rsid w:val="009F3AEB"/>
    <w:rsid w:val="009F41DB"/>
    <w:rsid w:val="009F420A"/>
    <w:rsid w:val="009F445C"/>
    <w:rsid w:val="009F4E3B"/>
    <w:rsid w:val="009F4EC9"/>
    <w:rsid w:val="009F4FE2"/>
    <w:rsid w:val="009F4FF6"/>
    <w:rsid w:val="009F54F1"/>
    <w:rsid w:val="009F55A7"/>
    <w:rsid w:val="009F5879"/>
    <w:rsid w:val="009F5DDE"/>
    <w:rsid w:val="009F63DF"/>
    <w:rsid w:val="009F6B33"/>
    <w:rsid w:val="009F6D0D"/>
    <w:rsid w:val="009F6D88"/>
    <w:rsid w:val="009F6FC6"/>
    <w:rsid w:val="009F71C9"/>
    <w:rsid w:val="009F72C5"/>
    <w:rsid w:val="009F73B6"/>
    <w:rsid w:val="009F777C"/>
    <w:rsid w:val="009F7A97"/>
    <w:rsid w:val="009F7D76"/>
    <w:rsid w:val="009F7DCC"/>
    <w:rsid w:val="00A0086A"/>
    <w:rsid w:val="00A00E60"/>
    <w:rsid w:val="00A00F89"/>
    <w:rsid w:val="00A01043"/>
    <w:rsid w:val="00A01586"/>
    <w:rsid w:val="00A01D75"/>
    <w:rsid w:val="00A0254F"/>
    <w:rsid w:val="00A02888"/>
    <w:rsid w:val="00A0312B"/>
    <w:rsid w:val="00A031FB"/>
    <w:rsid w:val="00A03316"/>
    <w:rsid w:val="00A03616"/>
    <w:rsid w:val="00A0368A"/>
    <w:rsid w:val="00A0375C"/>
    <w:rsid w:val="00A03A30"/>
    <w:rsid w:val="00A03A3E"/>
    <w:rsid w:val="00A03BA3"/>
    <w:rsid w:val="00A041E1"/>
    <w:rsid w:val="00A04338"/>
    <w:rsid w:val="00A04460"/>
    <w:rsid w:val="00A0447A"/>
    <w:rsid w:val="00A0489A"/>
    <w:rsid w:val="00A04A29"/>
    <w:rsid w:val="00A04F70"/>
    <w:rsid w:val="00A051A3"/>
    <w:rsid w:val="00A053E6"/>
    <w:rsid w:val="00A0587E"/>
    <w:rsid w:val="00A05C83"/>
    <w:rsid w:val="00A05D8B"/>
    <w:rsid w:val="00A060A3"/>
    <w:rsid w:val="00A06401"/>
    <w:rsid w:val="00A06453"/>
    <w:rsid w:val="00A0650C"/>
    <w:rsid w:val="00A0667F"/>
    <w:rsid w:val="00A06BA8"/>
    <w:rsid w:val="00A06E54"/>
    <w:rsid w:val="00A0705D"/>
    <w:rsid w:val="00A0796B"/>
    <w:rsid w:val="00A079DA"/>
    <w:rsid w:val="00A07B16"/>
    <w:rsid w:val="00A07BCC"/>
    <w:rsid w:val="00A07CA4"/>
    <w:rsid w:val="00A07D47"/>
    <w:rsid w:val="00A101DB"/>
    <w:rsid w:val="00A106A6"/>
    <w:rsid w:val="00A10A2F"/>
    <w:rsid w:val="00A10CF9"/>
    <w:rsid w:val="00A11018"/>
    <w:rsid w:val="00A1107E"/>
    <w:rsid w:val="00A11447"/>
    <w:rsid w:val="00A11CD8"/>
    <w:rsid w:val="00A11FF6"/>
    <w:rsid w:val="00A1211F"/>
    <w:rsid w:val="00A1219F"/>
    <w:rsid w:val="00A121BC"/>
    <w:rsid w:val="00A12456"/>
    <w:rsid w:val="00A12495"/>
    <w:rsid w:val="00A12519"/>
    <w:rsid w:val="00A1278F"/>
    <w:rsid w:val="00A12E59"/>
    <w:rsid w:val="00A13273"/>
    <w:rsid w:val="00A135FD"/>
    <w:rsid w:val="00A13887"/>
    <w:rsid w:val="00A13B59"/>
    <w:rsid w:val="00A13C1B"/>
    <w:rsid w:val="00A13C8C"/>
    <w:rsid w:val="00A13E03"/>
    <w:rsid w:val="00A1415B"/>
    <w:rsid w:val="00A142BA"/>
    <w:rsid w:val="00A146F0"/>
    <w:rsid w:val="00A156E9"/>
    <w:rsid w:val="00A157D3"/>
    <w:rsid w:val="00A15936"/>
    <w:rsid w:val="00A15A9B"/>
    <w:rsid w:val="00A16347"/>
    <w:rsid w:val="00A16618"/>
    <w:rsid w:val="00A16FEF"/>
    <w:rsid w:val="00A170C2"/>
    <w:rsid w:val="00A1710D"/>
    <w:rsid w:val="00A17157"/>
    <w:rsid w:val="00A173ED"/>
    <w:rsid w:val="00A1789F"/>
    <w:rsid w:val="00A17EB1"/>
    <w:rsid w:val="00A17F63"/>
    <w:rsid w:val="00A20061"/>
    <w:rsid w:val="00A20091"/>
    <w:rsid w:val="00A20122"/>
    <w:rsid w:val="00A204EC"/>
    <w:rsid w:val="00A20576"/>
    <w:rsid w:val="00A20AF2"/>
    <w:rsid w:val="00A20D2A"/>
    <w:rsid w:val="00A21026"/>
    <w:rsid w:val="00A2103C"/>
    <w:rsid w:val="00A213D5"/>
    <w:rsid w:val="00A21483"/>
    <w:rsid w:val="00A217E8"/>
    <w:rsid w:val="00A21A3C"/>
    <w:rsid w:val="00A21D61"/>
    <w:rsid w:val="00A21F46"/>
    <w:rsid w:val="00A22280"/>
    <w:rsid w:val="00A22886"/>
    <w:rsid w:val="00A229C9"/>
    <w:rsid w:val="00A22AFA"/>
    <w:rsid w:val="00A22BAA"/>
    <w:rsid w:val="00A22F95"/>
    <w:rsid w:val="00A22F99"/>
    <w:rsid w:val="00A22FDF"/>
    <w:rsid w:val="00A2316D"/>
    <w:rsid w:val="00A231F2"/>
    <w:rsid w:val="00A23816"/>
    <w:rsid w:val="00A2385B"/>
    <w:rsid w:val="00A23866"/>
    <w:rsid w:val="00A23A7B"/>
    <w:rsid w:val="00A23AC0"/>
    <w:rsid w:val="00A23B7C"/>
    <w:rsid w:val="00A23B90"/>
    <w:rsid w:val="00A2409F"/>
    <w:rsid w:val="00A2410D"/>
    <w:rsid w:val="00A24280"/>
    <w:rsid w:val="00A24796"/>
    <w:rsid w:val="00A24A4E"/>
    <w:rsid w:val="00A24AA2"/>
    <w:rsid w:val="00A24BA1"/>
    <w:rsid w:val="00A24EE8"/>
    <w:rsid w:val="00A250E4"/>
    <w:rsid w:val="00A250EE"/>
    <w:rsid w:val="00A25276"/>
    <w:rsid w:val="00A254B7"/>
    <w:rsid w:val="00A257D6"/>
    <w:rsid w:val="00A25801"/>
    <w:rsid w:val="00A259F5"/>
    <w:rsid w:val="00A25A6B"/>
    <w:rsid w:val="00A25CB8"/>
    <w:rsid w:val="00A25FCF"/>
    <w:rsid w:val="00A26271"/>
    <w:rsid w:val="00A26672"/>
    <w:rsid w:val="00A26B2F"/>
    <w:rsid w:val="00A270D1"/>
    <w:rsid w:val="00A2740E"/>
    <w:rsid w:val="00A277C7"/>
    <w:rsid w:val="00A2790E"/>
    <w:rsid w:val="00A27938"/>
    <w:rsid w:val="00A27F3D"/>
    <w:rsid w:val="00A30119"/>
    <w:rsid w:val="00A3020F"/>
    <w:rsid w:val="00A307B8"/>
    <w:rsid w:val="00A309D8"/>
    <w:rsid w:val="00A30EA5"/>
    <w:rsid w:val="00A30FA7"/>
    <w:rsid w:val="00A31658"/>
    <w:rsid w:val="00A317A6"/>
    <w:rsid w:val="00A317B2"/>
    <w:rsid w:val="00A31828"/>
    <w:rsid w:val="00A31D04"/>
    <w:rsid w:val="00A31E3E"/>
    <w:rsid w:val="00A3238C"/>
    <w:rsid w:val="00A3251C"/>
    <w:rsid w:val="00A32CF5"/>
    <w:rsid w:val="00A33469"/>
    <w:rsid w:val="00A33682"/>
    <w:rsid w:val="00A33DF7"/>
    <w:rsid w:val="00A34143"/>
    <w:rsid w:val="00A34200"/>
    <w:rsid w:val="00A34337"/>
    <w:rsid w:val="00A343DF"/>
    <w:rsid w:val="00A3483F"/>
    <w:rsid w:val="00A34D3D"/>
    <w:rsid w:val="00A3523C"/>
    <w:rsid w:val="00A35F58"/>
    <w:rsid w:val="00A360E2"/>
    <w:rsid w:val="00A362FB"/>
    <w:rsid w:val="00A363B1"/>
    <w:rsid w:val="00A36692"/>
    <w:rsid w:val="00A3674F"/>
    <w:rsid w:val="00A3695C"/>
    <w:rsid w:val="00A36FC9"/>
    <w:rsid w:val="00A36FED"/>
    <w:rsid w:val="00A37425"/>
    <w:rsid w:val="00A374C0"/>
    <w:rsid w:val="00A37B25"/>
    <w:rsid w:val="00A37CDA"/>
    <w:rsid w:val="00A37E22"/>
    <w:rsid w:val="00A37F86"/>
    <w:rsid w:val="00A40453"/>
    <w:rsid w:val="00A40567"/>
    <w:rsid w:val="00A40867"/>
    <w:rsid w:val="00A409DE"/>
    <w:rsid w:val="00A40E39"/>
    <w:rsid w:val="00A41061"/>
    <w:rsid w:val="00A4125D"/>
    <w:rsid w:val="00A41411"/>
    <w:rsid w:val="00A41D2D"/>
    <w:rsid w:val="00A421D5"/>
    <w:rsid w:val="00A421FF"/>
    <w:rsid w:val="00A42462"/>
    <w:rsid w:val="00A4247C"/>
    <w:rsid w:val="00A42491"/>
    <w:rsid w:val="00A426CA"/>
    <w:rsid w:val="00A4337B"/>
    <w:rsid w:val="00A4341C"/>
    <w:rsid w:val="00A4357C"/>
    <w:rsid w:val="00A43846"/>
    <w:rsid w:val="00A43A0A"/>
    <w:rsid w:val="00A43D06"/>
    <w:rsid w:val="00A43D08"/>
    <w:rsid w:val="00A43F7D"/>
    <w:rsid w:val="00A43FDC"/>
    <w:rsid w:val="00A44066"/>
    <w:rsid w:val="00A441B0"/>
    <w:rsid w:val="00A4460E"/>
    <w:rsid w:val="00A448C4"/>
    <w:rsid w:val="00A44B84"/>
    <w:rsid w:val="00A45015"/>
    <w:rsid w:val="00A453AE"/>
    <w:rsid w:val="00A45630"/>
    <w:rsid w:val="00A45B57"/>
    <w:rsid w:val="00A45B71"/>
    <w:rsid w:val="00A45E91"/>
    <w:rsid w:val="00A45F7B"/>
    <w:rsid w:val="00A46561"/>
    <w:rsid w:val="00A4657D"/>
    <w:rsid w:val="00A4678B"/>
    <w:rsid w:val="00A46998"/>
    <w:rsid w:val="00A473B0"/>
    <w:rsid w:val="00A4747B"/>
    <w:rsid w:val="00A47698"/>
    <w:rsid w:val="00A478B8"/>
    <w:rsid w:val="00A47B53"/>
    <w:rsid w:val="00A5037E"/>
    <w:rsid w:val="00A50655"/>
    <w:rsid w:val="00A50678"/>
    <w:rsid w:val="00A507D4"/>
    <w:rsid w:val="00A50A2A"/>
    <w:rsid w:val="00A50CE9"/>
    <w:rsid w:val="00A50F38"/>
    <w:rsid w:val="00A50F77"/>
    <w:rsid w:val="00A5121F"/>
    <w:rsid w:val="00A51532"/>
    <w:rsid w:val="00A51C4D"/>
    <w:rsid w:val="00A51DB5"/>
    <w:rsid w:val="00A51DE2"/>
    <w:rsid w:val="00A51E0D"/>
    <w:rsid w:val="00A51F79"/>
    <w:rsid w:val="00A52073"/>
    <w:rsid w:val="00A520A3"/>
    <w:rsid w:val="00A52183"/>
    <w:rsid w:val="00A521B4"/>
    <w:rsid w:val="00A52283"/>
    <w:rsid w:val="00A52296"/>
    <w:rsid w:val="00A52872"/>
    <w:rsid w:val="00A52981"/>
    <w:rsid w:val="00A52B51"/>
    <w:rsid w:val="00A5326E"/>
    <w:rsid w:val="00A537B0"/>
    <w:rsid w:val="00A53885"/>
    <w:rsid w:val="00A53889"/>
    <w:rsid w:val="00A53AC3"/>
    <w:rsid w:val="00A53BB8"/>
    <w:rsid w:val="00A53E33"/>
    <w:rsid w:val="00A54469"/>
    <w:rsid w:val="00A54574"/>
    <w:rsid w:val="00A54598"/>
    <w:rsid w:val="00A5480D"/>
    <w:rsid w:val="00A54B8B"/>
    <w:rsid w:val="00A5526A"/>
    <w:rsid w:val="00A554B6"/>
    <w:rsid w:val="00A55536"/>
    <w:rsid w:val="00A55643"/>
    <w:rsid w:val="00A5578F"/>
    <w:rsid w:val="00A56432"/>
    <w:rsid w:val="00A56594"/>
    <w:rsid w:val="00A5695F"/>
    <w:rsid w:val="00A56C0E"/>
    <w:rsid w:val="00A56D23"/>
    <w:rsid w:val="00A56F8E"/>
    <w:rsid w:val="00A572DC"/>
    <w:rsid w:val="00A572F7"/>
    <w:rsid w:val="00A573C5"/>
    <w:rsid w:val="00A574FC"/>
    <w:rsid w:val="00A57ACE"/>
    <w:rsid w:val="00A6038C"/>
    <w:rsid w:val="00A60516"/>
    <w:rsid w:val="00A607EA"/>
    <w:rsid w:val="00A60BAB"/>
    <w:rsid w:val="00A60FB0"/>
    <w:rsid w:val="00A61286"/>
    <w:rsid w:val="00A6151F"/>
    <w:rsid w:val="00A61B2F"/>
    <w:rsid w:val="00A61D46"/>
    <w:rsid w:val="00A61E08"/>
    <w:rsid w:val="00A62013"/>
    <w:rsid w:val="00A626A4"/>
    <w:rsid w:val="00A627D8"/>
    <w:rsid w:val="00A627DA"/>
    <w:rsid w:val="00A62B6C"/>
    <w:rsid w:val="00A63341"/>
    <w:rsid w:val="00A6337C"/>
    <w:rsid w:val="00A633FA"/>
    <w:rsid w:val="00A63478"/>
    <w:rsid w:val="00A63754"/>
    <w:rsid w:val="00A637B0"/>
    <w:rsid w:val="00A6381F"/>
    <w:rsid w:val="00A641E3"/>
    <w:rsid w:val="00A64240"/>
    <w:rsid w:val="00A6428A"/>
    <w:rsid w:val="00A644EE"/>
    <w:rsid w:val="00A64674"/>
    <w:rsid w:val="00A64920"/>
    <w:rsid w:val="00A64981"/>
    <w:rsid w:val="00A65627"/>
    <w:rsid w:val="00A65B2B"/>
    <w:rsid w:val="00A660A0"/>
    <w:rsid w:val="00A661A5"/>
    <w:rsid w:val="00A66350"/>
    <w:rsid w:val="00A66384"/>
    <w:rsid w:val="00A6644D"/>
    <w:rsid w:val="00A66A6C"/>
    <w:rsid w:val="00A66F49"/>
    <w:rsid w:val="00A67010"/>
    <w:rsid w:val="00A67017"/>
    <w:rsid w:val="00A6702D"/>
    <w:rsid w:val="00A67410"/>
    <w:rsid w:val="00A67531"/>
    <w:rsid w:val="00A67AA3"/>
    <w:rsid w:val="00A67BA3"/>
    <w:rsid w:val="00A67E9D"/>
    <w:rsid w:val="00A701D6"/>
    <w:rsid w:val="00A7079A"/>
    <w:rsid w:val="00A70A2A"/>
    <w:rsid w:val="00A70A3E"/>
    <w:rsid w:val="00A70FA2"/>
    <w:rsid w:val="00A71643"/>
    <w:rsid w:val="00A71941"/>
    <w:rsid w:val="00A71AC9"/>
    <w:rsid w:val="00A71E99"/>
    <w:rsid w:val="00A71E9F"/>
    <w:rsid w:val="00A71F5D"/>
    <w:rsid w:val="00A723ED"/>
    <w:rsid w:val="00A727EA"/>
    <w:rsid w:val="00A72A52"/>
    <w:rsid w:val="00A73018"/>
    <w:rsid w:val="00A736AC"/>
    <w:rsid w:val="00A736D8"/>
    <w:rsid w:val="00A73725"/>
    <w:rsid w:val="00A73733"/>
    <w:rsid w:val="00A73756"/>
    <w:rsid w:val="00A73866"/>
    <w:rsid w:val="00A73A46"/>
    <w:rsid w:val="00A73D51"/>
    <w:rsid w:val="00A74AB0"/>
    <w:rsid w:val="00A74E35"/>
    <w:rsid w:val="00A755AB"/>
    <w:rsid w:val="00A75A82"/>
    <w:rsid w:val="00A75D4E"/>
    <w:rsid w:val="00A75D65"/>
    <w:rsid w:val="00A762E5"/>
    <w:rsid w:val="00A766FB"/>
    <w:rsid w:val="00A766FC"/>
    <w:rsid w:val="00A76A01"/>
    <w:rsid w:val="00A77031"/>
    <w:rsid w:val="00A77495"/>
    <w:rsid w:val="00A7751C"/>
    <w:rsid w:val="00A775C9"/>
    <w:rsid w:val="00A77731"/>
    <w:rsid w:val="00A77A60"/>
    <w:rsid w:val="00A77A7A"/>
    <w:rsid w:val="00A80042"/>
    <w:rsid w:val="00A802D7"/>
    <w:rsid w:val="00A803C1"/>
    <w:rsid w:val="00A803E0"/>
    <w:rsid w:val="00A80896"/>
    <w:rsid w:val="00A80A1C"/>
    <w:rsid w:val="00A80C1E"/>
    <w:rsid w:val="00A80F5C"/>
    <w:rsid w:val="00A8141E"/>
    <w:rsid w:val="00A8211A"/>
    <w:rsid w:val="00A821A5"/>
    <w:rsid w:val="00A827FE"/>
    <w:rsid w:val="00A829E1"/>
    <w:rsid w:val="00A82B4B"/>
    <w:rsid w:val="00A82F9C"/>
    <w:rsid w:val="00A83124"/>
    <w:rsid w:val="00A8380A"/>
    <w:rsid w:val="00A84304"/>
    <w:rsid w:val="00A8437B"/>
    <w:rsid w:val="00A84546"/>
    <w:rsid w:val="00A84868"/>
    <w:rsid w:val="00A84B30"/>
    <w:rsid w:val="00A84C0F"/>
    <w:rsid w:val="00A84C94"/>
    <w:rsid w:val="00A84EDA"/>
    <w:rsid w:val="00A850BE"/>
    <w:rsid w:val="00A854FC"/>
    <w:rsid w:val="00A85833"/>
    <w:rsid w:val="00A8595F"/>
    <w:rsid w:val="00A859BF"/>
    <w:rsid w:val="00A85A46"/>
    <w:rsid w:val="00A85DD6"/>
    <w:rsid w:val="00A861A5"/>
    <w:rsid w:val="00A86A05"/>
    <w:rsid w:val="00A86D4E"/>
    <w:rsid w:val="00A86D8B"/>
    <w:rsid w:val="00A87127"/>
    <w:rsid w:val="00A8725C"/>
    <w:rsid w:val="00A8767B"/>
    <w:rsid w:val="00A87C0A"/>
    <w:rsid w:val="00A87D28"/>
    <w:rsid w:val="00A90023"/>
    <w:rsid w:val="00A90339"/>
    <w:rsid w:val="00A903CA"/>
    <w:rsid w:val="00A903E8"/>
    <w:rsid w:val="00A907A7"/>
    <w:rsid w:val="00A90AF1"/>
    <w:rsid w:val="00A90B8F"/>
    <w:rsid w:val="00A90ED9"/>
    <w:rsid w:val="00A90F18"/>
    <w:rsid w:val="00A91232"/>
    <w:rsid w:val="00A9132C"/>
    <w:rsid w:val="00A913EF"/>
    <w:rsid w:val="00A91581"/>
    <w:rsid w:val="00A91A37"/>
    <w:rsid w:val="00A92120"/>
    <w:rsid w:val="00A922CF"/>
    <w:rsid w:val="00A92410"/>
    <w:rsid w:val="00A92714"/>
    <w:rsid w:val="00A92A01"/>
    <w:rsid w:val="00A92B3B"/>
    <w:rsid w:val="00A92EFC"/>
    <w:rsid w:val="00A93388"/>
    <w:rsid w:val="00A934EB"/>
    <w:rsid w:val="00A9369F"/>
    <w:rsid w:val="00A9382E"/>
    <w:rsid w:val="00A93A59"/>
    <w:rsid w:val="00A93CE2"/>
    <w:rsid w:val="00A93DE8"/>
    <w:rsid w:val="00A9405C"/>
    <w:rsid w:val="00A94414"/>
    <w:rsid w:val="00A9461C"/>
    <w:rsid w:val="00A94A49"/>
    <w:rsid w:val="00A94E17"/>
    <w:rsid w:val="00A955F6"/>
    <w:rsid w:val="00A9577D"/>
    <w:rsid w:val="00A957DF"/>
    <w:rsid w:val="00A95EBC"/>
    <w:rsid w:val="00A9606D"/>
    <w:rsid w:val="00A961B7"/>
    <w:rsid w:val="00A967BF"/>
    <w:rsid w:val="00A968DC"/>
    <w:rsid w:val="00A96929"/>
    <w:rsid w:val="00A96E11"/>
    <w:rsid w:val="00A9793D"/>
    <w:rsid w:val="00A97C10"/>
    <w:rsid w:val="00A97C7D"/>
    <w:rsid w:val="00AA018A"/>
    <w:rsid w:val="00AA0425"/>
    <w:rsid w:val="00AA064B"/>
    <w:rsid w:val="00AA076D"/>
    <w:rsid w:val="00AA0A92"/>
    <w:rsid w:val="00AA124A"/>
    <w:rsid w:val="00AA12D4"/>
    <w:rsid w:val="00AA13FF"/>
    <w:rsid w:val="00AA1A2B"/>
    <w:rsid w:val="00AA1A7E"/>
    <w:rsid w:val="00AA1B7C"/>
    <w:rsid w:val="00AA1F66"/>
    <w:rsid w:val="00AA244F"/>
    <w:rsid w:val="00AA26B1"/>
    <w:rsid w:val="00AA2ACA"/>
    <w:rsid w:val="00AA3181"/>
    <w:rsid w:val="00AA34E0"/>
    <w:rsid w:val="00AA3616"/>
    <w:rsid w:val="00AA386A"/>
    <w:rsid w:val="00AA3B2E"/>
    <w:rsid w:val="00AA3C56"/>
    <w:rsid w:val="00AA3CC0"/>
    <w:rsid w:val="00AA3D6E"/>
    <w:rsid w:val="00AA418B"/>
    <w:rsid w:val="00AA43DC"/>
    <w:rsid w:val="00AA444B"/>
    <w:rsid w:val="00AA46B7"/>
    <w:rsid w:val="00AA4D32"/>
    <w:rsid w:val="00AA4DC7"/>
    <w:rsid w:val="00AA5589"/>
    <w:rsid w:val="00AA573F"/>
    <w:rsid w:val="00AA5D2C"/>
    <w:rsid w:val="00AA5ECE"/>
    <w:rsid w:val="00AA6212"/>
    <w:rsid w:val="00AA650B"/>
    <w:rsid w:val="00AA68D5"/>
    <w:rsid w:val="00AA770A"/>
    <w:rsid w:val="00AA77DB"/>
    <w:rsid w:val="00AA7909"/>
    <w:rsid w:val="00AA7B93"/>
    <w:rsid w:val="00AA7C25"/>
    <w:rsid w:val="00AB051B"/>
    <w:rsid w:val="00AB08EE"/>
    <w:rsid w:val="00AB09D5"/>
    <w:rsid w:val="00AB0D7A"/>
    <w:rsid w:val="00AB0E2B"/>
    <w:rsid w:val="00AB0EDE"/>
    <w:rsid w:val="00AB10F0"/>
    <w:rsid w:val="00AB1444"/>
    <w:rsid w:val="00AB147A"/>
    <w:rsid w:val="00AB1569"/>
    <w:rsid w:val="00AB1B49"/>
    <w:rsid w:val="00AB1B73"/>
    <w:rsid w:val="00AB1F64"/>
    <w:rsid w:val="00AB2328"/>
    <w:rsid w:val="00AB25B0"/>
    <w:rsid w:val="00AB2921"/>
    <w:rsid w:val="00AB2C15"/>
    <w:rsid w:val="00AB2CC0"/>
    <w:rsid w:val="00AB31B3"/>
    <w:rsid w:val="00AB3413"/>
    <w:rsid w:val="00AB35C5"/>
    <w:rsid w:val="00AB38CB"/>
    <w:rsid w:val="00AB398C"/>
    <w:rsid w:val="00AB3C7B"/>
    <w:rsid w:val="00AB3CA2"/>
    <w:rsid w:val="00AB3CB4"/>
    <w:rsid w:val="00AB4047"/>
    <w:rsid w:val="00AB44F8"/>
    <w:rsid w:val="00AB467E"/>
    <w:rsid w:val="00AB4A2B"/>
    <w:rsid w:val="00AB4B56"/>
    <w:rsid w:val="00AB52EA"/>
    <w:rsid w:val="00AB5372"/>
    <w:rsid w:val="00AB578A"/>
    <w:rsid w:val="00AB5888"/>
    <w:rsid w:val="00AB58FC"/>
    <w:rsid w:val="00AB5E8C"/>
    <w:rsid w:val="00AB5E8F"/>
    <w:rsid w:val="00AB6197"/>
    <w:rsid w:val="00AB65A7"/>
    <w:rsid w:val="00AB6965"/>
    <w:rsid w:val="00AB6C64"/>
    <w:rsid w:val="00AB6C89"/>
    <w:rsid w:val="00AB6E55"/>
    <w:rsid w:val="00AB6F0A"/>
    <w:rsid w:val="00AB6F36"/>
    <w:rsid w:val="00AB72DF"/>
    <w:rsid w:val="00AB7322"/>
    <w:rsid w:val="00AB7836"/>
    <w:rsid w:val="00AB7951"/>
    <w:rsid w:val="00AB7B1E"/>
    <w:rsid w:val="00AC00D9"/>
    <w:rsid w:val="00AC013E"/>
    <w:rsid w:val="00AC06CB"/>
    <w:rsid w:val="00AC070C"/>
    <w:rsid w:val="00AC07F5"/>
    <w:rsid w:val="00AC0825"/>
    <w:rsid w:val="00AC0A2B"/>
    <w:rsid w:val="00AC0D3D"/>
    <w:rsid w:val="00AC2257"/>
    <w:rsid w:val="00AC24F6"/>
    <w:rsid w:val="00AC2C50"/>
    <w:rsid w:val="00AC2CA4"/>
    <w:rsid w:val="00AC3A3F"/>
    <w:rsid w:val="00AC3B11"/>
    <w:rsid w:val="00AC3D1E"/>
    <w:rsid w:val="00AC3D85"/>
    <w:rsid w:val="00AC3DDD"/>
    <w:rsid w:val="00AC4146"/>
    <w:rsid w:val="00AC41C9"/>
    <w:rsid w:val="00AC47B1"/>
    <w:rsid w:val="00AC4E82"/>
    <w:rsid w:val="00AC54B9"/>
    <w:rsid w:val="00AC5590"/>
    <w:rsid w:val="00AC6078"/>
    <w:rsid w:val="00AC61BD"/>
    <w:rsid w:val="00AC61D6"/>
    <w:rsid w:val="00AC6207"/>
    <w:rsid w:val="00AC68A3"/>
    <w:rsid w:val="00AC69B3"/>
    <w:rsid w:val="00AC6C35"/>
    <w:rsid w:val="00AC70E6"/>
    <w:rsid w:val="00AC7366"/>
    <w:rsid w:val="00AC73FE"/>
    <w:rsid w:val="00AC7490"/>
    <w:rsid w:val="00AC7C62"/>
    <w:rsid w:val="00AC7D06"/>
    <w:rsid w:val="00AC7F68"/>
    <w:rsid w:val="00AC7FBB"/>
    <w:rsid w:val="00AD0163"/>
    <w:rsid w:val="00AD021A"/>
    <w:rsid w:val="00AD090D"/>
    <w:rsid w:val="00AD0D11"/>
    <w:rsid w:val="00AD11A5"/>
    <w:rsid w:val="00AD1632"/>
    <w:rsid w:val="00AD163E"/>
    <w:rsid w:val="00AD27D7"/>
    <w:rsid w:val="00AD290E"/>
    <w:rsid w:val="00AD2C71"/>
    <w:rsid w:val="00AD2E89"/>
    <w:rsid w:val="00AD2F6C"/>
    <w:rsid w:val="00AD38AA"/>
    <w:rsid w:val="00AD39D6"/>
    <w:rsid w:val="00AD3B16"/>
    <w:rsid w:val="00AD3B58"/>
    <w:rsid w:val="00AD3E8D"/>
    <w:rsid w:val="00AD456A"/>
    <w:rsid w:val="00AD45C7"/>
    <w:rsid w:val="00AD45C9"/>
    <w:rsid w:val="00AD46CC"/>
    <w:rsid w:val="00AD4B4B"/>
    <w:rsid w:val="00AD4C02"/>
    <w:rsid w:val="00AD4E5A"/>
    <w:rsid w:val="00AD4F84"/>
    <w:rsid w:val="00AD5049"/>
    <w:rsid w:val="00AD5A9E"/>
    <w:rsid w:val="00AD5BDC"/>
    <w:rsid w:val="00AD5E14"/>
    <w:rsid w:val="00AD6249"/>
    <w:rsid w:val="00AD70E1"/>
    <w:rsid w:val="00AD75DF"/>
    <w:rsid w:val="00AD7DA5"/>
    <w:rsid w:val="00AE00DC"/>
    <w:rsid w:val="00AE02DE"/>
    <w:rsid w:val="00AE0473"/>
    <w:rsid w:val="00AE056C"/>
    <w:rsid w:val="00AE060C"/>
    <w:rsid w:val="00AE083C"/>
    <w:rsid w:val="00AE08CE"/>
    <w:rsid w:val="00AE11A3"/>
    <w:rsid w:val="00AE19E4"/>
    <w:rsid w:val="00AE1BA8"/>
    <w:rsid w:val="00AE1C60"/>
    <w:rsid w:val="00AE1D1F"/>
    <w:rsid w:val="00AE2BAC"/>
    <w:rsid w:val="00AE2E08"/>
    <w:rsid w:val="00AE2F42"/>
    <w:rsid w:val="00AE2F8E"/>
    <w:rsid w:val="00AE3035"/>
    <w:rsid w:val="00AE348C"/>
    <w:rsid w:val="00AE3491"/>
    <w:rsid w:val="00AE3535"/>
    <w:rsid w:val="00AE38CB"/>
    <w:rsid w:val="00AE38F0"/>
    <w:rsid w:val="00AE4212"/>
    <w:rsid w:val="00AE430E"/>
    <w:rsid w:val="00AE444E"/>
    <w:rsid w:val="00AE4A6A"/>
    <w:rsid w:val="00AE518D"/>
    <w:rsid w:val="00AE5318"/>
    <w:rsid w:val="00AE6581"/>
    <w:rsid w:val="00AE69DA"/>
    <w:rsid w:val="00AE6AC0"/>
    <w:rsid w:val="00AE6EFD"/>
    <w:rsid w:val="00AE714B"/>
    <w:rsid w:val="00AE7260"/>
    <w:rsid w:val="00AE7732"/>
    <w:rsid w:val="00AE7CE3"/>
    <w:rsid w:val="00AE7E1B"/>
    <w:rsid w:val="00AF02B9"/>
    <w:rsid w:val="00AF038F"/>
    <w:rsid w:val="00AF073A"/>
    <w:rsid w:val="00AF0763"/>
    <w:rsid w:val="00AF0803"/>
    <w:rsid w:val="00AF0D1D"/>
    <w:rsid w:val="00AF1081"/>
    <w:rsid w:val="00AF1108"/>
    <w:rsid w:val="00AF1498"/>
    <w:rsid w:val="00AF14FF"/>
    <w:rsid w:val="00AF16CA"/>
    <w:rsid w:val="00AF190A"/>
    <w:rsid w:val="00AF1D02"/>
    <w:rsid w:val="00AF1D23"/>
    <w:rsid w:val="00AF24A0"/>
    <w:rsid w:val="00AF2642"/>
    <w:rsid w:val="00AF26B7"/>
    <w:rsid w:val="00AF27F5"/>
    <w:rsid w:val="00AF2C33"/>
    <w:rsid w:val="00AF2DA4"/>
    <w:rsid w:val="00AF2E9D"/>
    <w:rsid w:val="00AF2EA6"/>
    <w:rsid w:val="00AF3577"/>
    <w:rsid w:val="00AF399A"/>
    <w:rsid w:val="00AF3E3C"/>
    <w:rsid w:val="00AF412B"/>
    <w:rsid w:val="00AF42F8"/>
    <w:rsid w:val="00AF4411"/>
    <w:rsid w:val="00AF4571"/>
    <w:rsid w:val="00AF46F6"/>
    <w:rsid w:val="00AF47CA"/>
    <w:rsid w:val="00AF48EE"/>
    <w:rsid w:val="00AF4D70"/>
    <w:rsid w:val="00AF4E92"/>
    <w:rsid w:val="00AF4F60"/>
    <w:rsid w:val="00AF4F9A"/>
    <w:rsid w:val="00AF54C8"/>
    <w:rsid w:val="00AF5532"/>
    <w:rsid w:val="00AF59EE"/>
    <w:rsid w:val="00AF5A96"/>
    <w:rsid w:val="00AF5BA0"/>
    <w:rsid w:val="00AF5E27"/>
    <w:rsid w:val="00AF5F11"/>
    <w:rsid w:val="00AF60E6"/>
    <w:rsid w:val="00AF613E"/>
    <w:rsid w:val="00AF6146"/>
    <w:rsid w:val="00AF660F"/>
    <w:rsid w:val="00AF6D85"/>
    <w:rsid w:val="00AF719E"/>
    <w:rsid w:val="00AF7722"/>
    <w:rsid w:val="00AF7ACF"/>
    <w:rsid w:val="00AF7B06"/>
    <w:rsid w:val="00AF7DC6"/>
    <w:rsid w:val="00B0050C"/>
    <w:rsid w:val="00B008B3"/>
    <w:rsid w:val="00B008EA"/>
    <w:rsid w:val="00B00A38"/>
    <w:rsid w:val="00B00B98"/>
    <w:rsid w:val="00B00F2C"/>
    <w:rsid w:val="00B00F31"/>
    <w:rsid w:val="00B010F1"/>
    <w:rsid w:val="00B018F6"/>
    <w:rsid w:val="00B01A12"/>
    <w:rsid w:val="00B01EC0"/>
    <w:rsid w:val="00B01F3E"/>
    <w:rsid w:val="00B01F8A"/>
    <w:rsid w:val="00B02800"/>
    <w:rsid w:val="00B0287C"/>
    <w:rsid w:val="00B029A4"/>
    <w:rsid w:val="00B029F3"/>
    <w:rsid w:val="00B02C16"/>
    <w:rsid w:val="00B03A85"/>
    <w:rsid w:val="00B03C65"/>
    <w:rsid w:val="00B0423C"/>
    <w:rsid w:val="00B04D30"/>
    <w:rsid w:val="00B054ED"/>
    <w:rsid w:val="00B05666"/>
    <w:rsid w:val="00B059B1"/>
    <w:rsid w:val="00B05C10"/>
    <w:rsid w:val="00B06139"/>
    <w:rsid w:val="00B06E15"/>
    <w:rsid w:val="00B06EFA"/>
    <w:rsid w:val="00B07382"/>
    <w:rsid w:val="00B07407"/>
    <w:rsid w:val="00B0758A"/>
    <w:rsid w:val="00B0772F"/>
    <w:rsid w:val="00B078A8"/>
    <w:rsid w:val="00B07AFC"/>
    <w:rsid w:val="00B07C71"/>
    <w:rsid w:val="00B07CE9"/>
    <w:rsid w:val="00B07D51"/>
    <w:rsid w:val="00B1002B"/>
    <w:rsid w:val="00B10188"/>
    <w:rsid w:val="00B10D7D"/>
    <w:rsid w:val="00B10FA5"/>
    <w:rsid w:val="00B10FC4"/>
    <w:rsid w:val="00B1117F"/>
    <w:rsid w:val="00B113D5"/>
    <w:rsid w:val="00B1189C"/>
    <w:rsid w:val="00B118E0"/>
    <w:rsid w:val="00B11A04"/>
    <w:rsid w:val="00B11BEF"/>
    <w:rsid w:val="00B12258"/>
    <w:rsid w:val="00B1270C"/>
    <w:rsid w:val="00B12813"/>
    <w:rsid w:val="00B12A4A"/>
    <w:rsid w:val="00B12DE2"/>
    <w:rsid w:val="00B13225"/>
    <w:rsid w:val="00B134AA"/>
    <w:rsid w:val="00B1358F"/>
    <w:rsid w:val="00B13702"/>
    <w:rsid w:val="00B1399B"/>
    <w:rsid w:val="00B13D5E"/>
    <w:rsid w:val="00B13E7B"/>
    <w:rsid w:val="00B13FD0"/>
    <w:rsid w:val="00B142E0"/>
    <w:rsid w:val="00B14359"/>
    <w:rsid w:val="00B145D5"/>
    <w:rsid w:val="00B14727"/>
    <w:rsid w:val="00B14854"/>
    <w:rsid w:val="00B14DB9"/>
    <w:rsid w:val="00B1535D"/>
    <w:rsid w:val="00B15893"/>
    <w:rsid w:val="00B158EE"/>
    <w:rsid w:val="00B15964"/>
    <w:rsid w:val="00B15B5E"/>
    <w:rsid w:val="00B15E9A"/>
    <w:rsid w:val="00B15EAA"/>
    <w:rsid w:val="00B1673C"/>
    <w:rsid w:val="00B1689F"/>
    <w:rsid w:val="00B16983"/>
    <w:rsid w:val="00B16B1A"/>
    <w:rsid w:val="00B17104"/>
    <w:rsid w:val="00B17594"/>
    <w:rsid w:val="00B1761C"/>
    <w:rsid w:val="00B1762B"/>
    <w:rsid w:val="00B176B3"/>
    <w:rsid w:val="00B17721"/>
    <w:rsid w:val="00B178ED"/>
    <w:rsid w:val="00B17C73"/>
    <w:rsid w:val="00B17C8C"/>
    <w:rsid w:val="00B17EE9"/>
    <w:rsid w:val="00B20882"/>
    <w:rsid w:val="00B20EA6"/>
    <w:rsid w:val="00B210BF"/>
    <w:rsid w:val="00B210F7"/>
    <w:rsid w:val="00B211D8"/>
    <w:rsid w:val="00B21296"/>
    <w:rsid w:val="00B21B0D"/>
    <w:rsid w:val="00B21BA9"/>
    <w:rsid w:val="00B21BB9"/>
    <w:rsid w:val="00B21EF7"/>
    <w:rsid w:val="00B22477"/>
    <w:rsid w:val="00B23213"/>
    <w:rsid w:val="00B23BFA"/>
    <w:rsid w:val="00B2407E"/>
    <w:rsid w:val="00B24886"/>
    <w:rsid w:val="00B24AA8"/>
    <w:rsid w:val="00B24FCA"/>
    <w:rsid w:val="00B2518B"/>
    <w:rsid w:val="00B257B7"/>
    <w:rsid w:val="00B25983"/>
    <w:rsid w:val="00B25C94"/>
    <w:rsid w:val="00B25D4E"/>
    <w:rsid w:val="00B25E7A"/>
    <w:rsid w:val="00B25F11"/>
    <w:rsid w:val="00B2642B"/>
    <w:rsid w:val="00B26430"/>
    <w:rsid w:val="00B26A1B"/>
    <w:rsid w:val="00B26C79"/>
    <w:rsid w:val="00B2710F"/>
    <w:rsid w:val="00B271B6"/>
    <w:rsid w:val="00B271EF"/>
    <w:rsid w:val="00B2738D"/>
    <w:rsid w:val="00B273FC"/>
    <w:rsid w:val="00B27864"/>
    <w:rsid w:val="00B27AC7"/>
    <w:rsid w:val="00B27B07"/>
    <w:rsid w:val="00B27B63"/>
    <w:rsid w:val="00B27F85"/>
    <w:rsid w:val="00B306CF"/>
    <w:rsid w:val="00B30884"/>
    <w:rsid w:val="00B308C0"/>
    <w:rsid w:val="00B30B8A"/>
    <w:rsid w:val="00B30BD8"/>
    <w:rsid w:val="00B30D0C"/>
    <w:rsid w:val="00B30EE9"/>
    <w:rsid w:val="00B311F4"/>
    <w:rsid w:val="00B31365"/>
    <w:rsid w:val="00B314B3"/>
    <w:rsid w:val="00B3165E"/>
    <w:rsid w:val="00B3190C"/>
    <w:rsid w:val="00B31A29"/>
    <w:rsid w:val="00B31E6A"/>
    <w:rsid w:val="00B32386"/>
    <w:rsid w:val="00B325AF"/>
    <w:rsid w:val="00B32658"/>
    <w:rsid w:val="00B3287C"/>
    <w:rsid w:val="00B330ED"/>
    <w:rsid w:val="00B33151"/>
    <w:rsid w:val="00B337DD"/>
    <w:rsid w:val="00B3418E"/>
    <w:rsid w:val="00B34778"/>
    <w:rsid w:val="00B3485C"/>
    <w:rsid w:val="00B34861"/>
    <w:rsid w:val="00B34991"/>
    <w:rsid w:val="00B34BB4"/>
    <w:rsid w:val="00B3557E"/>
    <w:rsid w:val="00B35CD8"/>
    <w:rsid w:val="00B36339"/>
    <w:rsid w:val="00B366C9"/>
    <w:rsid w:val="00B36A2F"/>
    <w:rsid w:val="00B36AAC"/>
    <w:rsid w:val="00B36B86"/>
    <w:rsid w:val="00B372F6"/>
    <w:rsid w:val="00B37343"/>
    <w:rsid w:val="00B377E0"/>
    <w:rsid w:val="00B37938"/>
    <w:rsid w:val="00B37C5A"/>
    <w:rsid w:val="00B4016B"/>
    <w:rsid w:val="00B401DF"/>
    <w:rsid w:val="00B4054C"/>
    <w:rsid w:val="00B4063D"/>
    <w:rsid w:val="00B40C7A"/>
    <w:rsid w:val="00B40FE3"/>
    <w:rsid w:val="00B410C3"/>
    <w:rsid w:val="00B41229"/>
    <w:rsid w:val="00B41554"/>
    <w:rsid w:val="00B4156B"/>
    <w:rsid w:val="00B41D73"/>
    <w:rsid w:val="00B42120"/>
    <w:rsid w:val="00B4235F"/>
    <w:rsid w:val="00B42442"/>
    <w:rsid w:val="00B4278D"/>
    <w:rsid w:val="00B42A9E"/>
    <w:rsid w:val="00B43204"/>
    <w:rsid w:val="00B4330D"/>
    <w:rsid w:val="00B435F6"/>
    <w:rsid w:val="00B43644"/>
    <w:rsid w:val="00B4372E"/>
    <w:rsid w:val="00B43904"/>
    <w:rsid w:val="00B43BE7"/>
    <w:rsid w:val="00B43FC3"/>
    <w:rsid w:val="00B44091"/>
    <w:rsid w:val="00B442FE"/>
    <w:rsid w:val="00B44396"/>
    <w:rsid w:val="00B443D2"/>
    <w:rsid w:val="00B45275"/>
    <w:rsid w:val="00B45603"/>
    <w:rsid w:val="00B45657"/>
    <w:rsid w:val="00B45831"/>
    <w:rsid w:val="00B4586B"/>
    <w:rsid w:val="00B4596C"/>
    <w:rsid w:val="00B45B09"/>
    <w:rsid w:val="00B45B94"/>
    <w:rsid w:val="00B45DF1"/>
    <w:rsid w:val="00B45E24"/>
    <w:rsid w:val="00B45F29"/>
    <w:rsid w:val="00B46081"/>
    <w:rsid w:val="00B46164"/>
    <w:rsid w:val="00B4677C"/>
    <w:rsid w:val="00B46B34"/>
    <w:rsid w:val="00B4713C"/>
    <w:rsid w:val="00B47161"/>
    <w:rsid w:val="00B472C5"/>
    <w:rsid w:val="00B4761A"/>
    <w:rsid w:val="00B477F6"/>
    <w:rsid w:val="00B47B51"/>
    <w:rsid w:val="00B47C71"/>
    <w:rsid w:val="00B47C84"/>
    <w:rsid w:val="00B47EFC"/>
    <w:rsid w:val="00B47F0C"/>
    <w:rsid w:val="00B5003D"/>
    <w:rsid w:val="00B50073"/>
    <w:rsid w:val="00B500EC"/>
    <w:rsid w:val="00B5033F"/>
    <w:rsid w:val="00B50348"/>
    <w:rsid w:val="00B506C3"/>
    <w:rsid w:val="00B508E7"/>
    <w:rsid w:val="00B50AF9"/>
    <w:rsid w:val="00B50C41"/>
    <w:rsid w:val="00B50FAB"/>
    <w:rsid w:val="00B51413"/>
    <w:rsid w:val="00B515EC"/>
    <w:rsid w:val="00B516A8"/>
    <w:rsid w:val="00B518C1"/>
    <w:rsid w:val="00B51AEE"/>
    <w:rsid w:val="00B51CBE"/>
    <w:rsid w:val="00B52B61"/>
    <w:rsid w:val="00B52EA3"/>
    <w:rsid w:val="00B52F99"/>
    <w:rsid w:val="00B53407"/>
    <w:rsid w:val="00B53474"/>
    <w:rsid w:val="00B5363A"/>
    <w:rsid w:val="00B538E5"/>
    <w:rsid w:val="00B538E8"/>
    <w:rsid w:val="00B5407A"/>
    <w:rsid w:val="00B54746"/>
    <w:rsid w:val="00B54BC2"/>
    <w:rsid w:val="00B54DD5"/>
    <w:rsid w:val="00B54F3B"/>
    <w:rsid w:val="00B55589"/>
    <w:rsid w:val="00B5565D"/>
    <w:rsid w:val="00B55847"/>
    <w:rsid w:val="00B55B12"/>
    <w:rsid w:val="00B55BCF"/>
    <w:rsid w:val="00B55D8F"/>
    <w:rsid w:val="00B55ECD"/>
    <w:rsid w:val="00B568B1"/>
    <w:rsid w:val="00B56A67"/>
    <w:rsid w:val="00B56B9D"/>
    <w:rsid w:val="00B56F79"/>
    <w:rsid w:val="00B5733D"/>
    <w:rsid w:val="00B57E89"/>
    <w:rsid w:val="00B603E4"/>
    <w:rsid w:val="00B60653"/>
    <w:rsid w:val="00B606DB"/>
    <w:rsid w:val="00B60A9B"/>
    <w:rsid w:val="00B60F03"/>
    <w:rsid w:val="00B6106B"/>
    <w:rsid w:val="00B615E9"/>
    <w:rsid w:val="00B61C7D"/>
    <w:rsid w:val="00B61CD3"/>
    <w:rsid w:val="00B61E1E"/>
    <w:rsid w:val="00B61E43"/>
    <w:rsid w:val="00B61F19"/>
    <w:rsid w:val="00B621DD"/>
    <w:rsid w:val="00B62406"/>
    <w:rsid w:val="00B62709"/>
    <w:rsid w:val="00B62722"/>
    <w:rsid w:val="00B62801"/>
    <w:rsid w:val="00B62DE9"/>
    <w:rsid w:val="00B633B1"/>
    <w:rsid w:val="00B63B7B"/>
    <w:rsid w:val="00B63F94"/>
    <w:rsid w:val="00B64028"/>
    <w:rsid w:val="00B64077"/>
    <w:rsid w:val="00B64096"/>
    <w:rsid w:val="00B6411A"/>
    <w:rsid w:val="00B64128"/>
    <w:rsid w:val="00B64408"/>
    <w:rsid w:val="00B647D0"/>
    <w:rsid w:val="00B64A8F"/>
    <w:rsid w:val="00B64DE5"/>
    <w:rsid w:val="00B652B3"/>
    <w:rsid w:val="00B65568"/>
    <w:rsid w:val="00B6562D"/>
    <w:rsid w:val="00B656DA"/>
    <w:rsid w:val="00B657D2"/>
    <w:rsid w:val="00B65A04"/>
    <w:rsid w:val="00B65C89"/>
    <w:rsid w:val="00B65CA0"/>
    <w:rsid w:val="00B65E00"/>
    <w:rsid w:val="00B661F7"/>
    <w:rsid w:val="00B66269"/>
    <w:rsid w:val="00B662E6"/>
    <w:rsid w:val="00B6653D"/>
    <w:rsid w:val="00B66653"/>
    <w:rsid w:val="00B66911"/>
    <w:rsid w:val="00B66A21"/>
    <w:rsid w:val="00B66C7C"/>
    <w:rsid w:val="00B676E1"/>
    <w:rsid w:val="00B67EBC"/>
    <w:rsid w:val="00B701F1"/>
    <w:rsid w:val="00B70B11"/>
    <w:rsid w:val="00B70B17"/>
    <w:rsid w:val="00B70BC5"/>
    <w:rsid w:val="00B71246"/>
    <w:rsid w:val="00B7143B"/>
    <w:rsid w:val="00B7155E"/>
    <w:rsid w:val="00B7180B"/>
    <w:rsid w:val="00B71AD2"/>
    <w:rsid w:val="00B71B03"/>
    <w:rsid w:val="00B71C90"/>
    <w:rsid w:val="00B727A3"/>
    <w:rsid w:val="00B7285C"/>
    <w:rsid w:val="00B729B2"/>
    <w:rsid w:val="00B73049"/>
    <w:rsid w:val="00B73702"/>
    <w:rsid w:val="00B73B4C"/>
    <w:rsid w:val="00B73DC1"/>
    <w:rsid w:val="00B73EA4"/>
    <w:rsid w:val="00B73F10"/>
    <w:rsid w:val="00B740D2"/>
    <w:rsid w:val="00B74665"/>
    <w:rsid w:val="00B746D1"/>
    <w:rsid w:val="00B75009"/>
    <w:rsid w:val="00B75203"/>
    <w:rsid w:val="00B7545C"/>
    <w:rsid w:val="00B75658"/>
    <w:rsid w:val="00B757EF"/>
    <w:rsid w:val="00B75E11"/>
    <w:rsid w:val="00B75E69"/>
    <w:rsid w:val="00B7654C"/>
    <w:rsid w:val="00B765CA"/>
    <w:rsid w:val="00B76653"/>
    <w:rsid w:val="00B76952"/>
    <w:rsid w:val="00B7699B"/>
    <w:rsid w:val="00B76B1F"/>
    <w:rsid w:val="00B76C01"/>
    <w:rsid w:val="00B76DF9"/>
    <w:rsid w:val="00B76FE7"/>
    <w:rsid w:val="00B76FFB"/>
    <w:rsid w:val="00B770CC"/>
    <w:rsid w:val="00B77176"/>
    <w:rsid w:val="00B77359"/>
    <w:rsid w:val="00B7781C"/>
    <w:rsid w:val="00B77C67"/>
    <w:rsid w:val="00B801E7"/>
    <w:rsid w:val="00B808F0"/>
    <w:rsid w:val="00B80CF1"/>
    <w:rsid w:val="00B80E4D"/>
    <w:rsid w:val="00B80F7D"/>
    <w:rsid w:val="00B811AC"/>
    <w:rsid w:val="00B81240"/>
    <w:rsid w:val="00B81497"/>
    <w:rsid w:val="00B81DB2"/>
    <w:rsid w:val="00B8210C"/>
    <w:rsid w:val="00B82DD4"/>
    <w:rsid w:val="00B833DB"/>
    <w:rsid w:val="00B83689"/>
    <w:rsid w:val="00B836DA"/>
    <w:rsid w:val="00B83B82"/>
    <w:rsid w:val="00B83CA0"/>
    <w:rsid w:val="00B84100"/>
    <w:rsid w:val="00B84512"/>
    <w:rsid w:val="00B84649"/>
    <w:rsid w:val="00B8467F"/>
    <w:rsid w:val="00B8529D"/>
    <w:rsid w:val="00B8555F"/>
    <w:rsid w:val="00B857FF"/>
    <w:rsid w:val="00B860FF"/>
    <w:rsid w:val="00B861AD"/>
    <w:rsid w:val="00B862DA"/>
    <w:rsid w:val="00B8634A"/>
    <w:rsid w:val="00B8656A"/>
    <w:rsid w:val="00B86908"/>
    <w:rsid w:val="00B86CEE"/>
    <w:rsid w:val="00B86DAF"/>
    <w:rsid w:val="00B871CF"/>
    <w:rsid w:val="00B87345"/>
    <w:rsid w:val="00B87B3A"/>
    <w:rsid w:val="00B90625"/>
    <w:rsid w:val="00B908BE"/>
    <w:rsid w:val="00B90DA3"/>
    <w:rsid w:val="00B91085"/>
    <w:rsid w:val="00B910B2"/>
    <w:rsid w:val="00B910C7"/>
    <w:rsid w:val="00B913EF"/>
    <w:rsid w:val="00B9177F"/>
    <w:rsid w:val="00B91DD5"/>
    <w:rsid w:val="00B91E8B"/>
    <w:rsid w:val="00B9204C"/>
    <w:rsid w:val="00B920C1"/>
    <w:rsid w:val="00B9210A"/>
    <w:rsid w:val="00B921C0"/>
    <w:rsid w:val="00B92388"/>
    <w:rsid w:val="00B92396"/>
    <w:rsid w:val="00B92837"/>
    <w:rsid w:val="00B93068"/>
    <w:rsid w:val="00B93175"/>
    <w:rsid w:val="00B9329C"/>
    <w:rsid w:val="00B9354B"/>
    <w:rsid w:val="00B939BE"/>
    <w:rsid w:val="00B9423C"/>
    <w:rsid w:val="00B942C0"/>
    <w:rsid w:val="00B94AC6"/>
    <w:rsid w:val="00B94B4C"/>
    <w:rsid w:val="00B94B52"/>
    <w:rsid w:val="00B94FBD"/>
    <w:rsid w:val="00B954F3"/>
    <w:rsid w:val="00B95731"/>
    <w:rsid w:val="00B95814"/>
    <w:rsid w:val="00B958CF"/>
    <w:rsid w:val="00B962A0"/>
    <w:rsid w:val="00B9643C"/>
    <w:rsid w:val="00B965F7"/>
    <w:rsid w:val="00B96952"/>
    <w:rsid w:val="00B96BCE"/>
    <w:rsid w:val="00B96C3E"/>
    <w:rsid w:val="00B96EED"/>
    <w:rsid w:val="00B970D5"/>
    <w:rsid w:val="00B971AF"/>
    <w:rsid w:val="00B9751E"/>
    <w:rsid w:val="00B9758A"/>
    <w:rsid w:val="00B97A02"/>
    <w:rsid w:val="00BA0456"/>
    <w:rsid w:val="00BA06BD"/>
    <w:rsid w:val="00BA0CCF"/>
    <w:rsid w:val="00BA0F11"/>
    <w:rsid w:val="00BA0F4B"/>
    <w:rsid w:val="00BA1018"/>
    <w:rsid w:val="00BA1070"/>
    <w:rsid w:val="00BA10C0"/>
    <w:rsid w:val="00BA1105"/>
    <w:rsid w:val="00BA15B4"/>
    <w:rsid w:val="00BA19D9"/>
    <w:rsid w:val="00BA1AB9"/>
    <w:rsid w:val="00BA1C46"/>
    <w:rsid w:val="00BA1FAA"/>
    <w:rsid w:val="00BA276F"/>
    <w:rsid w:val="00BA27BE"/>
    <w:rsid w:val="00BA27DA"/>
    <w:rsid w:val="00BA293A"/>
    <w:rsid w:val="00BA2C85"/>
    <w:rsid w:val="00BA2D97"/>
    <w:rsid w:val="00BA2DC7"/>
    <w:rsid w:val="00BA30A9"/>
    <w:rsid w:val="00BA31B2"/>
    <w:rsid w:val="00BA328F"/>
    <w:rsid w:val="00BA3A0B"/>
    <w:rsid w:val="00BA3C0D"/>
    <w:rsid w:val="00BA3D91"/>
    <w:rsid w:val="00BA40C2"/>
    <w:rsid w:val="00BA4315"/>
    <w:rsid w:val="00BA43DB"/>
    <w:rsid w:val="00BA5356"/>
    <w:rsid w:val="00BA55D7"/>
    <w:rsid w:val="00BA56E7"/>
    <w:rsid w:val="00BA5826"/>
    <w:rsid w:val="00BA5A95"/>
    <w:rsid w:val="00BA5FB8"/>
    <w:rsid w:val="00BA628F"/>
    <w:rsid w:val="00BA66EE"/>
    <w:rsid w:val="00BA6982"/>
    <w:rsid w:val="00BA6B58"/>
    <w:rsid w:val="00BA750E"/>
    <w:rsid w:val="00BA76C1"/>
    <w:rsid w:val="00BA773C"/>
    <w:rsid w:val="00BA781B"/>
    <w:rsid w:val="00BA7898"/>
    <w:rsid w:val="00BA7A72"/>
    <w:rsid w:val="00BA7E6C"/>
    <w:rsid w:val="00BA7FF0"/>
    <w:rsid w:val="00BB02A6"/>
    <w:rsid w:val="00BB032A"/>
    <w:rsid w:val="00BB064C"/>
    <w:rsid w:val="00BB0C6A"/>
    <w:rsid w:val="00BB1227"/>
    <w:rsid w:val="00BB1402"/>
    <w:rsid w:val="00BB15F3"/>
    <w:rsid w:val="00BB1B92"/>
    <w:rsid w:val="00BB1BED"/>
    <w:rsid w:val="00BB1C92"/>
    <w:rsid w:val="00BB1CF4"/>
    <w:rsid w:val="00BB1EC0"/>
    <w:rsid w:val="00BB1F2B"/>
    <w:rsid w:val="00BB2E8E"/>
    <w:rsid w:val="00BB3421"/>
    <w:rsid w:val="00BB3BA5"/>
    <w:rsid w:val="00BB3EDE"/>
    <w:rsid w:val="00BB428B"/>
    <w:rsid w:val="00BB43B9"/>
    <w:rsid w:val="00BB43E9"/>
    <w:rsid w:val="00BB4515"/>
    <w:rsid w:val="00BB493A"/>
    <w:rsid w:val="00BB4C77"/>
    <w:rsid w:val="00BB50B4"/>
    <w:rsid w:val="00BB5228"/>
    <w:rsid w:val="00BB54BC"/>
    <w:rsid w:val="00BB5DE4"/>
    <w:rsid w:val="00BB63DD"/>
    <w:rsid w:val="00BB677B"/>
    <w:rsid w:val="00BB68CA"/>
    <w:rsid w:val="00BB6AE1"/>
    <w:rsid w:val="00BB6C60"/>
    <w:rsid w:val="00BB7A61"/>
    <w:rsid w:val="00BB7C2E"/>
    <w:rsid w:val="00BB7FC8"/>
    <w:rsid w:val="00BC00B1"/>
    <w:rsid w:val="00BC0110"/>
    <w:rsid w:val="00BC0330"/>
    <w:rsid w:val="00BC0549"/>
    <w:rsid w:val="00BC0F13"/>
    <w:rsid w:val="00BC1865"/>
    <w:rsid w:val="00BC1C28"/>
    <w:rsid w:val="00BC1C8D"/>
    <w:rsid w:val="00BC1FBA"/>
    <w:rsid w:val="00BC260D"/>
    <w:rsid w:val="00BC2875"/>
    <w:rsid w:val="00BC2D68"/>
    <w:rsid w:val="00BC2E82"/>
    <w:rsid w:val="00BC3268"/>
    <w:rsid w:val="00BC3300"/>
    <w:rsid w:val="00BC3314"/>
    <w:rsid w:val="00BC351B"/>
    <w:rsid w:val="00BC3527"/>
    <w:rsid w:val="00BC35B1"/>
    <w:rsid w:val="00BC376C"/>
    <w:rsid w:val="00BC4127"/>
    <w:rsid w:val="00BC485F"/>
    <w:rsid w:val="00BC4AFE"/>
    <w:rsid w:val="00BC4B08"/>
    <w:rsid w:val="00BC4DD3"/>
    <w:rsid w:val="00BC4EA5"/>
    <w:rsid w:val="00BC4FEA"/>
    <w:rsid w:val="00BC514D"/>
    <w:rsid w:val="00BC544B"/>
    <w:rsid w:val="00BC563C"/>
    <w:rsid w:val="00BC58F5"/>
    <w:rsid w:val="00BC5DC5"/>
    <w:rsid w:val="00BC5E2E"/>
    <w:rsid w:val="00BC5FFD"/>
    <w:rsid w:val="00BC6173"/>
    <w:rsid w:val="00BC66C0"/>
    <w:rsid w:val="00BC6A8A"/>
    <w:rsid w:val="00BC7421"/>
    <w:rsid w:val="00BC7585"/>
    <w:rsid w:val="00BC7726"/>
    <w:rsid w:val="00BC7CB6"/>
    <w:rsid w:val="00BD0435"/>
    <w:rsid w:val="00BD07C0"/>
    <w:rsid w:val="00BD1337"/>
    <w:rsid w:val="00BD1B78"/>
    <w:rsid w:val="00BD1C43"/>
    <w:rsid w:val="00BD1C53"/>
    <w:rsid w:val="00BD1D60"/>
    <w:rsid w:val="00BD2181"/>
    <w:rsid w:val="00BD23C3"/>
    <w:rsid w:val="00BD29F7"/>
    <w:rsid w:val="00BD2A9E"/>
    <w:rsid w:val="00BD2CD2"/>
    <w:rsid w:val="00BD2DC9"/>
    <w:rsid w:val="00BD3067"/>
    <w:rsid w:val="00BD3928"/>
    <w:rsid w:val="00BD3949"/>
    <w:rsid w:val="00BD3D13"/>
    <w:rsid w:val="00BD3FFC"/>
    <w:rsid w:val="00BD41FC"/>
    <w:rsid w:val="00BD54CC"/>
    <w:rsid w:val="00BD5726"/>
    <w:rsid w:val="00BD5E2D"/>
    <w:rsid w:val="00BD6787"/>
    <w:rsid w:val="00BD67FE"/>
    <w:rsid w:val="00BD6E92"/>
    <w:rsid w:val="00BD7304"/>
    <w:rsid w:val="00BD754B"/>
    <w:rsid w:val="00BD76FF"/>
    <w:rsid w:val="00BD77AC"/>
    <w:rsid w:val="00BD7875"/>
    <w:rsid w:val="00BD7BC6"/>
    <w:rsid w:val="00BD7F68"/>
    <w:rsid w:val="00BE00B4"/>
    <w:rsid w:val="00BE02F5"/>
    <w:rsid w:val="00BE075A"/>
    <w:rsid w:val="00BE09C3"/>
    <w:rsid w:val="00BE0CEE"/>
    <w:rsid w:val="00BE0D73"/>
    <w:rsid w:val="00BE0E3F"/>
    <w:rsid w:val="00BE1077"/>
    <w:rsid w:val="00BE1158"/>
    <w:rsid w:val="00BE13A9"/>
    <w:rsid w:val="00BE1415"/>
    <w:rsid w:val="00BE15DD"/>
    <w:rsid w:val="00BE16DB"/>
    <w:rsid w:val="00BE175E"/>
    <w:rsid w:val="00BE1FC0"/>
    <w:rsid w:val="00BE250F"/>
    <w:rsid w:val="00BE25C0"/>
    <w:rsid w:val="00BE2639"/>
    <w:rsid w:val="00BE299F"/>
    <w:rsid w:val="00BE2BF1"/>
    <w:rsid w:val="00BE2C48"/>
    <w:rsid w:val="00BE3102"/>
    <w:rsid w:val="00BE3248"/>
    <w:rsid w:val="00BE32CE"/>
    <w:rsid w:val="00BE3525"/>
    <w:rsid w:val="00BE38FA"/>
    <w:rsid w:val="00BE3EB6"/>
    <w:rsid w:val="00BE3F93"/>
    <w:rsid w:val="00BE409F"/>
    <w:rsid w:val="00BE4518"/>
    <w:rsid w:val="00BE4756"/>
    <w:rsid w:val="00BE4C3C"/>
    <w:rsid w:val="00BE4EC4"/>
    <w:rsid w:val="00BE520D"/>
    <w:rsid w:val="00BE520F"/>
    <w:rsid w:val="00BE53B6"/>
    <w:rsid w:val="00BE54F3"/>
    <w:rsid w:val="00BE556B"/>
    <w:rsid w:val="00BE57BA"/>
    <w:rsid w:val="00BE5884"/>
    <w:rsid w:val="00BE5907"/>
    <w:rsid w:val="00BE591B"/>
    <w:rsid w:val="00BE5A20"/>
    <w:rsid w:val="00BE5E65"/>
    <w:rsid w:val="00BE652E"/>
    <w:rsid w:val="00BE6DF8"/>
    <w:rsid w:val="00BE7107"/>
    <w:rsid w:val="00BE71AA"/>
    <w:rsid w:val="00BE73F1"/>
    <w:rsid w:val="00BE7442"/>
    <w:rsid w:val="00BE749D"/>
    <w:rsid w:val="00BE787B"/>
    <w:rsid w:val="00BE78BD"/>
    <w:rsid w:val="00BE7D76"/>
    <w:rsid w:val="00BE7E38"/>
    <w:rsid w:val="00BF00E3"/>
    <w:rsid w:val="00BF0360"/>
    <w:rsid w:val="00BF065E"/>
    <w:rsid w:val="00BF0AD0"/>
    <w:rsid w:val="00BF0CFF"/>
    <w:rsid w:val="00BF1100"/>
    <w:rsid w:val="00BF1437"/>
    <w:rsid w:val="00BF14FB"/>
    <w:rsid w:val="00BF170C"/>
    <w:rsid w:val="00BF1975"/>
    <w:rsid w:val="00BF1F1D"/>
    <w:rsid w:val="00BF236E"/>
    <w:rsid w:val="00BF2876"/>
    <w:rsid w:val="00BF28AD"/>
    <w:rsid w:val="00BF3285"/>
    <w:rsid w:val="00BF3A61"/>
    <w:rsid w:val="00BF3A90"/>
    <w:rsid w:val="00BF435E"/>
    <w:rsid w:val="00BF44C7"/>
    <w:rsid w:val="00BF456C"/>
    <w:rsid w:val="00BF467C"/>
    <w:rsid w:val="00BF4F6E"/>
    <w:rsid w:val="00BF551D"/>
    <w:rsid w:val="00BF587B"/>
    <w:rsid w:val="00BF5994"/>
    <w:rsid w:val="00BF5A56"/>
    <w:rsid w:val="00BF5BCE"/>
    <w:rsid w:val="00BF5CD1"/>
    <w:rsid w:val="00BF60CD"/>
    <w:rsid w:val="00BF6791"/>
    <w:rsid w:val="00BF6B2A"/>
    <w:rsid w:val="00BF6C29"/>
    <w:rsid w:val="00BF7B57"/>
    <w:rsid w:val="00C000B6"/>
    <w:rsid w:val="00C00490"/>
    <w:rsid w:val="00C00559"/>
    <w:rsid w:val="00C00C39"/>
    <w:rsid w:val="00C00D6F"/>
    <w:rsid w:val="00C0118C"/>
    <w:rsid w:val="00C01560"/>
    <w:rsid w:val="00C01691"/>
    <w:rsid w:val="00C018AA"/>
    <w:rsid w:val="00C01B3C"/>
    <w:rsid w:val="00C01CE4"/>
    <w:rsid w:val="00C01F28"/>
    <w:rsid w:val="00C0210B"/>
    <w:rsid w:val="00C021B6"/>
    <w:rsid w:val="00C023E5"/>
    <w:rsid w:val="00C0268E"/>
    <w:rsid w:val="00C02A41"/>
    <w:rsid w:val="00C02D03"/>
    <w:rsid w:val="00C02E6A"/>
    <w:rsid w:val="00C02FD1"/>
    <w:rsid w:val="00C034D4"/>
    <w:rsid w:val="00C03630"/>
    <w:rsid w:val="00C03B48"/>
    <w:rsid w:val="00C03D70"/>
    <w:rsid w:val="00C04F1E"/>
    <w:rsid w:val="00C050FC"/>
    <w:rsid w:val="00C05336"/>
    <w:rsid w:val="00C05B3E"/>
    <w:rsid w:val="00C05B7F"/>
    <w:rsid w:val="00C06339"/>
    <w:rsid w:val="00C0687E"/>
    <w:rsid w:val="00C06910"/>
    <w:rsid w:val="00C06936"/>
    <w:rsid w:val="00C06D9E"/>
    <w:rsid w:val="00C06DA6"/>
    <w:rsid w:val="00C06EE4"/>
    <w:rsid w:val="00C06F8B"/>
    <w:rsid w:val="00C071D0"/>
    <w:rsid w:val="00C071FE"/>
    <w:rsid w:val="00C07258"/>
    <w:rsid w:val="00C07DDE"/>
    <w:rsid w:val="00C10213"/>
    <w:rsid w:val="00C1035C"/>
    <w:rsid w:val="00C10441"/>
    <w:rsid w:val="00C1062E"/>
    <w:rsid w:val="00C10A31"/>
    <w:rsid w:val="00C10D20"/>
    <w:rsid w:val="00C11426"/>
    <w:rsid w:val="00C11975"/>
    <w:rsid w:val="00C1208F"/>
    <w:rsid w:val="00C12A98"/>
    <w:rsid w:val="00C13056"/>
    <w:rsid w:val="00C13673"/>
    <w:rsid w:val="00C13D09"/>
    <w:rsid w:val="00C14536"/>
    <w:rsid w:val="00C145AE"/>
    <w:rsid w:val="00C14707"/>
    <w:rsid w:val="00C1477C"/>
    <w:rsid w:val="00C14DF3"/>
    <w:rsid w:val="00C14F63"/>
    <w:rsid w:val="00C1579A"/>
    <w:rsid w:val="00C15AEF"/>
    <w:rsid w:val="00C15CF1"/>
    <w:rsid w:val="00C15D27"/>
    <w:rsid w:val="00C15FFA"/>
    <w:rsid w:val="00C16825"/>
    <w:rsid w:val="00C16B72"/>
    <w:rsid w:val="00C16B7D"/>
    <w:rsid w:val="00C17020"/>
    <w:rsid w:val="00C172EC"/>
    <w:rsid w:val="00C17557"/>
    <w:rsid w:val="00C17589"/>
    <w:rsid w:val="00C175E7"/>
    <w:rsid w:val="00C17865"/>
    <w:rsid w:val="00C17A8B"/>
    <w:rsid w:val="00C20206"/>
    <w:rsid w:val="00C206CF"/>
    <w:rsid w:val="00C206EE"/>
    <w:rsid w:val="00C20979"/>
    <w:rsid w:val="00C20B23"/>
    <w:rsid w:val="00C20C7B"/>
    <w:rsid w:val="00C20DCE"/>
    <w:rsid w:val="00C2105C"/>
    <w:rsid w:val="00C213BE"/>
    <w:rsid w:val="00C21887"/>
    <w:rsid w:val="00C2193D"/>
    <w:rsid w:val="00C21AA4"/>
    <w:rsid w:val="00C21FA4"/>
    <w:rsid w:val="00C21FA6"/>
    <w:rsid w:val="00C22139"/>
    <w:rsid w:val="00C22186"/>
    <w:rsid w:val="00C22364"/>
    <w:rsid w:val="00C22406"/>
    <w:rsid w:val="00C22C31"/>
    <w:rsid w:val="00C22C88"/>
    <w:rsid w:val="00C22E57"/>
    <w:rsid w:val="00C22EDE"/>
    <w:rsid w:val="00C23673"/>
    <w:rsid w:val="00C23F36"/>
    <w:rsid w:val="00C24742"/>
    <w:rsid w:val="00C247F4"/>
    <w:rsid w:val="00C2486F"/>
    <w:rsid w:val="00C25355"/>
    <w:rsid w:val="00C2580E"/>
    <w:rsid w:val="00C259FF"/>
    <w:rsid w:val="00C25B22"/>
    <w:rsid w:val="00C2633F"/>
    <w:rsid w:val="00C26548"/>
    <w:rsid w:val="00C26B0A"/>
    <w:rsid w:val="00C26DCD"/>
    <w:rsid w:val="00C27039"/>
    <w:rsid w:val="00C271F4"/>
    <w:rsid w:val="00C27291"/>
    <w:rsid w:val="00C2745E"/>
    <w:rsid w:val="00C278CC"/>
    <w:rsid w:val="00C27A76"/>
    <w:rsid w:val="00C27CD9"/>
    <w:rsid w:val="00C27EC4"/>
    <w:rsid w:val="00C27FAE"/>
    <w:rsid w:val="00C3020B"/>
    <w:rsid w:val="00C30261"/>
    <w:rsid w:val="00C3035A"/>
    <w:rsid w:val="00C306C7"/>
    <w:rsid w:val="00C3072E"/>
    <w:rsid w:val="00C309FA"/>
    <w:rsid w:val="00C30C20"/>
    <w:rsid w:val="00C30E1B"/>
    <w:rsid w:val="00C310DF"/>
    <w:rsid w:val="00C31501"/>
    <w:rsid w:val="00C32647"/>
    <w:rsid w:val="00C327B7"/>
    <w:rsid w:val="00C32F4A"/>
    <w:rsid w:val="00C33156"/>
    <w:rsid w:val="00C33193"/>
    <w:rsid w:val="00C332A5"/>
    <w:rsid w:val="00C333CF"/>
    <w:rsid w:val="00C33467"/>
    <w:rsid w:val="00C33510"/>
    <w:rsid w:val="00C3393A"/>
    <w:rsid w:val="00C33EE0"/>
    <w:rsid w:val="00C34140"/>
    <w:rsid w:val="00C34210"/>
    <w:rsid w:val="00C34752"/>
    <w:rsid w:val="00C349C4"/>
    <w:rsid w:val="00C34E26"/>
    <w:rsid w:val="00C34E85"/>
    <w:rsid w:val="00C34FB5"/>
    <w:rsid w:val="00C3504D"/>
    <w:rsid w:val="00C35238"/>
    <w:rsid w:val="00C3570C"/>
    <w:rsid w:val="00C35794"/>
    <w:rsid w:val="00C35A69"/>
    <w:rsid w:val="00C35CCD"/>
    <w:rsid w:val="00C35F5D"/>
    <w:rsid w:val="00C36072"/>
    <w:rsid w:val="00C3617A"/>
    <w:rsid w:val="00C362E3"/>
    <w:rsid w:val="00C36807"/>
    <w:rsid w:val="00C3726D"/>
    <w:rsid w:val="00C37453"/>
    <w:rsid w:val="00C378DB"/>
    <w:rsid w:val="00C37BA7"/>
    <w:rsid w:val="00C37C98"/>
    <w:rsid w:val="00C37F40"/>
    <w:rsid w:val="00C37F58"/>
    <w:rsid w:val="00C37FF6"/>
    <w:rsid w:val="00C404EF"/>
    <w:rsid w:val="00C4094A"/>
    <w:rsid w:val="00C40E4A"/>
    <w:rsid w:val="00C4129A"/>
    <w:rsid w:val="00C413AC"/>
    <w:rsid w:val="00C41509"/>
    <w:rsid w:val="00C41CF2"/>
    <w:rsid w:val="00C41DC1"/>
    <w:rsid w:val="00C42216"/>
    <w:rsid w:val="00C423BF"/>
    <w:rsid w:val="00C429A2"/>
    <w:rsid w:val="00C43028"/>
    <w:rsid w:val="00C43139"/>
    <w:rsid w:val="00C431C3"/>
    <w:rsid w:val="00C43336"/>
    <w:rsid w:val="00C43393"/>
    <w:rsid w:val="00C43AAC"/>
    <w:rsid w:val="00C43C35"/>
    <w:rsid w:val="00C43EFB"/>
    <w:rsid w:val="00C43F5F"/>
    <w:rsid w:val="00C44BAF"/>
    <w:rsid w:val="00C44BB0"/>
    <w:rsid w:val="00C45187"/>
    <w:rsid w:val="00C45215"/>
    <w:rsid w:val="00C4570E"/>
    <w:rsid w:val="00C45A86"/>
    <w:rsid w:val="00C45D1F"/>
    <w:rsid w:val="00C45ED3"/>
    <w:rsid w:val="00C4605C"/>
    <w:rsid w:val="00C46218"/>
    <w:rsid w:val="00C46A15"/>
    <w:rsid w:val="00C46A31"/>
    <w:rsid w:val="00C46AD1"/>
    <w:rsid w:val="00C46CB4"/>
    <w:rsid w:val="00C4718D"/>
    <w:rsid w:val="00C47454"/>
    <w:rsid w:val="00C47646"/>
    <w:rsid w:val="00C47A73"/>
    <w:rsid w:val="00C47BE8"/>
    <w:rsid w:val="00C47CDD"/>
    <w:rsid w:val="00C47E00"/>
    <w:rsid w:val="00C50C9E"/>
    <w:rsid w:val="00C50D23"/>
    <w:rsid w:val="00C51684"/>
    <w:rsid w:val="00C5185B"/>
    <w:rsid w:val="00C52B80"/>
    <w:rsid w:val="00C52C9C"/>
    <w:rsid w:val="00C52CE9"/>
    <w:rsid w:val="00C52E18"/>
    <w:rsid w:val="00C52F5D"/>
    <w:rsid w:val="00C53578"/>
    <w:rsid w:val="00C536DB"/>
    <w:rsid w:val="00C53743"/>
    <w:rsid w:val="00C53830"/>
    <w:rsid w:val="00C53D11"/>
    <w:rsid w:val="00C53E93"/>
    <w:rsid w:val="00C54201"/>
    <w:rsid w:val="00C54275"/>
    <w:rsid w:val="00C542F1"/>
    <w:rsid w:val="00C54646"/>
    <w:rsid w:val="00C54F9D"/>
    <w:rsid w:val="00C550C3"/>
    <w:rsid w:val="00C55135"/>
    <w:rsid w:val="00C557F0"/>
    <w:rsid w:val="00C5584C"/>
    <w:rsid w:val="00C55C55"/>
    <w:rsid w:val="00C55D28"/>
    <w:rsid w:val="00C55EE3"/>
    <w:rsid w:val="00C56BAE"/>
    <w:rsid w:val="00C56C9D"/>
    <w:rsid w:val="00C56DC5"/>
    <w:rsid w:val="00C57306"/>
    <w:rsid w:val="00C575A8"/>
    <w:rsid w:val="00C57620"/>
    <w:rsid w:val="00C6018B"/>
    <w:rsid w:val="00C60678"/>
    <w:rsid w:val="00C60898"/>
    <w:rsid w:val="00C60A67"/>
    <w:rsid w:val="00C60A83"/>
    <w:rsid w:val="00C60D3D"/>
    <w:rsid w:val="00C6129D"/>
    <w:rsid w:val="00C61332"/>
    <w:rsid w:val="00C61940"/>
    <w:rsid w:val="00C61A27"/>
    <w:rsid w:val="00C61B55"/>
    <w:rsid w:val="00C61EE6"/>
    <w:rsid w:val="00C61FCD"/>
    <w:rsid w:val="00C6236F"/>
    <w:rsid w:val="00C6240B"/>
    <w:rsid w:val="00C62EA0"/>
    <w:rsid w:val="00C63130"/>
    <w:rsid w:val="00C6327C"/>
    <w:rsid w:val="00C632B6"/>
    <w:rsid w:val="00C63322"/>
    <w:rsid w:val="00C63E1F"/>
    <w:rsid w:val="00C64A3B"/>
    <w:rsid w:val="00C64BB3"/>
    <w:rsid w:val="00C64CC6"/>
    <w:rsid w:val="00C650D8"/>
    <w:rsid w:val="00C6589D"/>
    <w:rsid w:val="00C6596C"/>
    <w:rsid w:val="00C65BEE"/>
    <w:rsid w:val="00C65BF2"/>
    <w:rsid w:val="00C65E12"/>
    <w:rsid w:val="00C66376"/>
    <w:rsid w:val="00C66581"/>
    <w:rsid w:val="00C66B31"/>
    <w:rsid w:val="00C67869"/>
    <w:rsid w:val="00C67C82"/>
    <w:rsid w:val="00C7069E"/>
    <w:rsid w:val="00C70B3F"/>
    <w:rsid w:val="00C70C59"/>
    <w:rsid w:val="00C70E81"/>
    <w:rsid w:val="00C71290"/>
    <w:rsid w:val="00C712FF"/>
    <w:rsid w:val="00C71695"/>
    <w:rsid w:val="00C71865"/>
    <w:rsid w:val="00C719F0"/>
    <w:rsid w:val="00C71A13"/>
    <w:rsid w:val="00C71C2A"/>
    <w:rsid w:val="00C7215B"/>
    <w:rsid w:val="00C721BD"/>
    <w:rsid w:val="00C72232"/>
    <w:rsid w:val="00C72A82"/>
    <w:rsid w:val="00C72FE9"/>
    <w:rsid w:val="00C73267"/>
    <w:rsid w:val="00C734C3"/>
    <w:rsid w:val="00C73554"/>
    <w:rsid w:val="00C735BE"/>
    <w:rsid w:val="00C736CC"/>
    <w:rsid w:val="00C7377A"/>
    <w:rsid w:val="00C73C97"/>
    <w:rsid w:val="00C73F15"/>
    <w:rsid w:val="00C742F7"/>
    <w:rsid w:val="00C743F7"/>
    <w:rsid w:val="00C748AA"/>
    <w:rsid w:val="00C74921"/>
    <w:rsid w:val="00C74BB0"/>
    <w:rsid w:val="00C74BD9"/>
    <w:rsid w:val="00C75025"/>
    <w:rsid w:val="00C75100"/>
    <w:rsid w:val="00C7554F"/>
    <w:rsid w:val="00C75A51"/>
    <w:rsid w:val="00C75F13"/>
    <w:rsid w:val="00C76049"/>
    <w:rsid w:val="00C76728"/>
    <w:rsid w:val="00C7674E"/>
    <w:rsid w:val="00C76848"/>
    <w:rsid w:val="00C76960"/>
    <w:rsid w:val="00C76B6B"/>
    <w:rsid w:val="00C76E15"/>
    <w:rsid w:val="00C7752D"/>
    <w:rsid w:val="00C77C14"/>
    <w:rsid w:val="00C808CA"/>
    <w:rsid w:val="00C80AF6"/>
    <w:rsid w:val="00C80B5D"/>
    <w:rsid w:val="00C80B8C"/>
    <w:rsid w:val="00C80DE5"/>
    <w:rsid w:val="00C811E4"/>
    <w:rsid w:val="00C812F5"/>
    <w:rsid w:val="00C81453"/>
    <w:rsid w:val="00C81687"/>
    <w:rsid w:val="00C8169A"/>
    <w:rsid w:val="00C81C70"/>
    <w:rsid w:val="00C822BA"/>
    <w:rsid w:val="00C82565"/>
    <w:rsid w:val="00C826D3"/>
    <w:rsid w:val="00C829D8"/>
    <w:rsid w:val="00C82F50"/>
    <w:rsid w:val="00C835EA"/>
    <w:rsid w:val="00C837EC"/>
    <w:rsid w:val="00C838E7"/>
    <w:rsid w:val="00C839E4"/>
    <w:rsid w:val="00C84069"/>
    <w:rsid w:val="00C84290"/>
    <w:rsid w:val="00C842FC"/>
    <w:rsid w:val="00C8452D"/>
    <w:rsid w:val="00C84A9A"/>
    <w:rsid w:val="00C84C66"/>
    <w:rsid w:val="00C84FA6"/>
    <w:rsid w:val="00C853A5"/>
    <w:rsid w:val="00C8559B"/>
    <w:rsid w:val="00C855B8"/>
    <w:rsid w:val="00C856CE"/>
    <w:rsid w:val="00C85861"/>
    <w:rsid w:val="00C85D10"/>
    <w:rsid w:val="00C85F85"/>
    <w:rsid w:val="00C85FD1"/>
    <w:rsid w:val="00C86414"/>
    <w:rsid w:val="00C864C4"/>
    <w:rsid w:val="00C866B8"/>
    <w:rsid w:val="00C86763"/>
    <w:rsid w:val="00C86951"/>
    <w:rsid w:val="00C86B60"/>
    <w:rsid w:val="00C86D0D"/>
    <w:rsid w:val="00C86D10"/>
    <w:rsid w:val="00C86F45"/>
    <w:rsid w:val="00C86FB0"/>
    <w:rsid w:val="00C87671"/>
    <w:rsid w:val="00C87810"/>
    <w:rsid w:val="00C8796C"/>
    <w:rsid w:val="00C87B04"/>
    <w:rsid w:val="00C87B79"/>
    <w:rsid w:val="00C87FFD"/>
    <w:rsid w:val="00C90AFA"/>
    <w:rsid w:val="00C91037"/>
    <w:rsid w:val="00C91D7B"/>
    <w:rsid w:val="00C91DE2"/>
    <w:rsid w:val="00C91F29"/>
    <w:rsid w:val="00C921CB"/>
    <w:rsid w:val="00C923E3"/>
    <w:rsid w:val="00C924D9"/>
    <w:rsid w:val="00C92A51"/>
    <w:rsid w:val="00C92B2A"/>
    <w:rsid w:val="00C92C67"/>
    <w:rsid w:val="00C92DC3"/>
    <w:rsid w:val="00C92EC4"/>
    <w:rsid w:val="00C92ED3"/>
    <w:rsid w:val="00C93743"/>
    <w:rsid w:val="00C93A12"/>
    <w:rsid w:val="00C93CC6"/>
    <w:rsid w:val="00C94436"/>
    <w:rsid w:val="00C945E1"/>
    <w:rsid w:val="00C94613"/>
    <w:rsid w:val="00C94CB3"/>
    <w:rsid w:val="00C957F2"/>
    <w:rsid w:val="00C95C96"/>
    <w:rsid w:val="00C95D17"/>
    <w:rsid w:val="00C96342"/>
    <w:rsid w:val="00C96B25"/>
    <w:rsid w:val="00C96C07"/>
    <w:rsid w:val="00C96D6F"/>
    <w:rsid w:val="00C96D94"/>
    <w:rsid w:val="00C96E94"/>
    <w:rsid w:val="00C9749C"/>
    <w:rsid w:val="00C97774"/>
    <w:rsid w:val="00C978DF"/>
    <w:rsid w:val="00C97AE6"/>
    <w:rsid w:val="00C97C1D"/>
    <w:rsid w:val="00CA0894"/>
    <w:rsid w:val="00CA14F4"/>
    <w:rsid w:val="00CA1647"/>
    <w:rsid w:val="00CA17C5"/>
    <w:rsid w:val="00CA18C3"/>
    <w:rsid w:val="00CA1A69"/>
    <w:rsid w:val="00CA2218"/>
    <w:rsid w:val="00CA2319"/>
    <w:rsid w:val="00CA29C5"/>
    <w:rsid w:val="00CA2A38"/>
    <w:rsid w:val="00CA2A45"/>
    <w:rsid w:val="00CA2C8B"/>
    <w:rsid w:val="00CA2F15"/>
    <w:rsid w:val="00CA30D8"/>
    <w:rsid w:val="00CA34BA"/>
    <w:rsid w:val="00CA3C02"/>
    <w:rsid w:val="00CA3C62"/>
    <w:rsid w:val="00CA3C63"/>
    <w:rsid w:val="00CA3EB8"/>
    <w:rsid w:val="00CA3EED"/>
    <w:rsid w:val="00CA403F"/>
    <w:rsid w:val="00CA48CD"/>
    <w:rsid w:val="00CA5606"/>
    <w:rsid w:val="00CA5660"/>
    <w:rsid w:val="00CA5B3E"/>
    <w:rsid w:val="00CA5C18"/>
    <w:rsid w:val="00CA5ED4"/>
    <w:rsid w:val="00CA6098"/>
    <w:rsid w:val="00CA6437"/>
    <w:rsid w:val="00CA6688"/>
    <w:rsid w:val="00CA6C13"/>
    <w:rsid w:val="00CA6EFE"/>
    <w:rsid w:val="00CA7193"/>
    <w:rsid w:val="00CA78D3"/>
    <w:rsid w:val="00CA7BEF"/>
    <w:rsid w:val="00CA7D63"/>
    <w:rsid w:val="00CB02A8"/>
    <w:rsid w:val="00CB0431"/>
    <w:rsid w:val="00CB0711"/>
    <w:rsid w:val="00CB0CC3"/>
    <w:rsid w:val="00CB12AA"/>
    <w:rsid w:val="00CB1781"/>
    <w:rsid w:val="00CB1C15"/>
    <w:rsid w:val="00CB2486"/>
    <w:rsid w:val="00CB2527"/>
    <w:rsid w:val="00CB2636"/>
    <w:rsid w:val="00CB2877"/>
    <w:rsid w:val="00CB2936"/>
    <w:rsid w:val="00CB2A2F"/>
    <w:rsid w:val="00CB2A92"/>
    <w:rsid w:val="00CB2D1A"/>
    <w:rsid w:val="00CB2D26"/>
    <w:rsid w:val="00CB2DD3"/>
    <w:rsid w:val="00CB2E60"/>
    <w:rsid w:val="00CB312A"/>
    <w:rsid w:val="00CB358F"/>
    <w:rsid w:val="00CB38AC"/>
    <w:rsid w:val="00CB3C67"/>
    <w:rsid w:val="00CB45EE"/>
    <w:rsid w:val="00CB4DD8"/>
    <w:rsid w:val="00CB4F5C"/>
    <w:rsid w:val="00CB5092"/>
    <w:rsid w:val="00CB539B"/>
    <w:rsid w:val="00CB5608"/>
    <w:rsid w:val="00CB56F1"/>
    <w:rsid w:val="00CB5937"/>
    <w:rsid w:val="00CB59FD"/>
    <w:rsid w:val="00CB5B8A"/>
    <w:rsid w:val="00CB5D03"/>
    <w:rsid w:val="00CB5F59"/>
    <w:rsid w:val="00CB6144"/>
    <w:rsid w:val="00CB6D7E"/>
    <w:rsid w:val="00CB6E0F"/>
    <w:rsid w:val="00CB6EF4"/>
    <w:rsid w:val="00CB6FFF"/>
    <w:rsid w:val="00CB7190"/>
    <w:rsid w:val="00CB7658"/>
    <w:rsid w:val="00CB7689"/>
    <w:rsid w:val="00CB7774"/>
    <w:rsid w:val="00CB7E35"/>
    <w:rsid w:val="00CC0979"/>
    <w:rsid w:val="00CC09EC"/>
    <w:rsid w:val="00CC0F6C"/>
    <w:rsid w:val="00CC17AF"/>
    <w:rsid w:val="00CC1E18"/>
    <w:rsid w:val="00CC1FB3"/>
    <w:rsid w:val="00CC2150"/>
    <w:rsid w:val="00CC232D"/>
    <w:rsid w:val="00CC284A"/>
    <w:rsid w:val="00CC2B5E"/>
    <w:rsid w:val="00CC315B"/>
    <w:rsid w:val="00CC31AB"/>
    <w:rsid w:val="00CC3207"/>
    <w:rsid w:val="00CC3434"/>
    <w:rsid w:val="00CC3B42"/>
    <w:rsid w:val="00CC3FA3"/>
    <w:rsid w:val="00CC43B8"/>
    <w:rsid w:val="00CC4CC9"/>
    <w:rsid w:val="00CC4D29"/>
    <w:rsid w:val="00CC4D73"/>
    <w:rsid w:val="00CC4F16"/>
    <w:rsid w:val="00CC5C24"/>
    <w:rsid w:val="00CC5C74"/>
    <w:rsid w:val="00CC5D52"/>
    <w:rsid w:val="00CC5D66"/>
    <w:rsid w:val="00CC6108"/>
    <w:rsid w:val="00CC6E34"/>
    <w:rsid w:val="00CC6EFE"/>
    <w:rsid w:val="00CC7752"/>
    <w:rsid w:val="00CC775C"/>
    <w:rsid w:val="00CC7804"/>
    <w:rsid w:val="00CC78F3"/>
    <w:rsid w:val="00CC7A06"/>
    <w:rsid w:val="00CC7B7D"/>
    <w:rsid w:val="00CC7D16"/>
    <w:rsid w:val="00CC7F74"/>
    <w:rsid w:val="00CC7FFD"/>
    <w:rsid w:val="00CD0076"/>
    <w:rsid w:val="00CD0079"/>
    <w:rsid w:val="00CD035D"/>
    <w:rsid w:val="00CD051D"/>
    <w:rsid w:val="00CD0628"/>
    <w:rsid w:val="00CD0BC0"/>
    <w:rsid w:val="00CD0DFA"/>
    <w:rsid w:val="00CD0E2C"/>
    <w:rsid w:val="00CD0E52"/>
    <w:rsid w:val="00CD0EC1"/>
    <w:rsid w:val="00CD0EF4"/>
    <w:rsid w:val="00CD1178"/>
    <w:rsid w:val="00CD1207"/>
    <w:rsid w:val="00CD1284"/>
    <w:rsid w:val="00CD12E9"/>
    <w:rsid w:val="00CD1707"/>
    <w:rsid w:val="00CD1BFB"/>
    <w:rsid w:val="00CD1E8B"/>
    <w:rsid w:val="00CD2435"/>
    <w:rsid w:val="00CD2D82"/>
    <w:rsid w:val="00CD2EC2"/>
    <w:rsid w:val="00CD3090"/>
    <w:rsid w:val="00CD3249"/>
    <w:rsid w:val="00CD326F"/>
    <w:rsid w:val="00CD3292"/>
    <w:rsid w:val="00CD371D"/>
    <w:rsid w:val="00CD3D28"/>
    <w:rsid w:val="00CD3F14"/>
    <w:rsid w:val="00CD40CF"/>
    <w:rsid w:val="00CD44A3"/>
    <w:rsid w:val="00CD4516"/>
    <w:rsid w:val="00CD4533"/>
    <w:rsid w:val="00CD495E"/>
    <w:rsid w:val="00CD4A93"/>
    <w:rsid w:val="00CD4C66"/>
    <w:rsid w:val="00CD4D71"/>
    <w:rsid w:val="00CD5716"/>
    <w:rsid w:val="00CD585D"/>
    <w:rsid w:val="00CD5959"/>
    <w:rsid w:val="00CD5A10"/>
    <w:rsid w:val="00CD5B51"/>
    <w:rsid w:val="00CD5CE3"/>
    <w:rsid w:val="00CD6074"/>
    <w:rsid w:val="00CD61A3"/>
    <w:rsid w:val="00CD63FD"/>
    <w:rsid w:val="00CD6720"/>
    <w:rsid w:val="00CD6CFF"/>
    <w:rsid w:val="00CD6E39"/>
    <w:rsid w:val="00CD7472"/>
    <w:rsid w:val="00CD7601"/>
    <w:rsid w:val="00CD790B"/>
    <w:rsid w:val="00CD7C39"/>
    <w:rsid w:val="00CD7DC2"/>
    <w:rsid w:val="00CE09AA"/>
    <w:rsid w:val="00CE09D6"/>
    <w:rsid w:val="00CE0BF5"/>
    <w:rsid w:val="00CE0DBC"/>
    <w:rsid w:val="00CE10FA"/>
    <w:rsid w:val="00CE1151"/>
    <w:rsid w:val="00CE12C9"/>
    <w:rsid w:val="00CE1375"/>
    <w:rsid w:val="00CE17E6"/>
    <w:rsid w:val="00CE186E"/>
    <w:rsid w:val="00CE1CAD"/>
    <w:rsid w:val="00CE1CFC"/>
    <w:rsid w:val="00CE1E3A"/>
    <w:rsid w:val="00CE1FEC"/>
    <w:rsid w:val="00CE2370"/>
    <w:rsid w:val="00CE2439"/>
    <w:rsid w:val="00CE28C1"/>
    <w:rsid w:val="00CE2C91"/>
    <w:rsid w:val="00CE2F87"/>
    <w:rsid w:val="00CE319A"/>
    <w:rsid w:val="00CE3400"/>
    <w:rsid w:val="00CE3D2B"/>
    <w:rsid w:val="00CE4217"/>
    <w:rsid w:val="00CE4301"/>
    <w:rsid w:val="00CE49AD"/>
    <w:rsid w:val="00CE4A88"/>
    <w:rsid w:val="00CE4D28"/>
    <w:rsid w:val="00CE56D9"/>
    <w:rsid w:val="00CE5742"/>
    <w:rsid w:val="00CE5A6B"/>
    <w:rsid w:val="00CE5B5B"/>
    <w:rsid w:val="00CE5FDF"/>
    <w:rsid w:val="00CE663B"/>
    <w:rsid w:val="00CE680A"/>
    <w:rsid w:val="00CE6DAD"/>
    <w:rsid w:val="00CE6FE2"/>
    <w:rsid w:val="00CE7129"/>
    <w:rsid w:val="00CE74B1"/>
    <w:rsid w:val="00CE75F3"/>
    <w:rsid w:val="00CE76C6"/>
    <w:rsid w:val="00CE7BE1"/>
    <w:rsid w:val="00CE7ED3"/>
    <w:rsid w:val="00CF04B7"/>
    <w:rsid w:val="00CF0653"/>
    <w:rsid w:val="00CF067B"/>
    <w:rsid w:val="00CF0F59"/>
    <w:rsid w:val="00CF1180"/>
    <w:rsid w:val="00CF119F"/>
    <w:rsid w:val="00CF1508"/>
    <w:rsid w:val="00CF16DE"/>
    <w:rsid w:val="00CF178A"/>
    <w:rsid w:val="00CF1C01"/>
    <w:rsid w:val="00CF1C83"/>
    <w:rsid w:val="00CF2955"/>
    <w:rsid w:val="00CF2C1A"/>
    <w:rsid w:val="00CF325D"/>
    <w:rsid w:val="00CF33A7"/>
    <w:rsid w:val="00CF3453"/>
    <w:rsid w:val="00CF383F"/>
    <w:rsid w:val="00CF392F"/>
    <w:rsid w:val="00CF3949"/>
    <w:rsid w:val="00CF3AFE"/>
    <w:rsid w:val="00CF3CDD"/>
    <w:rsid w:val="00CF4015"/>
    <w:rsid w:val="00CF43CA"/>
    <w:rsid w:val="00CF4649"/>
    <w:rsid w:val="00CF4826"/>
    <w:rsid w:val="00CF4B53"/>
    <w:rsid w:val="00CF4B9C"/>
    <w:rsid w:val="00CF51C7"/>
    <w:rsid w:val="00CF5264"/>
    <w:rsid w:val="00CF5A7A"/>
    <w:rsid w:val="00CF5FA7"/>
    <w:rsid w:val="00CF649F"/>
    <w:rsid w:val="00CF6BA3"/>
    <w:rsid w:val="00CF6E72"/>
    <w:rsid w:val="00CF6F53"/>
    <w:rsid w:val="00CF7878"/>
    <w:rsid w:val="00CF79A1"/>
    <w:rsid w:val="00D0010B"/>
    <w:rsid w:val="00D00DF1"/>
    <w:rsid w:val="00D0126B"/>
    <w:rsid w:val="00D01723"/>
    <w:rsid w:val="00D01D11"/>
    <w:rsid w:val="00D020E4"/>
    <w:rsid w:val="00D02587"/>
    <w:rsid w:val="00D028CE"/>
    <w:rsid w:val="00D02D61"/>
    <w:rsid w:val="00D0324B"/>
    <w:rsid w:val="00D0359A"/>
    <w:rsid w:val="00D03A29"/>
    <w:rsid w:val="00D03A75"/>
    <w:rsid w:val="00D03BFF"/>
    <w:rsid w:val="00D040BC"/>
    <w:rsid w:val="00D04531"/>
    <w:rsid w:val="00D049B8"/>
    <w:rsid w:val="00D04EF0"/>
    <w:rsid w:val="00D04FDA"/>
    <w:rsid w:val="00D05138"/>
    <w:rsid w:val="00D05431"/>
    <w:rsid w:val="00D05536"/>
    <w:rsid w:val="00D05692"/>
    <w:rsid w:val="00D058F7"/>
    <w:rsid w:val="00D05AD8"/>
    <w:rsid w:val="00D0679A"/>
    <w:rsid w:val="00D069D3"/>
    <w:rsid w:val="00D06D05"/>
    <w:rsid w:val="00D07324"/>
    <w:rsid w:val="00D073BA"/>
    <w:rsid w:val="00D07DBB"/>
    <w:rsid w:val="00D07E69"/>
    <w:rsid w:val="00D101DB"/>
    <w:rsid w:val="00D10524"/>
    <w:rsid w:val="00D10881"/>
    <w:rsid w:val="00D109A8"/>
    <w:rsid w:val="00D10A99"/>
    <w:rsid w:val="00D110C5"/>
    <w:rsid w:val="00D11206"/>
    <w:rsid w:val="00D1125C"/>
    <w:rsid w:val="00D1164A"/>
    <w:rsid w:val="00D1183C"/>
    <w:rsid w:val="00D1200D"/>
    <w:rsid w:val="00D12117"/>
    <w:rsid w:val="00D1232C"/>
    <w:rsid w:val="00D12CD9"/>
    <w:rsid w:val="00D1340E"/>
    <w:rsid w:val="00D13910"/>
    <w:rsid w:val="00D13A29"/>
    <w:rsid w:val="00D13C84"/>
    <w:rsid w:val="00D13D93"/>
    <w:rsid w:val="00D13E67"/>
    <w:rsid w:val="00D14333"/>
    <w:rsid w:val="00D145F2"/>
    <w:rsid w:val="00D147B2"/>
    <w:rsid w:val="00D147E2"/>
    <w:rsid w:val="00D15890"/>
    <w:rsid w:val="00D164B3"/>
    <w:rsid w:val="00D1667F"/>
    <w:rsid w:val="00D1672D"/>
    <w:rsid w:val="00D16B7A"/>
    <w:rsid w:val="00D170EF"/>
    <w:rsid w:val="00D1763F"/>
    <w:rsid w:val="00D176D4"/>
    <w:rsid w:val="00D17872"/>
    <w:rsid w:val="00D17889"/>
    <w:rsid w:val="00D179B6"/>
    <w:rsid w:val="00D17A68"/>
    <w:rsid w:val="00D17C67"/>
    <w:rsid w:val="00D17CBD"/>
    <w:rsid w:val="00D17F2A"/>
    <w:rsid w:val="00D20766"/>
    <w:rsid w:val="00D20989"/>
    <w:rsid w:val="00D20C18"/>
    <w:rsid w:val="00D210A9"/>
    <w:rsid w:val="00D212AB"/>
    <w:rsid w:val="00D213EA"/>
    <w:rsid w:val="00D2151F"/>
    <w:rsid w:val="00D218C2"/>
    <w:rsid w:val="00D21B88"/>
    <w:rsid w:val="00D21BCF"/>
    <w:rsid w:val="00D21ECE"/>
    <w:rsid w:val="00D22118"/>
    <w:rsid w:val="00D2225A"/>
    <w:rsid w:val="00D222E8"/>
    <w:rsid w:val="00D228FF"/>
    <w:rsid w:val="00D2290C"/>
    <w:rsid w:val="00D22A5E"/>
    <w:rsid w:val="00D22B5C"/>
    <w:rsid w:val="00D230FE"/>
    <w:rsid w:val="00D23496"/>
    <w:rsid w:val="00D235CC"/>
    <w:rsid w:val="00D2360A"/>
    <w:rsid w:val="00D236DD"/>
    <w:rsid w:val="00D24276"/>
    <w:rsid w:val="00D24515"/>
    <w:rsid w:val="00D248CA"/>
    <w:rsid w:val="00D24937"/>
    <w:rsid w:val="00D24A7B"/>
    <w:rsid w:val="00D24CB9"/>
    <w:rsid w:val="00D254F1"/>
    <w:rsid w:val="00D25A33"/>
    <w:rsid w:val="00D25C8D"/>
    <w:rsid w:val="00D26003"/>
    <w:rsid w:val="00D264B2"/>
    <w:rsid w:val="00D265E4"/>
    <w:rsid w:val="00D268DF"/>
    <w:rsid w:val="00D26918"/>
    <w:rsid w:val="00D271B5"/>
    <w:rsid w:val="00D27249"/>
    <w:rsid w:val="00D2753C"/>
    <w:rsid w:val="00D2765B"/>
    <w:rsid w:val="00D27888"/>
    <w:rsid w:val="00D278A3"/>
    <w:rsid w:val="00D27926"/>
    <w:rsid w:val="00D27CE9"/>
    <w:rsid w:val="00D27E86"/>
    <w:rsid w:val="00D30441"/>
    <w:rsid w:val="00D3076E"/>
    <w:rsid w:val="00D30901"/>
    <w:rsid w:val="00D3092F"/>
    <w:rsid w:val="00D30B02"/>
    <w:rsid w:val="00D30D0A"/>
    <w:rsid w:val="00D31125"/>
    <w:rsid w:val="00D31382"/>
    <w:rsid w:val="00D318B7"/>
    <w:rsid w:val="00D31DA8"/>
    <w:rsid w:val="00D31F16"/>
    <w:rsid w:val="00D3209B"/>
    <w:rsid w:val="00D3220D"/>
    <w:rsid w:val="00D32335"/>
    <w:rsid w:val="00D32582"/>
    <w:rsid w:val="00D3258A"/>
    <w:rsid w:val="00D329CF"/>
    <w:rsid w:val="00D32A17"/>
    <w:rsid w:val="00D32C81"/>
    <w:rsid w:val="00D32FF2"/>
    <w:rsid w:val="00D331E3"/>
    <w:rsid w:val="00D332F8"/>
    <w:rsid w:val="00D33420"/>
    <w:rsid w:val="00D334F2"/>
    <w:rsid w:val="00D33581"/>
    <w:rsid w:val="00D339C3"/>
    <w:rsid w:val="00D3413B"/>
    <w:rsid w:val="00D34449"/>
    <w:rsid w:val="00D345BC"/>
    <w:rsid w:val="00D345FC"/>
    <w:rsid w:val="00D346A5"/>
    <w:rsid w:val="00D346CD"/>
    <w:rsid w:val="00D34D7E"/>
    <w:rsid w:val="00D35506"/>
    <w:rsid w:val="00D35784"/>
    <w:rsid w:val="00D359C9"/>
    <w:rsid w:val="00D35FB1"/>
    <w:rsid w:val="00D36001"/>
    <w:rsid w:val="00D3611E"/>
    <w:rsid w:val="00D3688A"/>
    <w:rsid w:val="00D37C80"/>
    <w:rsid w:val="00D37D06"/>
    <w:rsid w:val="00D37F3D"/>
    <w:rsid w:val="00D4005A"/>
    <w:rsid w:val="00D4013C"/>
    <w:rsid w:val="00D40E58"/>
    <w:rsid w:val="00D40F97"/>
    <w:rsid w:val="00D40FA2"/>
    <w:rsid w:val="00D40FDA"/>
    <w:rsid w:val="00D4128E"/>
    <w:rsid w:val="00D41446"/>
    <w:rsid w:val="00D418AA"/>
    <w:rsid w:val="00D41B54"/>
    <w:rsid w:val="00D41F6B"/>
    <w:rsid w:val="00D420EB"/>
    <w:rsid w:val="00D424FA"/>
    <w:rsid w:val="00D4253E"/>
    <w:rsid w:val="00D425B5"/>
    <w:rsid w:val="00D42894"/>
    <w:rsid w:val="00D42BEE"/>
    <w:rsid w:val="00D42CBC"/>
    <w:rsid w:val="00D42CDB"/>
    <w:rsid w:val="00D4302B"/>
    <w:rsid w:val="00D43143"/>
    <w:rsid w:val="00D43733"/>
    <w:rsid w:val="00D4387A"/>
    <w:rsid w:val="00D43B23"/>
    <w:rsid w:val="00D43B7A"/>
    <w:rsid w:val="00D43CD7"/>
    <w:rsid w:val="00D44429"/>
    <w:rsid w:val="00D44732"/>
    <w:rsid w:val="00D44963"/>
    <w:rsid w:val="00D44C0C"/>
    <w:rsid w:val="00D45209"/>
    <w:rsid w:val="00D453DC"/>
    <w:rsid w:val="00D454C9"/>
    <w:rsid w:val="00D4551F"/>
    <w:rsid w:val="00D456BC"/>
    <w:rsid w:val="00D45732"/>
    <w:rsid w:val="00D45A89"/>
    <w:rsid w:val="00D45AB8"/>
    <w:rsid w:val="00D45E70"/>
    <w:rsid w:val="00D46238"/>
    <w:rsid w:val="00D462BE"/>
    <w:rsid w:val="00D4651D"/>
    <w:rsid w:val="00D466BC"/>
    <w:rsid w:val="00D46797"/>
    <w:rsid w:val="00D46C69"/>
    <w:rsid w:val="00D46E12"/>
    <w:rsid w:val="00D470FC"/>
    <w:rsid w:val="00D47119"/>
    <w:rsid w:val="00D47345"/>
    <w:rsid w:val="00D4757B"/>
    <w:rsid w:val="00D50854"/>
    <w:rsid w:val="00D50E57"/>
    <w:rsid w:val="00D51487"/>
    <w:rsid w:val="00D516A1"/>
    <w:rsid w:val="00D518A5"/>
    <w:rsid w:val="00D518AC"/>
    <w:rsid w:val="00D51CC3"/>
    <w:rsid w:val="00D51F55"/>
    <w:rsid w:val="00D5205C"/>
    <w:rsid w:val="00D5246D"/>
    <w:rsid w:val="00D5297F"/>
    <w:rsid w:val="00D529E8"/>
    <w:rsid w:val="00D52CB1"/>
    <w:rsid w:val="00D52E26"/>
    <w:rsid w:val="00D53376"/>
    <w:rsid w:val="00D5370B"/>
    <w:rsid w:val="00D538F1"/>
    <w:rsid w:val="00D53A02"/>
    <w:rsid w:val="00D53C04"/>
    <w:rsid w:val="00D53E1F"/>
    <w:rsid w:val="00D53E7E"/>
    <w:rsid w:val="00D53F4A"/>
    <w:rsid w:val="00D541E8"/>
    <w:rsid w:val="00D542F8"/>
    <w:rsid w:val="00D544DB"/>
    <w:rsid w:val="00D545F7"/>
    <w:rsid w:val="00D54834"/>
    <w:rsid w:val="00D54D26"/>
    <w:rsid w:val="00D54DF9"/>
    <w:rsid w:val="00D559AD"/>
    <w:rsid w:val="00D559BA"/>
    <w:rsid w:val="00D559FB"/>
    <w:rsid w:val="00D55B48"/>
    <w:rsid w:val="00D5607B"/>
    <w:rsid w:val="00D561C5"/>
    <w:rsid w:val="00D56344"/>
    <w:rsid w:val="00D56820"/>
    <w:rsid w:val="00D57E13"/>
    <w:rsid w:val="00D605C9"/>
    <w:rsid w:val="00D606C3"/>
    <w:rsid w:val="00D60E72"/>
    <w:rsid w:val="00D60F28"/>
    <w:rsid w:val="00D60F2A"/>
    <w:rsid w:val="00D611B7"/>
    <w:rsid w:val="00D613EC"/>
    <w:rsid w:val="00D618DB"/>
    <w:rsid w:val="00D61A8B"/>
    <w:rsid w:val="00D61BB1"/>
    <w:rsid w:val="00D61BCA"/>
    <w:rsid w:val="00D61F15"/>
    <w:rsid w:val="00D6247D"/>
    <w:rsid w:val="00D628BD"/>
    <w:rsid w:val="00D62A05"/>
    <w:rsid w:val="00D62A9E"/>
    <w:rsid w:val="00D62AFD"/>
    <w:rsid w:val="00D63098"/>
    <w:rsid w:val="00D63748"/>
    <w:rsid w:val="00D63B5A"/>
    <w:rsid w:val="00D63E78"/>
    <w:rsid w:val="00D63FA8"/>
    <w:rsid w:val="00D64357"/>
    <w:rsid w:val="00D648CC"/>
    <w:rsid w:val="00D64971"/>
    <w:rsid w:val="00D64D0D"/>
    <w:rsid w:val="00D65414"/>
    <w:rsid w:val="00D6561C"/>
    <w:rsid w:val="00D657EB"/>
    <w:rsid w:val="00D6620F"/>
    <w:rsid w:val="00D66676"/>
    <w:rsid w:val="00D667BF"/>
    <w:rsid w:val="00D66E47"/>
    <w:rsid w:val="00D67189"/>
    <w:rsid w:val="00D674F5"/>
    <w:rsid w:val="00D675F3"/>
    <w:rsid w:val="00D67823"/>
    <w:rsid w:val="00D67AC3"/>
    <w:rsid w:val="00D67BA1"/>
    <w:rsid w:val="00D67E0B"/>
    <w:rsid w:val="00D706E6"/>
    <w:rsid w:val="00D70801"/>
    <w:rsid w:val="00D708B7"/>
    <w:rsid w:val="00D70A55"/>
    <w:rsid w:val="00D70C27"/>
    <w:rsid w:val="00D71365"/>
    <w:rsid w:val="00D7147B"/>
    <w:rsid w:val="00D716D2"/>
    <w:rsid w:val="00D71C28"/>
    <w:rsid w:val="00D72549"/>
    <w:rsid w:val="00D72AD1"/>
    <w:rsid w:val="00D72BD8"/>
    <w:rsid w:val="00D73799"/>
    <w:rsid w:val="00D7383A"/>
    <w:rsid w:val="00D73A33"/>
    <w:rsid w:val="00D73ABB"/>
    <w:rsid w:val="00D73FF7"/>
    <w:rsid w:val="00D749ED"/>
    <w:rsid w:val="00D74B71"/>
    <w:rsid w:val="00D74D30"/>
    <w:rsid w:val="00D74F0B"/>
    <w:rsid w:val="00D7514E"/>
    <w:rsid w:val="00D754AA"/>
    <w:rsid w:val="00D755B1"/>
    <w:rsid w:val="00D75FF4"/>
    <w:rsid w:val="00D761AA"/>
    <w:rsid w:val="00D761C6"/>
    <w:rsid w:val="00D76224"/>
    <w:rsid w:val="00D76573"/>
    <w:rsid w:val="00D76E2D"/>
    <w:rsid w:val="00D77489"/>
    <w:rsid w:val="00D77ACA"/>
    <w:rsid w:val="00D77BE5"/>
    <w:rsid w:val="00D805BA"/>
    <w:rsid w:val="00D80C09"/>
    <w:rsid w:val="00D80D43"/>
    <w:rsid w:val="00D80E45"/>
    <w:rsid w:val="00D80EE4"/>
    <w:rsid w:val="00D817D3"/>
    <w:rsid w:val="00D81BA8"/>
    <w:rsid w:val="00D81E70"/>
    <w:rsid w:val="00D81EFA"/>
    <w:rsid w:val="00D82392"/>
    <w:rsid w:val="00D82455"/>
    <w:rsid w:val="00D8249E"/>
    <w:rsid w:val="00D82A0E"/>
    <w:rsid w:val="00D82B96"/>
    <w:rsid w:val="00D82E2B"/>
    <w:rsid w:val="00D8332D"/>
    <w:rsid w:val="00D8349E"/>
    <w:rsid w:val="00D835F9"/>
    <w:rsid w:val="00D8370E"/>
    <w:rsid w:val="00D83805"/>
    <w:rsid w:val="00D841AF"/>
    <w:rsid w:val="00D84200"/>
    <w:rsid w:val="00D84383"/>
    <w:rsid w:val="00D84604"/>
    <w:rsid w:val="00D846AE"/>
    <w:rsid w:val="00D84A6C"/>
    <w:rsid w:val="00D855CE"/>
    <w:rsid w:val="00D8592D"/>
    <w:rsid w:val="00D86082"/>
    <w:rsid w:val="00D865F2"/>
    <w:rsid w:val="00D866BF"/>
    <w:rsid w:val="00D8682B"/>
    <w:rsid w:val="00D86928"/>
    <w:rsid w:val="00D86AAC"/>
    <w:rsid w:val="00D871C0"/>
    <w:rsid w:val="00D87AF4"/>
    <w:rsid w:val="00D87BC9"/>
    <w:rsid w:val="00D87C4D"/>
    <w:rsid w:val="00D87DBB"/>
    <w:rsid w:val="00D87E79"/>
    <w:rsid w:val="00D87E84"/>
    <w:rsid w:val="00D87F31"/>
    <w:rsid w:val="00D90055"/>
    <w:rsid w:val="00D90261"/>
    <w:rsid w:val="00D9040B"/>
    <w:rsid w:val="00D9053A"/>
    <w:rsid w:val="00D90A72"/>
    <w:rsid w:val="00D91001"/>
    <w:rsid w:val="00D91174"/>
    <w:rsid w:val="00D911A0"/>
    <w:rsid w:val="00D912CD"/>
    <w:rsid w:val="00D9130E"/>
    <w:rsid w:val="00D916F2"/>
    <w:rsid w:val="00D918DC"/>
    <w:rsid w:val="00D91B21"/>
    <w:rsid w:val="00D91C29"/>
    <w:rsid w:val="00D91C53"/>
    <w:rsid w:val="00D91D0F"/>
    <w:rsid w:val="00D91F80"/>
    <w:rsid w:val="00D92404"/>
    <w:rsid w:val="00D92614"/>
    <w:rsid w:val="00D92BA5"/>
    <w:rsid w:val="00D931E6"/>
    <w:rsid w:val="00D93323"/>
    <w:rsid w:val="00D938DE"/>
    <w:rsid w:val="00D93A96"/>
    <w:rsid w:val="00D94133"/>
    <w:rsid w:val="00D94244"/>
    <w:rsid w:val="00D94B48"/>
    <w:rsid w:val="00D95104"/>
    <w:rsid w:val="00D954F5"/>
    <w:rsid w:val="00D95797"/>
    <w:rsid w:val="00D9589B"/>
    <w:rsid w:val="00D96209"/>
    <w:rsid w:val="00D9634F"/>
    <w:rsid w:val="00D9695D"/>
    <w:rsid w:val="00D96968"/>
    <w:rsid w:val="00D9699F"/>
    <w:rsid w:val="00D96E00"/>
    <w:rsid w:val="00D96F6E"/>
    <w:rsid w:val="00D976C9"/>
    <w:rsid w:val="00D976EA"/>
    <w:rsid w:val="00D977D8"/>
    <w:rsid w:val="00D97AA5"/>
    <w:rsid w:val="00DA0243"/>
    <w:rsid w:val="00DA04A8"/>
    <w:rsid w:val="00DA0B87"/>
    <w:rsid w:val="00DA0DE5"/>
    <w:rsid w:val="00DA0F07"/>
    <w:rsid w:val="00DA10B2"/>
    <w:rsid w:val="00DA127D"/>
    <w:rsid w:val="00DA18CC"/>
    <w:rsid w:val="00DA1B54"/>
    <w:rsid w:val="00DA1B9F"/>
    <w:rsid w:val="00DA1BE3"/>
    <w:rsid w:val="00DA1BEB"/>
    <w:rsid w:val="00DA1F87"/>
    <w:rsid w:val="00DA1F8D"/>
    <w:rsid w:val="00DA20D0"/>
    <w:rsid w:val="00DA229C"/>
    <w:rsid w:val="00DA23FD"/>
    <w:rsid w:val="00DA296C"/>
    <w:rsid w:val="00DA2997"/>
    <w:rsid w:val="00DA2FEC"/>
    <w:rsid w:val="00DA3149"/>
    <w:rsid w:val="00DA31C4"/>
    <w:rsid w:val="00DA371D"/>
    <w:rsid w:val="00DA3A4B"/>
    <w:rsid w:val="00DA3B57"/>
    <w:rsid w:val="00DA3E8E"/>
    <w:rsid w:val="00DA3F19"/>
    <w:rsid w:val="00DA4110"/>
    <w:rsid w:val="00DA427E"/>
    <w:rsid w:val="00DA4570"/>
    <w:rsid w:val="00DA46FE"/>
    <w:rsid w:val="00DA47E8"/>
    <w:rsid w:val="00DA515B"/>
    <w:rsid w:val="00DA52C9"/>
    <w:rsid w:val="00DA53F4"/>
    <w:rsid w:val="00DA606A"/>
    <w:rsid w:val="00DA6146"/>
    <w:rsid w:val="00DA6782"/>
    <w:rsid w:val="00DA6919"/>
    <w:rsid w:val="00DA692D"/>
    <w:rsid w:val="00DA6BE3"/>
    <w:rsid w:val="00DA7373"/>
    <w:rsid w:val="00DB031B"/>
    <w:rsid w:val="00DB0D1F"/>
    <w:rsid w:val="00DB0D72"/>
    <w:rsid w:val="00DB0F6E"/>
    <w:rsid w:val="00DB111F"/>
    <w:rsid w:val="00DB1445"/>
    <w:rsid w:val="00DB1A38"/>
    <w:rsid w:val="00DB1E98"/>
    <w:rsid w:val="00DB2758"/>
    <w:rsid w:val="00DB2A3C"/>
    <w:rsid w:val="00DB2CA0"/>
    <w:rsid w:val="00DB2EA4"/>
    <w:rsid w:val="00DB3208"/>
    <w:rsid w:val="00DB373A"/>
    <w:rsid w:val="00DB385E"/>
    <w:rsid w:val="00DB3980"/>
    <w:rsid w:val="00DB39D1"/>
    <w:rsid w:val="00DB39F6"/>
    <w:rsid w:val="00DB3B63"/>
    <w:rsid w:val="00DB3C48"/>
    <w:rsid w:val="00DB3C4C"/>
    <w:rsid w:val="00DB3F81"/>
    <w:rsid w:val="00DB4107"/>
    <w:rsid w:val="00DB411B"/>
    <w:rsid w:val="00DB430C"/>
    <w:rsid w:val="00DB4365"/>
    <w:rsid w:val="00DB484D"/>
    <w:rsid w:val="00DB49CF"/>
    <w:rsid w:val="00DB4C59"/>
    <w:rsid w:val="00DB4F72"/>
    <w:rsid w:val="00DB508E"/>
    <w:rsid w:val="00DB5140"/>
    <w:rsid w:val="00DB59F9"/>
    <w:rsid w:val="00DB6233"/>
    <w:rsid w:val="00DB678F"/>
    <w:rsid w:val="00DB6B44"/>
    <w:rsid w:val="00DB71FF"/>
    <w:rsid w:val="00DB74B8"/>
    <w:rsid w:val="00DB76D0"/>
    <w:rsid w:val="00DB7B28"/>
    <w:rsid w:val="00DB7B7B"/>
    <w:rsid w:val="00DB7F02"/>
    <w:rsid w:val="00DC03EE"/>
    <w:rsid w:val="00DC0411"/>
    <w:rsid w:val="00DC051F"/>
    <w:rsid w:val="00DC084C"/>
    <w:rsid w:val="00DC09F1"/>
    <w:rsid w:val="00DC0D27"/>
    <w:rsid w:val="00DC0FEC"/>
    <w:rsid w:val="00DC124B"/>
    <w:rsid w:val="00DC14E8"/>
    <w:rsid w:val="00DC1A31"/>
    <w:rsid w:val="00DC1AD9"/>
    <w:rsid w:val="00DC1B32"/>
    <w:rsid w:val="00DC1B52"/>
    <w:rsid w:val="00DC1D68"/>
    <w:rsid w:val="00DC1F35"/>
    <w:rsid w:val="00DC24E8"/>
    <w:rsid w:val="00DC2760"/>
    <w:rsid w:val="00DC27ED"/>
    <w:rsid w:val="00DC31B2"/>
    <w:rsid w:val="00DC35BF"/>
    <w:rsid w:val="00DC35DD"/>
    <w:rsid w:val="00DC367C"/>
    <w:rsid w:val="00DC37E2"/>
    <w:rsid w:val="00DC38D5"/>
    <w:rsid w:val="00DC3BC0"/>
    <w:rsid w:val="00DC3D01"/>
    <w:rsid w:val="00DC4287"/>
    <w:rsid w:val="00DC42AE"/>
    <w:rsid w:val="00DC48F8"/>
    <w:rsid w:val="00DC4967"/>
    <w:rsid w:val="00DC4C7E"/>
    <w:rsid w:val="00DC4F3C"/>
    <w:rsid w:val="00DC4FE4"/>
    <w:rsid w:val="00DC515B"/>
    <w:rsid w:val="00DC56AC"/>
    <w:rsid w:val="00DC57F1"/>
    <w:rsid w:val="00DC59DE"/>
    <w:rsid w:val="00DC5C61"/>
    <w:rsid w:val="00DC5D3E"/>
    <w:rsid w:val="00DC5DD7"/>
    <w:rsid w:val="00DC5E66"/>
    <w:rsid w:val="00DC6740"/>
    <w:rsid w:val="00DC6965"/>
    <w:rsid w:val="00DC6CF9"/>
    <w:rsid w:val="00DC6F40"/>
    <w:rsid w:val="00DC73EB"/>
    <w:rsid w:val="00DC75D2"/>
    <w:rsid w:val="00DC784F"/>
    <w:rsid w:val="00DC7852"/>
    <w:rsid w:val="00DC7A14"/>
    <w:rsid w:val="00DD0194"/>
    <w:rsid w:val="00DD06F2"/>
    <w:rsid w:val="00DD0C1C"/>
    <w:rsid w:val="00DD0CE2"/>
    <w:rsid w:val="00DD1023"/>
    <w:rsid w:val="00DD1548"/>
    <w:rsid w:val="00DD15F6"/>
    <w:rsid w:val="00DD17C6"/>
    <w:rsid w:val="00DD18C0"/>
    <w:rsid w:val="00DD1B87"/>
    <w:rsid w:val="00DD1B8E"/>
    <w:rsid w:val="00DD1D56"/>
    <w:rsid w:val="00DD1DD9"/>
    <w:rsid w:val="00DD1EF3"/>
    <w:rsid w:val="00DD20F5"/>
    <w:rsid w:val="00DD245B"/>
    <w:rsid w:val="00DD24E8"/>
    <w:rsid w:val="00DD2696"/>
    <w:rsid w:val="00DD27D5"/>
    <w:rsid w:val="00DD29CD"/>
    <w:rsid w:val="00DD2E4A"/>
    <w:rsid w:val="00DD3164"/>
    <w:rsid w:val="00DD3577"/>
    <w:rsid w:val="00DD35FC"/>
    <w:rsid w:val="00DD3774"/>
    <w:rsid w:val="00DD38A9"/>
    <w:rsid w:val="00DD3B66"/>
    <w:rsid w:val="00DD3C75"/>
    <w:rsid w:val="00DD3F8A"/>
    <w:rsid w:val="00DD40D1"/>
    <w:rsid w:val="00DD41A9"/>
    <w:rsid w:val="00DD431E"/>
    <w:rsid w:val="00DD455D"/>
    <w:rsid w:val="00DD4B99"/>
    <w:rsid w:val="00DD4BAD"/>
    <w:rsid w:val="00DD4C3F"/>
    <w:rsid w:val="00DD5055"/>
    <w:rsid w:val="00DD506D"/>
    <w:rsid w:val="00DD5136"/>
    <w:rsid w:val="00DD54FB"/>
    <w:rsid w:val="00DD5593"/>
    <w:rsid w:val="00DD5BE1"/>
    <w:rsid w:val="00DD5E2E"/>
    <w:rsid w:val="00DD5F2E"/>
    <w:rsid w:val="00DD61DB"/>
    <w:rsid w:val="00DD6506"/>
    <w:rsid w:val="00DD6EE7"/>
    <w:rsid w:val="00DD748A"/>
    <w:rsid w:val="00DD7541"/>
    <w:rsid w:val="00DD7949"/>
    <w:rsid w:val="00DE042E"/>
    <w:rsid w:val="00DE075A"/>
    <w:rsid w:val="00DE0A0F"/>
    <w:rsid w:val="00DE0D44"/>
    <w:rsid w:val="00DE0F25"/>
    <w:rsid w:val="00DE1516"/>
    <w:rsid w:val="00DE1605"/>
    <w:rsid w:val="00DE16BE"/>
    <w:rsid w:val="00DE199C"/>
    <w:rsid w:val="00DE1A0C"/>
    <w:rsid w:val="00DE1C25"/>
    <w:rsid w:val="00DE1DAC"/>
    <w:rsid w:val="00DE2614"/>
    <w:rsid w:val="00DE2629"/>
    <w:rsid w:val="00DE2719"/>
    <w:rsid w:val="00DE2BB5"/>
    <w:rsid w:val="00DE2EEF"/>
    <w:rsid w:val="00DE2FB8"/>
    <w:rsid w:val="00DE31EE"/>
    <w:rsid w:val="00DE3461"/>
    <w:rsid w:val="00DE3836"/>
    <w:rsid w:val="00DE39C6"/>
    <w:rsid w:val="00DE3C6B"/>
    <w:rsid w:val="00DE4582"/>
    <w:rsid w:val="00DE46BA"/>
    <w:rsid w:val="00DE4F84"/>
    <w:rsid w:val="00DE5167"/>
    <w:rsid w:val="00DE5368"/>
    <w:rsid w:val="00DE55BB"/>
    <w:rsid w:val="00DE5894"/>
    <w:rsid w:val="00DE5E18"/>
    <w:rsid w:val="00DE5F75"/>
    <w:rsid w:val="00DE5FDD"/>
    <w:rsid w:val="00DE62D6"/>
    <w:rsid w:val="00DE648F"/>
    <w:rsid w:val="00DE69CD"/>
    <w:rsid w:val="00DE69E7"/>
    <w:rsid w:val="00DE6BB8"/>
    <w:rsid w:val="00DE6CF6"/>
    <w:rsid w:val="00DE6EEE"/>
    <w:rsid w:val="00DE7022"/>
    <w:rsid w:val="00DE7025"/>
    <w:rsid w:val="00DE74D7"/>
    <w:rsid w:val="00DE7DBD"/>
    <w:rsid w:val="00DE7DC2"/>
    <w:rsid w:val="00DE7E2A"/>
    <w:rsid w:val="00DE7E2D"/>
    <w:rsid w:val="00DE7E38"/>
    <w:rsid w:val="00DF0336"/>
    <w:rsid w:val="00DF04D2"/>
    <w:rsid w:val="00DF0F89"/>
    <w:rsid w:val="00DF0FA7"/>
    <w:rsid w:val="00DF10A7"/>
    <w:rsid w:val="00DF135E"/>
    <w:rsid w:val="00DF1473"/>
    <w:rsid w:val="00DF1639"/>
    <w:rsid w:val="00DF175A"/>
    <w:rsid w:val="00DF1C27"/>
    <w:rsid w:val="00DF1CB9"/>
    <w:rsid w:val="00DF1CC2"/>
    <w:rsid w:val="00DF1FFD"/>
    <w:rsid w:val="00DF22A6"/>
    <w:rsid w:val="00DF2AA9"/>
    <w:rsid w:val="00DF343F"/>
    <w:rsid w:val="00DF34A1"/>
    <w:rsid w:val="00DF3523"/>
    <w:rsid w:val="00DF392E"/>
    <w:rsid w:val="00DF3AAD"/>
    <w:rsid w:val="00DF3DC9"/>
    <w:rsid w:val="00DF3E06"/>
    <w:rsid w:val="00DF461B"/>
    <w:rsid w:val="00DF491F"/>
    <w:rsid w:val="00DF4B26"/>
    <w:rsid w:val="00DF4DAE"/>
    <w:rsid w:val="00DF4E30"/>
    <w:rsid w:val="00DF4E47"/>
    <w:rsid w:val="00DF51DD"/>
    <w:rsid w:val="00DF540E"/>
    <w:rsid w:val="00DF5951"/>
    <w:rsid w:val="00DF5CB5"/>
    <w:rsid w:val="00DF5D8B"/>
    <w:rsid w:val="00DF5ED5"/>
    <w:rsid w:val="00DF6061"/>
    <w:rsid w:val="00DF6425"/>
    <w:rsid w:val="00DF64AA"/>
    <w:rsid w:val="00DF6752"/>
    <w:rsid w:val="00DF6787"/>
    <w:rsid w:val="00DF6C75"/>
    <w:rsid w:val="00DF70D4"/>
    <w:rsid w:val="00DF748E"/>
    <w:rsid w:val="00DF75AB"/>
    <w:rsid w:val="00DF76B0"/>
    <w:rsid w:val="00DF7782"/>
    <w:rsid w:val="00DF7806"/>
    <w:rsid w:val="00DF7C4D"/>
    <w:rsid w:val="00DF7C76"/>
    <w:rsid w:val="00E000BD"/>
    <w:rsid w:val="00E002C3"/>
    <w:rsid w:val="00E003A3"/>
    <w:rsid w:val="00E004BC"/>
    <w:rsid w:val="00E00563"/>
    <w:rsid w:val="00E006CC"/>
    <w:rsid w:val="00E006F4"/>
    <w:rsid w:val="00E00882"/>
    <w:rsid w:val="00E009D4"/>
    <w:rsid w:val="00E00A1C"/>
    <w:rsid w:val="00E0124D"/>
    <w:rsid w:val="00E012E7"/>
    <w:rsid w:val="00E013E8"/>
    <w:rsid w:val="00E01451"/>
    <w:rsid w:val="00E01512"/>
    <w:rsid w:val="00E01711"/>
    <w:rsid w:val="00E01981"/>
    <w:rsid w:val="00E027B6"/>
    <w:rsid w:val="00E0286D"/>
    <w:rsid w:val="00E02B73"/>
    <w:rsid w:val="00E02BEA"/>
    <w:rsid w:val="00E02DE8"/>
    <w:rsid w:val="00E0302A"/>
    <w:rsid w:val="00E0357B"/>
    <w:rsid w:val="00E0376A"/>
    <w:rsid w:val="00E038FD"/>
    <w:rsid w:val="00E03B8D"/>
    <w:rsid w:val="00E0409B"/>
    <w:rsid w:val="00E04379"/>
    <w:rsid w:val="00E043D2"/>
    <w:rsid w:val="00E04421"/>
    <w:rsid w:val="00E045AB"/>
    <w:rsid w:val="00E045ED"/>
    <w:rsid w:val="00E0482F"/>
    <w:rsid w:val="00E049D6"/>
    <w:rsid w:val="00E04C9D"/>
    <w:rsid w:val="00E04DB6"/>
    <w:rsid w:val="00E04DD8"/>
    <w:rsid w:val="00E05451"/>
    <w:rsid w:val="00E058C6"/>
    <w:rsid w:val="00E05BF9"/>
    <w:rsid w:val="00E05D49"/>
    <w:rsid w:val="00E05E74"/>
    <w:rsid w:val="00E06221"/>
    <w:rsid w:val="00E0656D"/>
    <w:rsid w:val="00E068B8"/>
    <w:rsid w:val="00E068E5"/>
    <w:rsid w:val="00E06DDC"/>
    <w:rsid w:val="00E07220"/>
    <w:rsid w:val="00E07303"/>
    <w:rsid w:val="00E07631"/>
    <w:rsid w:val="00E07771"/>
    <w:rsid w:val="00E077C1"/>
    <w:rsid w:val="00E07DBC"/>
    <w:rsid w:val="00E10675"/>
    <w:rsid w:val="00E10821"/>
    <w:rsid w:val="00E10A80"/>
    <w:rsid w:val="00E10DEF"/>
    <w:rsid w:val="00E10DF6"/>
    <w:rsid w:val="00E111E4"/>
    <w:rsid w:val="00E111EA"/>
    <w:rsid w:val="00E11266"/>
    <w:rsid w:val="00E112C8"/>
    <w:rsid w:val="00E114E6"/>
    <w:rsid w:val="00E11BE1"/>
    <w:rsid w:val="00E11E39"/>
    <w:rsid w:val="00E1219C"/>
    <w:rsid w:val="00E123D5"/>
    <w:rsid w:val="00E128AD"/>
    <w:rsid w:val="00E12D21"/>
    <w:rsid w:val="00E12ECC"/>
    <w:rsid w:val="00E1357E"/>
    <w:rsid w:val="00E13728"/>
    <w:rsid w:val="00E13DF8"/>
    <w:rsid w:val="00E13FD0"/>
    <w:rsid w:val="00E14326"/>
    <w:rsid w:val="00E144C7"/>
    <w:rsid w:val="00E14570"/>
    <w:rsid w:val="00E14DBC"/>
    <w:rsid w:val="00E14EA1"/>
    <w:rsid w:val="00E1500D"/>
    <w:rsid w:val="00E15401"/>
    <w:rsid w:val="00E155E3"/>
    <w:rsid w:val="00E15B1D"/>
    <w:rsid w:val="00E160B9"/>
    <w:rsid w:val="00E160D7"/>
    <w:rsid w:val="00E16370"/>
    <w:rsid w:val="00E16770"/>
    <w:rsid w:val="00E16849"/>
    <w:rsid w:val="00E1684B"/>
    <w:rsid w:val="00E16E3B"/>
    <w:rsid w:val="00E16F19"/>
    <w:rsid w:val="00E171DF"/>
    <w:rsid w:val="00E171FC"/>
    <w:rsid w:val="00E17A89"/>
    <w:rsid w:val="00E17A96"/>
    <w:rsid w:val="00E17B68"/>
    <w:rsid w:val="00E17DE6"/>
    <w:rsid w:val="00E208E5"/>
    <w:rsid w:val="00E21531"/>
    <w:rsid w:val="00E215F4"/>
    <w:rsid w:val="00E217F5"/>
    <w:rsid w:val="00E218C8"/>
    <w:rsid w:val="00E21C30"/>
    <w:rsid w:val="00E21C37"/>
    <w:rsid w:val="00E21CEE"/>
    <w:rsid w:val="00E21F80"/>
    <w:rsid w:val="00E21FC9"/>
    <w:rsid w:val="00E2203C"/>
    <w:rsid w:val="00E2254D"/>
    <w:rsid w:val="00E22690"/>
    <w:rsid w:val="00E22AB1"/>
    <w:rsid w:val="00E22C86"/>
    <w:rsid w:val="00E22EE8"/>
    <w:rsid w:val="00E23073"/>
    <w:rsid w:val="00E230FA"/>
    <w:rsid w:val="00E23127"/>
    <w:rsid w:val="00E23175"/>
    <w:rsid w:val="00E2332B"/>
    <w:rsid w:val="00E237A3"/>
    <w:rsid w:val="00E23D09"/>
    <w:rsid w:val="00E23E83"/>
    <w:rsid w:val="00E23ED5"/>
    <w:rsid w:val="00E242C2"/>
    <w:rsid w:val="00E2489B"/>
    <w:rsid w:val="00E249FF"/>
    <w:rsid w:val="00E24D43"/>
    <w:rsid w:val="00E25322"/>
    <w:rsid w:val="00E25AA2"/>
    <w:rsid w:val="00E25CD2"/>
    <w:rsid w:val="00E2635B"/>
    <w:rsid w:val="00E26457"/>
    <w:rsid w:val="00E2647B"/>
    <w:rsid w:val="00E26CC0"/>
    <w:rsid w:val="00E270F6"/>
    <w:rsid w:val="00E272DB"/>
    <w:rsid w:val="00E2730E"/>
    <w:rsid w:val="00E2732D"/>
    <w:rsid w:val="00E2733C"/>
    <w:rsid w:val="00E275D3"/>
    <w:rsid w:val="00E275D9"/>
    <w:rsid w:val="00E276E4"/>
    <w:rsid w:val="00E27731"/>
    <w:rsid w:val="00E27761"/>
    <w:rsid w:val="00E27C3B"/>
    <w:rsid w:val="00E30312"/>
    <w:rsid w:val="00E30EB8"/>
    <w:rsid w:val="00E317B9"/>
    <w:rsid w:val="00E3187B"/>
    <w:rsid w:val="00E31E57"/>
    <w:rsid w:val="00E31E63"/>
    <w:rsid w:val="00E325F4"/>
    <w:rsid w:val="00E328E1"/>
    <w:rsid w:val="00E3299E"/>
    <w:rsid w:val="00E32ADD"/>
    <w:rsid w:val="00E32C06"/>
    <w:rsid w:val="00E32D49"/>
    <w:rsid w:val="00E32EAB"/>
    <w:rsid w:val="00E33030"/>
    <w:rsid w:val="00E33ECF"/>
    <w:rsid w:val="00E3403A"/>
    <w:rsid w:val="00E340D3"/>
    <w:rsid w:val="00E34340"/>
    <w:rsid w:val="00E343B4"/>
    <w:rsid w:val="00E343CE"/>
    <w:rsid w:val="00E34468"/>
    <w:rsid w:val="00E3455F"/>
    <w:rsid w:val="00E345C1"/>
    <w:rsid w:val="00E34A3C"/>
    <w:rsid w:val="00E34BEC"/>
    <w:rsid w:val="00E352BD"/>
    <w:rsid w:val="00E356C0"/>
    <w:rsid w:val="00E356F5"/>
    <w:rsid w:val="00E35860"/>
    <w:rsid w:val="00E35A82"/>
    <w:rsid w:val="00E35DC4"/>
    <w:rsid w:val="00E35ED1"/>
    <w:rsid w:val="00E36105"/>
    <w:rsid w:val="00E3624C"/>
    <w:rsid w:val="00E3702F"/>
    <w:rsid w:val="00E3743F"/>
    <w:rsid w:val="00E375A1"/>
    <w:rsid w:val="00E37A0C"/>
    <w:rsid w:val="00E37BAC"/>
    <w:rsid w:val="00E37BBB"/>
    <w:rsid w:val="00E37C01"/>
    <w:rsid w:val="00E40226"/>
    <w:rsid w:val="00E406F9"/>
    <w:rsid w:val="00E408CB"/>
    <w:rsid w:val="00E40AD2"/>
    <w:rsid w:val="00E40E8A"/>
    <w:rsid w:val="00E40FE8"/>
    <w:rsid w:val="00E41128"/>
    <w:rsid w:val="00E41298"/>
    <w:rsid w:val="00E4154F"/>
    <w:rsid w:val="00E4156D"/>
    <w:rsid w:val="00E41693"/>
    <w:rsid w:val="00E418F3"/>
    <w:rsid w:val="00E419D6"/>
    <w:rsid w:val="00E41DB2"/>
    <w:rsid w:val="00E42131"/>
    <w:rsid w:val="00E424C3"/>
    <w:rsid w:val="00E4285F"/>
    <w:rsid w:val="00E42A5C"/>
    <w:rsid w:val="00E42B88"/>
    <w:rsid w:val="00E42CAE"/>
    <w:rsid w:val="00E42EFA"/>
    <w:rsid w:val="00E435EA"/>
    <w:rsid w:val="00E4377A"/>
    <w:rsid w:val="00E43BFF"/>
    <w:rsid w:val="00E44575"/>
    <w:rsid w:val="00E44D56"/>
    <w:rsid w:val="00E44E8E"/>
    <w:rsid w:val="00E44F96"/>
    <w:rsid w:val="00E45205"/>
    <w:rsid w:val="00E45392"/>
    <w:rsid w:val="00E45B75"/>
    <w:rsid w:val="00E45C07"/>
    <w:rsid w:val="00E45DF8"/>
    <w:rsid w:val="00E45E71"/>
    <w:rsid w:val="00E4614A"/>
    <w:rsid w:val="00E462A7"/>
    <w:rsid w:val="00E466CF"/>
    <w:rsid w:val="00E46866"/>
    <w:rsid w:val="00E46DCD"/>
    <w:rsid w:val="00E46F47"/>
    <w:rsid w:val="00E473F6"/>
    <w:rsid w:val="00E47BC3"/>
    <w:rsid w:val="00E500FE"/>
    <w:rsid w:val="00E50A48"/>
    <w:rsid w:val="00E50DD8"/>
    <w:rsid w:val="00E5171E"/>
    <w:rsid w:val="00E519DE"/>
    <w:rsid w:val="00E51EAD"/>
    <w:rsid w:val="00E524EE"/>
    <w:rsid w:val="00E52B02"/>
    <w:rsid w:val="00E52E57"/>
    <w:rsid w:val="00E53125"/>
    <w:rsid w:val="00E53483"/>
    <w:rsid w:val="00E53BB9"/>
    <w:rsid w:val="00E53CFD"/>
    <w:rsid w:val="00E53DA4"/>
    <w:rsid w:val="00E53FB2"/>
    <w:rsid w:val="00E54422"/>
    <w:rsid w:val="00E54A4C"/>
    <w:rsid w:val="00E54AD3"/>
    <w:rsid w:val="00E54D7E"/>
    <w:rsid w:val="00E54E72"/>
    <w:rsid w:val="00E55100"/>
    <w:rsid w:val="00E556CB"/>
    <w:rsid w:val="00E55991"/>
    <w:rsid w:val="00E55A1C"/>
    <w:rsid w:val="00E560B9"/>
    <w:rsid w:val="00E56195"/>
    <w:rsid w:val="00E5660E"/>
    <w:rsid w:val="00E56823"/>
    <w:rsid w:val="00E569DE"/>
    <w:rsid w:val="00E56AC8"/>
    <w:rsid w:val="00E56FE8"/>
    <w:rsid w:val="00E57457"/>
    <w:rsid w:val="00E576CC"/>
    <w:rsid w:val="00E5785F"/>
    <w:rsid w:val="00E57B2D"/>
    <w:rsid w:val="00E57B77"/>
    <w:rsid w:val="00E57D5C"/>
    <w:rsid w:val="00E57F37"/>
    <w:rsid w:val="00E60453"/>
    <w:rsid w:val="00E607E5"/>
    <w:rsid w:val="00E60AFB"/>
    <w:rsid w:val="00E60C0A"/>
    <w:rsid w:val="00E60FBC"/>
    <w:rsid w:val="00E6126F"/>
    <w:rsid w:val="00E6177E"/>
    <w:rsid w:val="00E61863"/>
    <w:rsid w:val="00E6195E"/>
    <w:rsid w:val="00E61A40"/>
    <w:rsid w:val="00E61CB6"/>
    <w:rsid w:val="00E620EF"/>
    <w:rsid w:val="00E6240E"/>
    <w:rsid w:val="00E62432"/>
    <w:rsid w:val="00E6264B"/>
    <w:rsid w:val="00E62B45"/>
    <w:rsid w:val="00E62C46"/>
    <w:rsid w:val="00E62C92"/>
    <w:rsid w:val="00E62E4E"/>
    <w:rsid w:val="00E62F0F"/>
    <w:rsid w:val="00E63A60"/>
    <w:rsid w:val="00E63F57"/>
    <w:rsid w:val="00E64031"/>
    <w:rsid w:val="00E6458A"/>
    <w:rsid w:val="00E64958"/>
    <w:rsid w:val="00E64F30"/>
    <w:rsid w:val="00E65054"/>
    <w:rsid w:val="00E65340"/>
    <w:rsid w:val="00E65950"/>
    <w:rsid w:val="00E65C59"/>
    <w:rsid w:val="00E65DBA"/>
    <w:rsid w:val="00E66107"/>
    <w:rsid w:val="00E666D2"/>
    <w:rsid w:val="00E66B60"/>
    <w:rsid w:val="00E66B65"/>
    <w:rsid w:val="00E66EE7"/>
    <w:rsid w:val="00E67076"/>
    <w:rsid w:val="00E67186"/>
    <w:rsid w:val="00E67573"/>
    <w:rsid w:val="00E675AB"/>
    <w:rsid w:val="00E6784C"/>
    <w:rsid w:val="00E67C5F"/>
    <w:rsid w:val="00E70356"/>
    <w:rsid w:val="00E707DA"/>
    <w:rsid w:val="00E70CE9"/>
    <w:rsid w:val="00E711CE"/>
    <w:rsid w:val="00E7126B"/>
    <w:rsid w:val="00E712F4"/>
    <w:rsid w:val="00E713D5"/>
    <w:rsid w:val="00E717C9"/>
    <w:rsid w:val="00E71AF1"/>
    <w:rsid w:val="00E71D0B"/>
    <w:rsid w:val="00E7257F"/>
    <w:rsid w:val="00E72756"/>
    <w:rsid w:val="00E728EC"/>
    <w:rsid w:val="00E73023"/>
    <w:rsid w:val="00E7309E"/>
    <w:rsid w:val="00E73219"/>
    <w:rsid w:val="00E734A9"/>
    <w:rsid w:val="00E73722"/>
    <w:rsid w:val="00E73ACE"/>
    <w:rsid w:val="00E73B56"/>
    <w:rsid w:val="00E73ED1"/>
    <w:rsid w:val="00E73F21"/>
    <w:rsid w:val="00E73F57"/>
    <w:rsid w:val="00E74500"/>
    <w:rsid w:val="00E7462E"/>
    <w:rsid w:val="00E74CBC"/>
    <w:rsid w:val="00E74EE1"/>
    <w:rsid w:val="00E758FE"/>
    <w:rsid w:val="00E7599B"/>
    <w:rsid w:val="00E75D31"/>
    <w:rsid w:val="00E75FF5"/>
    <w:rsid w:val="00E7641B"/>
    <w:rsid w:val="00E766F7"/>
    <w:rsid w:val="00E76D28"/>
    <w:rsid w:val="00E76E1E"/>
    <w:rsid w:val="00E77347"/>
    <w:rsid w:val="00E778C4"/>
    <w:rsid w:val="00E77E05"/>
    <w:rsid w:val="00E8026C"/>
    <w:rsid w:val="00E8045E"/>
    <w:rsid w:val="00E8077C"/>
    <w:rsid w:val="00E80940"/>
    <w:rsid w:val="00E80972"/>
    <w:rsid w:val="00E80D31"/>
    <w:rsid w:val="00E813D5"/>
    <w:rsid w:val="00E81441"/>
    <w:rsid w:val="00E8166C"/>
    <w:rsid w:val="00E816D1"/>
    <w:rsid w:val="00E81745"/>
    <w:rsid w:val="00E81BBF"/>
    <w:rsid w:val="00E81D12"/>
    <w:rsid w:val="00E81ED5"/>
    <w:rsid w:val="00E820B1"/>
    <w:rsid w:val="00E82414"/>
    <w:rsid w:val="00E825C2"/>
    <w:rsid w:val="00E82BF7"/>
    <w:rsid w:val="00E82D6B"/>
    <w:rsid w:val="00E8390D"/>
    <w:rsid w:val="00E83BCF"/>
    <w:rsid w:val="00E841B1"/>
    <w:rsid w:val="00E841C5"/>
    <w:rsid w:val="00E843E2"/>
    <w:rsid w:val="00E84473"/>
    <w:rsid w:val="00E8471A"/>
    <w:rsid w:val="00E847AB"/>
    <w:rsid w:val="00E84F73"/>
    <w:rsid w:val="00E859BE"/>
    <w:rsid w:val="00E85A3A"/>
    <w:rsid w:val="00E86586"/>
    <w:rsid w:val="00E86825"/>
    <w:rsid w:val="00E868A0"/>
    <w:rsid w:val="00E86952"/>
    <w:rsid w:val="00E86AD3"/>
    <w:rsid w:val="00E86E7F"/>
    <w:rsid w:val="00E872EC"/>
    <w:rsid w:val="00E87904"/>
    <w:rsid w:val="00E879AD"/>
    <w:rsid w:val="00E879E8"/>
    <w:rsid w:val="00E87A2D"/>
    <w:rsid w:val="00E90118"/>
    <w:rsid w:val="00E9037C"/>
    <w:rsid w:val="00E90E17"/>
    <w:rsid w:val="00E9112E"/>
    <w:rsid w:val="00E911CF"/>
    <w:rsid w:val="00E91378"/>
    <w:rsid w:val="00E91A8A"/>
    <w:rsid w:val="00E91D23"/>
    <w:rsid w:val="00E9207F"/>
    <w:rsid w:val="00E922AA"/>
    <w:rsid w:val="00E92307"/>
    <w:rsid w:val="00E92317"/>
    <w:rsid w:val="00E92D22"/>
    <w:rsid w:val="00E934A4"/>
    <w:rsid w:val="00E9372F"/>
    <w:rsid w:val="00E93979"/>
    <w:rsid w:val="00E93C25"/>
    <w:rsid w:val="00E93DBD"/>
    <w:rsid w:val="00E946AB"/>
    <w:rsid w:val="00E94A9B"/>
    <w:rsid w:val="00E94B8F"/>
    <w:rsid w:val="00E94C0F"/>
    <w:rsid w:val="00E94C28"/>
    <w:rsid w:val="00E94D03"/>
    <w:rsid w:val="00E95AC0"/>
    <w:rsid w:val="00E96532"/>
    <w:rsid w:val="00E966AF"/>
    <w:rsid w:val="00E96736"/>
    <w:rsid w:val="00E96F98"/>
    <w:rsid w:val="00E97199"/>
    <w:rsid w:val="00E974E9"/>
    <w:rsid w:val="00E97701"/>
    <w:rsid w:val="00E97A32"/>
    <w:rsid w:val="00E97CD5"/>
    <w:rsid w:val="00E97F00"/>
    <w:rsid w:val="00E97FA2"/>
    <w:rsid w:val="00EA03EC"/>
    <w:rsid w:val="00EA040E"/>
    <w:rsid w:val="00EA047B"/>
    <w:rsid w:val="00EA07F9"/>
    <w:rsid w:val="00EA0945"/>
    <w:rsid w:val="00EA0EC9"/>
    <w:rsid w:val="00EA13C6"/>
    <w:rsid w:val="00EA16DC"/>
    <w:rsid w:val="00EA1BD2"/>
    <w:rsid w:val="00EA1C10"/>
    <w:rsid w:val="00EA2076"/>
    <w:rsid w:val="00EA217B"/>
    <w:rsid w:val="00EA21A6"/>
    <w:rsid w:val="00EA2333"/>
    <w:rsid w:val="00EA339C"/>
    <w:rsid w:val="00EA3543"/>
    <w:rsid w:val="00EA3616"/>
    <w:rsid w:val="00EA3654"/>
    <w:rsid w:val="00EA3C69"/>
    <w:rsid w:val="00EA3D07"/>
    <w:rsid w:val="00EA3D61"/>
    <w:rsid w:val="00EA3E3A"/>
    <w:rsid w:val="00EA4132"/>
    <w:rsid w:val="00EA4850"/>
    <w:rsid w:val="00EA4C2A"/>
    <w:rsid w:val="00EA54A9"/>
    <w:rsid w:val="00EA564C"/>
    <w:rsid w:val="00EA56B4"/>
    <w:rsid w:val="00EA5C53"/>
    <w:rsid w:val="00EA5F8D"/>
    <w:rsid w:val="00EA61FD"/>
    <w:rsid w:val="00EA6241"/>
    <w:rsid w:val="00EA632B"/>
    <w:rsid w:val="00EA65A3"/>
    <w:rsid w:val="00EA6701"/>
    <w:rsid w:val="00EA6725"/>
    <w:rsid w:val="00EA6A7E"/>
    <w:rsid w:val="00EA6AC7"/>
    <w:rsid w:val="00EA6BA3"/>
    <w:rsid w:val="00EA6C7D"/>
    <w:rsid w:val="00EA7208"/>
    <w:rsid w:val="00EA755C"/>
    <w:rsid w:val="00EA76EB"/>
    <w:rsid w:val="00EA7EC8"/>
    <w:rsid w:val="00EA7ED7"/>
    <w:rsid w:val="00EB00CC"/>
    <w:rsid w:val="00EB0936"/>
    <w:rsid w:val="00EB116A"/>
    <w:rsid w:val="00EB118F"/>
    <w:rsid w:val="00EB1E1E"/>
    <w:rsid w:val="00EB216C"/>
    <w:rsid w:val="00EB2ADB"/>
    <w:rsid w:val="00EB2C3F"/>
    <w:rsid w:val="00EB2CFB"/>
    <w:rsid w:val="00EB2F71"/>
    <w:rsid w:val="00EB3A56"/>
    <w:rsid w:val="00EB3C14"/>
    <w:rsid w:val="00EB3C16"/>
    <w:rsid w:val="00EB3D4C"/>
    <w:rsid w:val="00EB3EFF"/>
    <w:rsid w:val="00EB3FF6"/>
    <w:rsid w:val="00EB4173"/>
    <w:rsid w:val="00EB45C5"/>
    <w:rsid w:val="00EB4ABE"/>
    <w:rsid w:val="00EB5103"/>
    <w:rsid w:val="00EB5995"/>
    <w:rsid w:val="00EB5B5B"/>
    <w:rsid w:val="00EB5DCA"/>
    <w:rsid w:val="00EB6264"/>
    <w:rsid w:val="00EB6404"/>
    <w:rsid w:val="00EB6A61"/>
    <w:rsid w:val="00EB70DE"/>
    <w:rsid w:val="00EB7312"/>
    <w:rsid w:val="00EB7B2E"/>
    <w:rsid w:val="00EB7DDE"/>
    <w:rsid w:val="00EC0032"/>
    <w:rsid w:val="00EC0275"/>
    <w:rsid w:val="00EC03B8"/>
    <w:rsid w:val="00EC05D3"/>
    <w:rsid w:val="00EC0CD5"/>
    <w:rsid w:val="00EC12B3"/>
    <w:rsid w:val="00EC16B6"/>
    <w:rsid w:val="00EC1C56"/>
    <w:rsid w:val="00EC21B1"/>
    <w:rsid w:val="00EC26D0"/>
    <w:rsid w:val="00EC2ED4"/>
    <w:rsid w:val="00EC2ED9"/>
    <w:rsid w:val="00EC30C4"/>
    <w:rsid w:val="00EC331A"/>
    <w:rsid w:val="00EC339C"/>
    <w:rsid w:val="00EC35EF"/>
    <w:rsid w:val="00EC3D0B"/>
    <w:rsid w:val="00EC48D6"/>
    <w:rsid w:val="00EC4BBA"/>
    <w:rsid w:val="00EC4BEF"/>
    <w:rsid w:val="00EC4E16"/>
    <w:rsid w:val="00EC5570"/>
    <w:rsid w:val="00EC58F4"/>
    <w:rsid w:val="00EC5AD8"/>
    <w:rsid w:val="00EC6284"/>
    <w:rsid w:val="00EC635C"/>
    <w:rsid w:val="00EC6729"/>
    <w:rsid w:val="00EC6A13"/>
    <w:rsid w:val="00EC6C08"/>
    <w:rsid w:val="00EC6EB6"/>
    <w:rsid w:val="00EC6F73"/>
    <w:rsid w:val="00EC79CD"/>
    <w:rsid w:val="00EC7B70"/>
    <w:rsid w:val="00ED01A7"/>
    <w:rsid w:val="00ED0924"/>
    <w:rsid w:val="00ED0BBB"/>
    <w:rsid w:val="00ED0C96"/>
    <w:rsid w:val="00ED0E8F"/>
    <w:rsid w:val="00ED0EA1"/>
    <w:rsid w:val="00ED1107"/>
    <w:rsid w:val="00ED1242"/>
    <w:rsid w:val="00ED1529"/>
    <w:rsid w:val="00ED152E"/>
    <w:rsid w:val="00ED167E"/>
    <w:rsid w:val="00ED18E3"/>
    <w:rsid w:val="00ED1982"/>
    <w:rsid w:val="00ED2102"/>
    <w:rsid w:val="00ED2C0A"/>
    <w:rsid w:val="00ED2C49"/>
    <w:rsid w:val="00ED2C84"/>
    <w:rsid w:val="00ED331F"/>
    <w:rsid w:val="00ED3A32"/>
    <w:rsid w:val="00ED3AC9"/>
    <w:rsid w:val="00ED3EC9"/>
    <w:rsid w:val="00ED412B"/>
    <w:rsid w:val="00ED4527"/>
    <w:rsid w:val="00ED4BED"/>
    <w:rsid w:val="00ED555A"/>
    <w:rsid w:val="00ED5F11"/>
    <w:rsid w:val="00ED601C"/>
    <w:rsid w:val="00ED6037"/>
    <w:rsid w:val="00ED6298"/>
    <w:rsid w:val="00ED65F1"/>
    <w:rsid w:val="00ED67A1"/>
    <w:rsid w:val="00ED6C39"/>
    <w:rsid w:val="00ED6F05"/>
    <w:rsid w:val="00ED7327"/>
    <w:rsid w:val="00ED7B4F"/>
    <w:rsid w:val="00ED7BCA"/>
    <w:rsid w:val="00ED7C6B"/>
    <w:rsid w:val="00ED7F64"/>
    <w:rsid w:val="00EE03AA"/>
    <w:rsid w:val="00EE0481"/>
    <w:rsid w:val="00EE06B6"/>
    <w:rsid w:val="00EE071E"/>
    <w:rsid w:val="00EE0776"/>
    <w:rsid w:val="00EE0A62"/>
    <w:rsid w:val="00EE1039"/>
    <w:rsid w:val="00EE105E"/>
    <w:rsid w:val="00EE113E"/>
    <w:rsid w:val="00EE135F"/>
    <w:rsid w:val="00EE17A5"/>
    <w:rsid w:val="00EE1ABB"/>
    <w:rsid w:val="00EE1F95"/>
    <w:rsid w:val="00EE244F"/>
    <w:rsid w:val="00EE276A"/>
    <w:rsid w:val="00EE27DF"/>
    <w:rsid w:val="00EE293A"/>
    <w:rsid w:val="00EE2E58"/>
    <w:rsid w:val="00EE3846"/>
    <w:rsid w:val="00EE39CD"/>
    <w:rsid w:val="00EE3B0B"/>
    <w:rsid w:val="00EE3BB1"/>
    <w:rsid w:val="00EE3C2E"/>
    <w:rsid w:val="00EE3C79"/>
    <w:rsid w:val="00EE3D81"/>
    <w:rsid w:val="00EE41D0"/>
    <w:rsid w:val="00EE478F"/>
    <w:rsid w:val="00EE48EA"/>
    <w:rsid w:val="00EE4C18"/>
    <w:rsid w:val="00EE556D"/>
    <w:rsid w:val="00EE5660"/>
    <w:rsid w:val="00EE5903"/>
    <w:rsid w:val="00EE59B3"/>
    <w:rsid w:val="00EE6192"/>
    <w:rsid w:val="00EE64C7"/>
    <w:rsid w:val="00EE6B33"/>
    <w:rsid w:val="00EE6D3D"/>
    <w:rsid w:val="00EE6E03"/>
    <w:rsid w:val="00EE6EF9"/>
    <w:rsid w:val="00EE71DF"/>
    <w:rsid w:val="00EE7433"/>
    <w:rsid w:val="00EE7509"/>
    <w:rsid w:val="00EE7AB7"/>
    <w:rsid w:val="00EF00EE"/>
    <w:rsid w:val="00EF01F6"/>
    <w:rsid w:val="00EF03CD"/>
    <w:rsid w:val="00EF081E"/>
    <w:rsid w:val="00EF0A69"/>
    <w:rsid w:val="00EF0AF6"/>
    <w:rsid w:val="00EF0BEE"/>
    <w:rsid w:val="00EF0C81"/>
    <w:rsid w:val="00EF0D51"/>
    <w:rsid w:val="00EF0E50"/>
    <w:rsid w:val="00EF1615"/>
    <w:rsid w:val="00EF1F8D"/>
    <w:rsid w:val="00EF1FCC"/>
    <w:rsid w:val="00EF2572"/>
    <w:rsid w:val="00EF267E"/>
    <w:rsid w:val="00EF29BB"/>
    <w:rsid w:val="00EF2F53"/>
    <w:rsid w:val="00EF3B52"/>
    <w:rsid w:val="00EF40EA"/>
    <w:rsid w:val="00EF43FD"/>
    <w:rsid w:val="00EF49B2"/>
    <w:rsid w:val="00EF4FB2"/>
    <w:rsid w:val="00EF54B4"/>
    <w:rsid w:val="00EF58E2"/>
    <w:rsid w:val="00EF6260"/>
    <w:rsid w:val="00EF63E2"/>
    <w:rsid w:val="00EF642E"/>
    <w:rsid w:val="00EF67C6"/>
    <w:rsid w:val="00EF6EFA"/>
    <w:rsid w:val="00EF6FCA"/>
    <w:rsid w:val="00EF7163"/>
    <w:rsid w:val="00EF74BE"/>
    <w:rsid w:val="00EF78E1"/>
    <w:rsid w:val="00EF78E6"/>
    <w:rsid w:val="00EF78F8"/>
    <w:rsid w:val="00EF79FE"/>
    <w:rsid w:val="00F004D7"/>
    <w:rsid w:val="00F008C1"/>
    <w:rsid w:val="00F009A2"/>
    <w:rsid w:val="00F00A69"/>
    <w:rsid w:val="00F00AA0"/>
    <w:rsid w:val="00F00E2B"/>
    <w:rsid w:val="00F00E4C"/>
    <w:rsid w:val="00F0119E"/>
    <w:rsid w:val="00F023C8"/>
    <w:rsid w:val="00F02447"/>
    <w:rsid w:val="00F029BD"/>
    <w:rsid w:val="00F02A48"/>
    <w:rsid w:val="00F0304B"/>
    <w:rsid w:val="00F03366"/>
    <w:rsid w:val="00F03540"/>
    <w:rsid w:val="00F036AC"/>
    <w:rsid w:val="00F03B15"/>
    <w:rsid w:val="00F03BF5"/>
    <w:rsid w:val="00F03C7F"/>
    <w:rsid w:val="00F0408B"/>
    <w:rsid w:val="00F04187"/>
    <w:rsid w:val="00F045C2"/>
    <w:rsid w:val="00F046D5"/>
    <w:rsid w:val="00F047BD"/>
    <w:rsid w:val="00F04872"/>
    <w:rsid w:val="00F04B41"/>
    <w:rsid w:val="00F04C1D"/>
    <w:rsid w:val="00F04D65"/>
    <w:rsid w:val="00F0529B"/>
    <w:rsid w:val="00F0538C"/>
    <w:rsid w:val="00F053C7"/>
    <w:rsid w:val="00F0568C"/>
    <w:rsid w:val="00F05921"/>
    <w:rsid w:val="00F05F57"/>
    <w:rsid w:val="00F05F8C"/>
    <w:rsid w:val="00F06013"/>
    <w:rsid w:val="00F06261"/>
    <w:rsid w:val="00F066B9"/>
    <w:rsid w:val="00F06B6F"/>
    <w:rsid w:val="00F06FA3"/>
    <w:rsid w:val="00F0701E"/>
    <w:rsid w:val="00F0740D"/>
    <w:rsid w:val="00F0742C"/>
    <w:rsid w:val="00F078FE"/>
    <w:rsid w:val="00F105A0"/>
    <w:rsid w:val="00F10751"/>
    <w:rsid w:val="00F1108E"/>
    <w:rsid w:val="00F115DD"/>
    <w:rsid w:val="00F12033"/>
    <w:rsid w:val="00F125C0"/>
    <w:rsid w:val="00F129C6"/>
    <w:rsid w:val="00F12A56"/>
    <w:rsid w:val="00F12AC1"/>
    <w:rsid w:val="00F1318C"/>
    <w:rsid w:val="00F13333"/>
    <w:rsid w:val="00F1377B"/>
    <w:rsid w:val="00F139BE"/>
    <w:rsid w:val="00F13C72"/>
    <w:rsid w:val="00F1411A"/>
    <w:rsid w:val="00F14165"/>
    <w:rsid w:val="00F14544"/>
    <w:rsid w:val="00F145BC"/>
    <w:rsid w:val="00F1486D"/>
    <w:rsid w:val="00F14896"/>
    <w:rsid w:val="00F14B96"/>
    <w:rsid w:val="00F15C65"/>
    <w:rsid w:val="00F15E88"/>
    <w:rsid w:val="00F16386"/>
    <w:rsid w:val="00F165D0"/>
    <w:rsid w:val="00F166E8"/>
    <w:rsid w:val="00F16917"/>
    <w:rsid w:val="00F1694F"/>
    <w:rsid w:val="00F16A49"/>
    <w:rsid w:val="00F16B48"/>
    <w:rsid w:val="00F16E39"/>
    <w:rsid w:val="00F171F6"/>
    <w:rsid w:val="00F172E0"/>
    <w:rsid w:val="00F17366"/>
    <w:rsid w:val="00F175B2"/>
    <w:rsid w:val="00F1772B"/>
    <w:rsid w:val="00F17A63"/>
    <w:rsid w:val="00F17CB9"/>
    <w:rsid w:val="00F17EDA"/>
    <w:rsid w:val="00F17FB4"/>
    <w:rsid w:val="00F2027F"/>
    <w:rsid w:val="00F20967"/>
    <w:rsid w:val="00F20B35"/>
    <w:rsid w:val="00F20C69"/>
    <w:rsid w:val="00F20FEF"/>
    <w:rsid w:val="00F210DF"/>
    <w:rsid w:val="00F2115C"/>
    <w:rsid w:val="00F21334"/>
    <w:rsid w:val="00F21408"/>
    <w:rsid w:val="00F21861"/>
    <w:rsid w:val="00F21A4A"/>
    <w:rsid w:val="00F21AA1"/>
    <w:rsid w:val="00F21C0F"/>
    <w:rsid w:val="00F22389"/>
    <w:rsid w:val="00F2261A"/>
    <w:rsid w:val="00F22AA7"/>
    <w:rsid w:val="00F22B12"/>
    <w:rsid w:val="00F22D3C"/>
    <w:rsid w:val="00F23245"/>
    <w:rsid w:val="00F23297"/>
    <w:rsid w:val="00F2329C"/>
    <w:rsid w:val="00F234DA"/>
    <w:rsid w:val="00F23D6D"/>
    <w:rsid w:val="00F24298"/>
    <w:rsid w:val="00F24299"/>
    <w:rsid w:val="00F242A0"/>
    <w:rsid w:val="00F2471C"/>
    <w:rsid w:val="00F24AD7"/>
    <w:rsid w:val="00F24B6D"/>
    <w:rsid w:val="00F24DE2"/>
    <w:rsid w:val="00F251C0"/>
    <w:rsid w:val="00F25256"/>
    <w:rsid w:val="00F25508"/>
    <w:rsid w:val="00F256DB"/>
    <w:rsid w:val="00F2596E"/>
    <w:rsid w:val="00F259FC"/>
    <w:rsid w:val="00F25A66"/>
    <w:rsid w:val="00F264B5"/>
    <w:rsid w:val="00F26711"/>
    <w:rsid w:val="00F26777"/>
    <w:rsid w:val="00F26920"/>
    <w:rsid w:val="00F26D42"/>
    <w:rsid w:val="00F26D97"/>
    <w:rsid w:val="00F27024"/>
    <w:rsid w:val="00F27026"/>
    <w:rsid w:val="00F271C7"/>
    <w:rsid w:val="00F2741E"/>
    <w:rsid w:val="00F274B0"/>
    <w:rsid w:val="00F2765A"/>
    <w:rsid w:val="00F276F1"/>
    <w:rsid w:val="00F2784E"/>
    <w:rsid w:val="00F27A09"/>
    <w:rsid w:val="00F27B0E"/>
    <w:rsid w:val="00F27C14"/>
    <w:rsid w:val="00F27FB4"/>
    <w:rsid w:val="00F30699"/>
    <w:rsid w:val="00F306E6"/>
    <w:rsid w:val="00F30806"/>
    <w:rsid w:val="00F30D63"/>
    <w:rsid w:val="00F30EF0"/>
    <w:rsid w:val="00F310F1"/>
    <w:rsid w:val="00F3111D"/>
    <w:rsid w:val="00F31195"/>
    <w:rsid w:val="00F31261"/>
    <w:rsid w:val="00F314C2"/>
    <w:rsid w:val="00F31524"/>
    <w:rsid w:val="00F315BE"/>
    <w:rsid w:val="00F316D7"/>
    <w:rsid w:val="00F31DD7"/>
    <w:rsid w:val="00F31F04"/>
    <w:rsid w:val="00F31FA3"/>
    <w:rsid w:val="00F321FF"/>
    <w:rsid w:val="00F324F0"/>
    <w:rsid w:val="00F3295D"/>
    <w:rsid w:val="00F32997"/>
    <w:rsid w:val="00F32FA0"/>
    <w:rsid w:val="00F33249"/>
    <w:rsid w:val="00F334C4"/>
    <w:rsid w:val="00F3393D"/>
    <w:rsid w:val="00F3395A"/>
    <w:rsid w:val="00F33AE8"/>
    <w:rsid w:val="00F33B7F"/>
    <w:rsid w:val="00F33C4F"/>
    <w:rsid w:val="00F34268"/>
    <w:rsid w:val="00F347CB"/>
    <w:rsid w:val="00F34CD2"/>
    <w:rsid w:val="00F35324"/>
    <w:rsid w:val="00F3538E"/>
    <w:rsid w:val="00F356B6"/>
    <w:rsid w:val="00F3613C"/>
    <w:rsid w:val="00F3664D"/>
    <w:rsid w:val="00F36756"/>
    <w:rsid w:val="00F3683D"/>
    <w:rsid w:val="00F36D73"/>
    <w:rsid w:val="00F37751"/>
    <w:rsid w:val="00F3792B"/>
    <w:rsid w:val="00F37F4C"/>
    <w:rsid w:val="00F40AFC"/>
    <w:rsid w:val="00F40BC5"/>
    <w:rsid w:val="00F40E95"/>
    <w:rsid w:val="00F40EC0"/>
    <w:rsid w:val="00F40FA0"/>
    <w:rsid w:val="00F4123A"/>
    <w:rsid w:val="00F4148D"/>
    <w:rsid w:val="00F4175B"/>
    <w:rsid w:val="00F41804"/>
    <w:rsid w:val="00F419F7"/>
    <w:rsid w:val="00F41A64"/>
    <w:rsid w:val="00F41CDB"/>
    <w:rsid w:val="00F41E86"/>
    <w:rsid w:val="00F41E95"/>
    <w:rsid w:val="00F41ED6"/>
    <w:rsid w:val="00F41FC7"/>
    <w:rsid w:val="00F41FF2"/>
    <w:rsid w:val="00F4298A"/>
    <w:rsid w:val="00F42A41"/>
    <w:rsid w:val="00F42CBD"/>
    <w:rsid w:val="00F42EDA"/>
    <w:rsid w:val="00F43275"/>
    <w:rsid w:val="00F43E7D"/>
    <w:rsid w:val="00F43F3C"/>
    <w:rsid w:val="00F44B67"/>
    <w:rsid w:val="00F44C56"/>
    <w:rsid w:val="00F44C7A"/>
    <w:rsid w:val="00F44DB3"/>
    <w:rsid w:val="00F44DB8"/>
    <w:rsid w:val="00F44E3C"/>
    <w:rsid w:val="00F44FFC"/>
    <w:rsid w:val="00F45621"/>
    <w:rsid w:val="00F45666"/>
    <w:rsid w:val="00F456B6"/>
    <w:rsid w:val="00F458B4"/>
    <w:rsid w:val="00F45DC7"/>
    <w:rsid w:val="00F45F72"/>
    <w:rsid w:val="00F4630E"/>
    <w:rsid w:val="00F46662"/>
    <w:rsid w:val="00F466AE"/>
    <w:rsid w:val="00F46DB7"/>
    <w:rsid w:val="00F46EFE"/>
    <w:rsid w:val="00F47299"/>
    <w:rsid w:val="00F4755C"/>
    <w:rsid w:val="00F47751"/>
    <w:rsid w:val="00F47D4D"/>
    <w:rsid w:val="00F50015"/>
    <w:rsid w:val="00F5060F"/>
    <w:rsid w:val="00F50F9C"/>
    <w:rsid w:val="00F51150"/>
    <w:rsid w:val="00F51411"/>
    <w:rsid w:val="00F51C05"/>
    <w:rsid w:val="00F527E1"/>
    <w:rsid w:val="00F52B16"/>
    <w:rsid w:val="00F52DAD"/>
    <w:rsid w:val="00F5331D"/>
    <w:rsid w:val="00F5336D"/>
    <w:rsid w:val="00F537ED"/>
    <w:rsid w:val="00F5393F"/>
    <w:rsid w:val="00F53ACD"/>
    <w:rsid w:val="00F53DCF"/>
    <w:rsid w:val="00F540F9"/>
    <w:rsid w:val="00F547A0"/>
    <w:rsid w:val="00F5498D"/>
    <w:rsid w:val="00F549C7"/>
    <w:rsid w:val="00F54AAD"/>
    <w:rsid w:val="00F54FE4"/>
    <w:rsid w:val="00F550E6"/>
    <w:rsid w:val="00F55B48"/>
    <w:rsid w:val="00F561FB"/>
    <w:rsid w:val="00F5684D"/>
    <w:rsid w:val="00F56A66"/>
    <w:rsid w:val="00F56C6B"/>
    <w:rsid w:val="00F56F01"/>
    <w:rsid w:val="00F5705F"/>
    <w:rsid w:val="00F57360"/>
    <w:rsid w:val="00F57427"/>
    <w:rsid w:val="00F57977"/>
    <w:rsid w:val="00F57B1D"/>
    <w:rsid w:val="00F57E1D"/>
    <w:rsid w:val="00F60318"/>
    <w:rsid w:val="00F605A4"/>
    <w:rsid w:val="00F609C4"/>
    <w:rsid w:val="00F60A87"/>
    <w:rsid w:val="00F60BC2"/>
    <w:rsid w:val="00F60BD5"/>
    <w:rsid w:val="00F60C92"/>
    <w:rsid w:val="00F60CDC"/>
    <w:rsid w:val="00F60F75"/>
    <w:rsid w:val="00F610B7"/>
    <w:rsid w:val="00F6183D"/>
    <w:rsid w:val="00F61894"/>
    <w:rsid w:val="00F62542"/>
    <w:rsid w:val="00F62811"/>
    <w:rsid w:val="00F62936"/>
    <w:rsid w:val="00F6343C"/>
    <w:rsid w:val="00F6363C"/>
    <w:rsid w:val="00F63944"/>
    <w:rsid w:val="00F63BE1"/>
    <w:rsid w:val="00F63DA2"/>
    <w:rsid w:val="00F64031"/>
    <w:rsid w:val="00F64C5A"/>
    <w:rsid w:val="00F64F84"/>
    <w:rsid w:val="00F64FC5"/>
    <w:rsid w:val="00F64FD5"/>
    <w:rsid w:val="00F650B8"/>
    <w:rsid w:val="00F65377"/>
    <w:rsid w:val="00F654C9"/>
    <w:rsid w:val="00F65630"/>
    <w:rsid w:val="00F65926"/>
    <w:rsid w:val="00F65DE6"/>
    <w:rsid w:val="00F66082"/>
    <w:rsid w:val="00F6625D"/>
    <w:rsid w:val="00F663F6"/>
    <w:rsid w:val="00F669B4"/>
    <w:rsid w:val="00F66CD0"/>
    <w:rsid w:val="00F67024"/>
    <w:rsid w:val="00F6773E"/>
    <w:rsid w:val="00F677C5"/>
    <w:rsid w:val="00F67EC8"/>
    <w:rsid w:val="00F67EE8"/>
    <w:rsid w:val="00F7019C"/>
    <w:rsid w:val="00F70267"/>
    <w:rsid w:val="00F707B7"/>
    <w:rsid w:val="00F70A9A"/>
    <w:rsid w:val="00F7108E"/>
    <w:rsid w:val="00F71149"/>
    <w:rsid w:val="00F71959"/>
    <w:rsid w:val="00F72559"/>
    <w:rsid w:val="00F726AE"/>
    <w:rsid w:val="00F727DC"/>
    <w:rsid w:val="00F7319E"/>
    <w:rsid w:val="00F73641"/>
    <w:rsid w:val="00F73830"/>
    <w:rsid w:val="00F73878"/>
    <w:rsid w:val="00F739FA"/>
    <w:rsid w:val="00F73A44"/>
    <w:rsid w:val="00F73BD3"/>
    <w:rsid w:val="00F73C7F"/>
    <w:rsid w:val="00F75475"/>
    <w:rsid w:val="00F75EDB"/>
    <w:rsid w:val="00F760B5"/>
    <w:rsid w:val="00F7612E"/>
    <w:rsid w:val="00F76434"/>
    <w:rsid w:val="00F76B8E"/>
    <w:rsid w:val="00F77299"/>
    <w:rsid w:val="00F7740A"/>
    <w:rsid w:val="00F77496"/>
    <w:rsid w:val="00F7794E"/>
    <w:rsid w:val="00F77D1D"/>
    <w:rsid w:val="00F77FA4"/>
    <w:rsid w:val="00F80172"/>
    <w:rsid w:val="00F802B6"/>
    <w:rsid w:val="00F8035B"/>
    <w:rsid w:val="00F803E1"/>
    <w:rsid w:val="00F80469"/>
    <w:rsid w:val="00F8086A"/>
    <w:rsid w:val="00F8138A"/>
    <w:rsid w:val="00F814F5"/>
    <w:rsid w:val="00F817C4"/>
    <w:rsid w:val="00F81C12"/>
    <w:rsid w:val="00F820B9"/>
    <w:rsid w:val="00F82B32"/>
    <w:rsid w:val="00F82C40"/>
    <w:rsid w:val="00F82ED5"/>
    <w:rsid w:val="00F82FB5"/>
    <w:rsid w:val="00F8314A"/>
    <w:rsid w:val="00F832D7"/>
    <w:rsid w:val="00F834D0"/>
    <w:rsid w:val="00F83939"/>
    <w:rsid w:val="00F83AD2"/>
    <w:rsid w:val="00F83CA2"/>
    <w:rsid w:val="00F841DD"/>
    <w:rsid w:val="00F841FD"/>
    <w:rsid w:val="00F842A4"/>
    <w:rsid w:val="00F84398"/>
    <w:rsid w:val="00F844E2"/>
    <w:rsid w:val="00F84770"/>
    <w:rsid w:val="00F85018"/>
    <w:rsid w:val="00F85081"/>
    <w:rsid w:val="00F850AB"/>
    <w:rsid w:val="00F8529A"/>
    <w:rsid w:val="00F858E1"/>
    <w:rsid w:val="00F85C09"/>
    <w:rsid w:val="00F85DD0"/>
    <w:rsid w:val="00F85FED"/>
    <w:rsid w:val="00F8609B"/>
    <w:rsid w:val="00F86302"/>
    <w:rsid w:val="00F86567"/>
    <w:rsid w:val="00F86803"/>
    <w:rsid w:val="00F86845"/>
    <w:rsid w:val="00F86B4B"/>
    <w:rsid w:val="00F86B6F"/>
    <w:rsid w:val="00F86E57"/>
    <w:rsid w:val="00F87102"/>
    <w:rsid w:val="00F872B9"/>
    <w:rsid w:val="00F87703"/>
    <w:rsid w:val="00F8778E"/>
    <w:rsid w:val="00F87814"/>
    <w:rsid w:val="00F878E1"/>
    <w:rsid w:val="00F87993"/>
    <w:rsid w:val="00F87ECB"/>
    <w:rsid w:val="00F87FCD"/>
    <w:rsid w:val="00F90134"/>
    <w:rsid w:val="00F902D6"/>
    <w:rsid w:val="00F903B6"/>
    <w:rsid w:val="00F905D5"/>
    <w:rsid w:val="00F90B37"/>
    <w:rsid w:val="00F90DD2"/>
    <w:rsid w:val="00F90E03"/>
    <w:rsid w:val="00F91030"/>
    <w:rsid w:val="00F91092"/>
    <w:rsid w:val="00F91862"/>
    <w:rsid w:val="00F9198A"/>
    <w:rsid w:val="00F91EAE"/>
    <w:rsid w:val="00F91F7F"/>
    <w:rsid w:val="00F9224A"/>
    <w:rsid w:val="00F92503"/>
    <w:rsid w:val="00F92D39"/>
    <w:rsid w:val="00F92E50"/>
    <w:rsid w:val="00F92E6A"/>
    <w:rsid w:val="00F93132"/>
    <w:rsid w:val="00F936DD"/>
    <w:rsid w:val="00F937B6"/>
    <w:rsid w:val="00F938EB"/>
    <w:rsid w:val="00F93F5C"/>
    <w:rsid w:val="00F9430E"/>
    <w:rsid w:val="00F9464E"/>
    <w:rsid w:val="00F948B0"/>
    <w:rsid w:val="00F948C8"/>
    <w:rsid w:val="00F94A21"/>
    <w:rsid w:val="00F94DE3"/>
    <w:rsid w:val="00F95036"/>
    <w:rsid w:val="00F95560"/>
    <w:rsid w:val="00F956A3"/>
    <w:rsid w:val="00F95936"/>
    <w:rsid w:val="00F959F9"/>
    <w:rsid w:val="00F95E59"/>
    <w:rsid w:val="00F9603A"/>
    <w:rsid w:val="00F9617F"/>
    <w:rsid w:val="00F96430"/>
    <w:rsid w:val="00F964AB"/>
    <w:rsid w:val="00F968F0"/>
    <w:rsid w:val="00F97428"/>
    <w:rsid w:val="00F97A0E"/>
    <w:rsid w:val="00F97E3D"/>
    <w:rsid w:val="00FA018A"/>
    <w:rsid w:val="00FA0360"/>
    <w:rsid w:val="00FA05A4"/>
    <w:rsid w:val="00FA0B46"/>
    <w:rsid w:val="00FA0C5B"/>
    <w:rsid w:val="00FA0CD9"/>
    <w:rsid w:val="00FA0DD9"/>
    <w:rsid w:val="00FA0FEB"/>
    <w:rsid w:val="00FA13F1"/>
    <w:rsid w:val="00FA1A1F"/>
    <w:rsid w:val="00FA226B"/>
    <w:rsid w:val="00FA25BD"/>
    <w:rsid w:val="00FA2658"/>
    <w:rsid w:val="00FA2809"/>
    <w:rsid w:val="00FA2889"/>
    <w:rsid w:val="00FA290C"/>
    <w:rsid w:val="00FA2B90"/>
    <w:rsid w:val="00FA2E42"/>
    <w:rsid w:val="00FA33E3"/>
    <w:rsid w:val="00FA3760"/>
    <w:rsid w:val="00FA3870"/>
    <w:rsid w:val="00FA40DD"/>
    <w:rsid w:val="00FA453C"/>
    <w:rsid w:val="00FA4B96"/>
    <w:rsid w:val="00FA5439"/>
    <w:rsid w:val="00FA5BA5"/>
    <w:rsid w:val="00FA5CCB"/>
    <w:rsid w:val="00FA5DD6"/>
    <w:rsid w:val="00FA6565"/>
    <w:rsid w:val="00FA68FF"/>
    <w:rsid w:val="00FA6AF4"/>
    <w:rsid w:val="00FA7251"/>
    <w:rsid w:val="00FA7613"/>
    <w:rsid w:val="00FA783D"/>
    <w:rsid w:val="00FA7961"/>
    <w:rsid w:val="00FA799E"/>
    <w:rsid w:val="00FB0C06"/>
    <w:rsid w:val="00FB0E5C"/>
    <w:rsid w:val="00FB114D"/>
    <w:rsid w:val="00FB1204"/>
    <w:rsid w:val="00FB12CC"/>
    <w:rsid w:val="00FB1596"/>
    <w:rsid w:val="00FB1615"/>
    <w:rsid w:val="00FB1C79"/>
    <w:rsid w:val="00FB1CB2"/>
    <w:rsid w:val="00FB1EC1"/>
    <w:rsid w:val="00FB201B"/>
    <w:rsid w:val="00FB237A"/>
    <w:rsid w:val="00FB2663"/>
    <w:rsid w:val="00FB2C33"/>
    <w:rsid w:val="00FB2F0F"/>
    <w:rsid w:val="00FB3023"/>
    <w:rsid w:val="00FB31CE"/>
    <w:rsid w:val="00FB36FE"/>
    <w:rsid w:val="00FB3876"/>
    <w:rsid w:val="00FB3C3A"/>
    <w:rsid w:val="00FB3C4A"/>
    <w:rsid w:val="00FB3EBA"/>
    <w:rsid w:val="00FB4117"/>
    <w:rsid w:val="00FB4313"/>
    <w:rsid w:val="00FB4AB5"/>
    <w:rsid w:val="00FB50E4"/>
    <w:rsid w:val="00FB52CA"/>
    <w:rsid w:val="00FB59ED"/>
    <w:rsid w:val="00FB5D11"/>
    <w:rsid w:val="00FB5DE0"/>
    <w:rsid w:val="00FB60AE"/>
    <w:rsid w:val="00FB657F"/>
    <w:rsid w:val="00FB65B0"/>
    <w:rsid w:val="00FB6AB2"/>
    <w:rsid w:val="00FB6B81"/>
    <w:rsid w:val="00FB6CDF"/>
    <w:rsid w:val="00FB6E5E"/>
    <w:rsid w:val="00FB6E6B"/>
    <w:rsid w:val="00FB707D"/>
    <w:rsid w:val="00FB72C1"/>
    <w:rsid w:val="00FB7507"/>
    <w:rsid w:val="00FB75D3"/>
    <w:rsid w:val="00FB7947"/>
    <w:rsid w:val="00FB7A6C"/>
    <w:rsid w:val="00FB7ECF"/>
    <w:rsid w:val="00FC023D"/>
    <w:rsid w:val="00FC048E"/>
    <w:rsid w:val="00FC073A"/>
    <w:rsid w:val="00FC0A8F"/>
    <w:rsid w:val="00FC0CA5"/>
    <w:rsid w:val="00FC1715"/>
    <w:rsid w:val="00FC1BA6"/>
    <w:rsid w:val="00FC2266"/>
    <w:rsid w:val="00FC2269"/>
    <w:rsid w:val="00FC2484"/>
    <w:rsid w:val="00FC26B2"/>
    <w:rsid w:val="00FC2C6D"/>
    <w:rsid w:val="00FC2E56"/>
    <w:rsid w:val="00FC3188"/>
    <w:rsid w:val="00FC3608"/>
    <w:rsid w:val="00FC37B0"/>
    <w:rsid w:val="00FC3D5C"/>
    <w:rsid w:val="00FC440C"/>
    <w:rsid w:val="00FC4699"/>
    <w:rsid w:val="00FC4EA8"/>
    <w:rsid w:val="00FC4F03"/>
    <w:rsid w:val="00FC51A3"/>
    <w:rsid w:val="00FC595C"/>
    <w:rsid w:val="00FC5A2A"/>
    <w:rsid w:val="00FC5C81"/>
    <w:rsid w:val="00FC6064"/>
    <w:rsid w:val="00FC6158"/>
    <w:rsid w:val="00FC6ED2"/>
    <w:rsid w:val="00FC6EF2"/>
    <w:rsid w:val="00FC7A04"/>
    <w:rsid w:val="00FC7F51"/>
    <w:rsid w:val="00FD0015"/>
    <w:rsid w:val="00FD01CB"/>
    <w:rsid w:val="00FD04F2"/>
    <w:rsid w:val="00FD0596"/>
    <w:rsid w:val="00FD0772"/>
    <w:rsid w:val="00FD0875"/>
    <w:rsid w:val="00FD107B"/>
    <w:rsid w:val="00FD15A5"/>
    <w:rsid w:val="00FD1855"/>
    <w:rsid w:val="00FD1857"/>
    <w:rsid w:val="00FD18A1"/>
    <w:rsid w:val="00FD1C04"/>
    <w:rsid w:val="00FD1D44"/>
    <w:rsid w:val="00FD1DC8"/>
    <w:rsid w:val="00FD216B"/>
    <w:rsid w:val="00FD2293"/>
    <w:rsid w:val="00FD241E"/>
    <w:rsid w:val="00FD27DA"/>
    <w:rsid w:val="00FD30DE"/>
    <w:rsid w:val="00FD3265"/>
    <w:rsid w:val="00FD33A3"/>
    <w:rsid w:val="00FD37A8"/>
    <w:rsid w:val="00FD3A25"/>
    <w:rsid w:val="00FD3AAA"/>
    <w:rsid w:val="00FD3E6F"/>
    <w:rsid w:val="00FD4149"/>
    <w:rsid w:val="00FD42C7"/>
    <w:rsid w:val="00FD4518"/>
    <w:rsid w:val="00FD4E2E"/>
    <w:rsid w:val="00FD502A"/>
    <w:rsid w:val="00FD52CD"/>
    <w:rsid w:val="00FD5A57"/>
    <w:rsid w:val="00FD6416"/>
    <w:rsid w:val="00FD67A4"/>
    <w:rsid w:val="00FD6CB7"/>
    <w:rsid w:val="00FD6CCB"/>
    <w:rsid w:val="00FD6D30"/>
    <w:rsid w:val="00FD70EF"/>
    <w:rsid w:val="00FD718D"/>
    <w:rsid w:val="00FD73A1"/>
    <w:rsid w:val="00FD775D"/>
    <w:rsid w:val="00FD786C"/>
    <w:rsid w:val="00FD7B38"/>
    <w:rsid w:val="00FD7D3C"/>
    <w:rsid w:val="00FD7F00"/>
    <w:rsid w:val="00FE0063"/>
    <w:rsid w:val="00FE0144"/>
    <w:rsid w:val="00FE0C35"/>
    <w:rsid w:val="00FE1029"/>
    <w:rsid w:val="00FE10C7"/>
    <w:rsid w:val="00FE110B"/>
    <w:rsid w:val="00FE138F"/>
    <w:rsid w:val="00FE1470"/>
    <w:rsid w:val="00FE1905"/>
    <w:rsid w:val="00FE1920"/>
    <w:rsid w:val="00FE2161"/>
    <w:rsid w:val="00FE232F"/>
    <w:rsid w:val="00FE2384"/>
    <w:rsid w:val="00FE24D2"/>
    <w:rsid w:val="00FE2C15"/>
    <w:rsid w:val="00FE2C57"/>
    <w:rsid w:val="00FE2C72"/>
    <w:rsid w:val="00FE2D76"/>
    <w:rsid w:val="00FE2F5C"/>
    <w:rsid w:val="00FE3000"/>
    <w:rsid w:val="00FE337E"/>
    <w:rsid w:val="00FE35E2"/>
    <w:rsid w:val="00FE3683"/>
    <w:rsid w:val="00FE3D62"/>
    <w:rsid w:val="00FE3EE3"/>
    <w:rsid w:val="00FE45E3"/>
    <w:rsid w:val="00FE4AF5"/>
    <w:rsid w:val="00FE4B28"/>
    <w:rsid w:val="00FE4E47"/>
    <w:rsid w:val="00FE50F8"/>
    <w:rsid w:val="00FE526B"/>
    <w:rsid w:val="00FE5877"/>
    <w:rsid w:val="00FE58F7"/>
    <w:rsid w:val="00FE5945"/>
    <w:rsid w:val="00FE59BB"/>
    <w:rsid w:val="00FE5DF4"/>
    <w:rsid w:val="00FE5EA6"/>
    <w:rsid w:val="00FE60C2"/>
    <w:rsid w:val="00FE62D6"/>
    <w:rsid w:val="00FE65A6"/>
    <w:rsid w:val="00FE6842"/>
    <w:rsid w:val="00FE6B9C"/>
    <w:rsid w:val="00FE6C48"/>
    <w:rsid w:val="00FE701C"/>
    <w:rsid w:val="00FE7094"/>
    <w:rsid w:val="00FE741F"/>
    <w:rsid w:val="00FE7866"/>
    <w:rsid w:val="00FE7BC1"/>
    <w:rsid w:val="00FE7CC9"/>
    <w:rsid w:val="00FE80B2"/>
    <w:rsid w:val="00FF0699"/>
    <w:rsid w:val="00FF0C45"/>
    <w:rsid w:val="00FF0D52"/>
    <w:rsid w:val="00FF0DD6"/>
    <w:rsid w:val="00FF0E05"/>
    <w:rsid w:val="00FF0E96"/>
    <w:rsid w:val="00FF0F44"/>
    <w:rsid w:val="00FF12AB"/>
    <w:rsid w:val="00FF175E"/>
    <w:rsid w:val="00FF19C5"/>
    <w:rsid w:val="00FF1E07"/>
    <w:rsid w:val="00FF20F8"/>
    <w:rsid w:val="00FF21B8"/>
    <w:rsid w:val="00FF28A5"/>
    <w:rsid w:val="00FF29C6"/>
    <w:rsid w:val="00FF37CD"/>
    <w:rsid w:val="00FF3FE7"/>
    <w:rsid w:val="00FF4225"/>
    <w:rsid w:val="00FF46FC"/>
    <w:rsid w:val="00FF4886"/>
    <w:rsid w:val="00FF4931"/>
    <w:rsid w:val="00FF4962"/>
    <w:rsid w:val="00FF4ADA"/>
    <w:rsid w:val="00FF4B13"/>
    <w:rsid w:val="00FF4FC2"/>
    <w:rsid w:val="00FF536F"/>
    <w:rsid w:val="00FF56FC"/>
    <w:rsid w:val="00FF575E"/>
    <w:rsid w:val="00FF57CA"/>
    <w:rsid w:val="00FF5B12"/>
    <w:rsid w:val="00FF5CD7"/>
    <w:rsid w:val="00FF5EE2"/>
    <w:rsid w:val="00FF5F34"/>
    <w:rsid w:val="00FF612C"/>
    <w:rsid w:val="00FF6173"/>
    <w:rsid w:val="00FF617D"/>
    <w:rsid w:val="00FF652E"/>
    <w:rsid w:val="00FF6C80"/>
    <w:rsid w:val="00FF71A9"/>
    <w:rsid w:val="00FF753E"/>
    <w:rsid w:val="00FF775A"/>
    <w:rsid w:val="00FF7C07"/>
    <w:rsid w:val="0148A16B"/>
    <w:rsid w:val="021E666D"/>
    <w:rsid w:val="02867960"/>
    <w:rsid w:val="02997958"/>
    <w:rsid w:val="03A0DF0A"/>
    <w:rsid w:val="045B153D"/>
    <w:rsid w:val="05280FFD"/>
    <w:rsid w:val="0640F528"/>
    <w:rsid w:val="065CEF49"/>
    <w:rsid w:val="071D9A62"/>
    <w:rsid w:val="0741B13C"/>
    <w:rsid w:val="074D8B2C"/>
    <w:rsid w:val="07887AC0"/>
    <w:rsid w:val="081493AD"/>
    <w:rsid w:val="0867A693"/>
    <w:rsid w:val="0899D15E"/>
    <w:rsid w:val="091C5303"/>
    <w:rsid w:val="0951AF11"/>
    <w:rsid w:val="09627459"/>
    <w:rsid w:val="09E86BA8"/>
    <w:rsid w:val="0B3CDDCF"/>
    <w:rsid w:val="0CBB6BF5"/>
    <w:rsid w:val="0E56CFE5"/>
    <w:rsid w:val="0E9A0F47"/>
    <w:rsid w:val="0EE2261D"/>
    <w:rsid w:val="0F39327D"/>
    <w:rsid w:val="10FAB7B0"/>
    <w:rsid w:val="1105C45A"/>
    <w:rsid w:val="11472678"/>
    <w:rsid w:val="120E808B"/>
    <w:rsid w:val="121C9ECC"/>
    <w:rsid w:val="1353E86C"/>
    <w:rsid w:val="140AA4FB"/>
    <w:rsid w:val="14492735"/>
    <w:rsid w:val="1477E708"/>
    <w:rsid w:val="1880039F"/>
    <w:rsid w:val="19F927B8"/>
    <w:rsid w:val="1A793671"/>
    <w:rsid w:val="1B9F9F0B"/>
    <w:rsid w:val="1C698D26"/>
    <w:rsid w:val="1CC8A834"/>
    <w:rsid w:val="1D68ACB3"/>
    <w:rsid w:val="1DFA75ED"/>
    <w:rsid w:val="1E172E5A"/>
    <w:rsid w:val="20C5293F"/>
    <w:rsid w:val="20E78FA1"/>
    <w:rsid w:val="21CDB088"/>
    <w:rsid w:val="21DA544F"/>
    <w:rsid w:val="22953292"/>
    <w:rsid w:val="232F8A4D"/>
    <w:rsid w:val="2337AA35"/>
    <w:rsid w:val="23415816"/>
    <w:rsid w:val="264CF63D"/>
    <w:rsid w:val="26C8B2A7"/>
    <w:rsid w:val="277E16CF"/>
    <w:rsid w:val="2792BA14"/>
    <w:rsid w:val="27BA0558"/>
    <w:rsid w:val="28CE505B"/>
    <w:rsid w:val="29803618"/>
    <w:rsid w:val="2A60F4C1"/>
    <w:rsid w:val="2B7DDEA9"/>
    <w:rsid w:val="2BF2F6AB"/>
    <w:rsid w:val="2BF91AB7"/>
    <w:rsid w:val="2CB7D6DA"/>
    <w:rsid w:val="2CC09846"/>
    <w:rsid w:val="2CF5AD03"/>
    <w:rsid w:val="2D5A7880"/>
    <w:rsid w:val="2DB4C8E9"/>
    <w:rsid w:val="2DC676D5"/>
    <w:rsid w:val="2DEC2473"/>
    <w:rsid w:val="2EB40272"/>
    <w:rsid w:val="2F0F9A9E"/>
    <w:rsid w:val="2FD05283"/>
    <w:rsid w:val="30B4CAB8"/>
    <w:rsid w:val="30E12093"/>
    <w:rsid w:val="31284D29"/>
    <w:rsid w:val="314390EE"/>
    <w:rsid w:val="31750FB2"/>
    <w:rsid w:val="31FA669D"/>
    <w:rsid w:val="323AAB1F"/>
    <w:rsid w:val="32866A0E"/>
    <w:rsid w:val="3407B64B"/>
    <w:rsid w:val="34808155"/>
    <w:rsid w:val="35AB85EE"/>
    <w:rsid w:val="366D7DF3"/>
    <w:rsid w:val="36775B69"/>
    <w:rsid w:val="36A1D37C"/>
    <w:rsid w:val="36CDEF93"/>
    <w:rsid w:val="3723F3B2"/>
    <w:rsid w:val="383F4307"/>
    <w:rsid w:val="3902F0B8"/>
    <w:rsid w:val="39A50558"/>
    <w:rsid w:val="39D78CC8"/>
    <w:rsid w:val="3AC1BE68"/>
    <w:rsid w:val="3BF03149"/>
    <w:rsid w:val="3C1C88BF"/>
    <w:rsid w:val="3C740FC3"/>
    <w:rsid w:val="3D173C1E"/>
    <w:rsid w:val="3D773C09"/>
    <w:rsid w:val="3E213766"/>
    <w:rsid w:val="3F09DB2A"/>
    <w:rsid w:val="3F6B6ED0"/>
    <w:rsid w:val="3F6DB9D0"/>
    <w:rsid w:val="3FB403F7"/>
    <w:rsid w:val="400306CE"/>
    <w:rsid w:val="4036F1E1"/>
    <w:rsid w:val="4068B1BD"/>
    <w:rsid w:val="40B8BF66"/>
    <w:rsid w:val="40D5D5A9"/>
    <w:rsid w:val="41D2D2A5"/>
    <w:rsid w:val="42271183"/>
    <w:rsid w:val="429A553D"/>
    <w:rsid w:val="42D3CA96"/>
    <w:rsid w:val="431A4BA8"/>
    <w:rsid w:val="43D21FD3"/>
    <w:rsid w:val="43D8594A"/>
    <w:rsid w:val="4488216D"/>
    <w:rsid w:val="44D2BCC0"/>
    <w:rsid w:val="4532984E"/>
    <w:rsid w:val="4598AD43"/>
    <w:rsid w:val="4654ABE7"/>
    <w:rsid w:val="47A45E86"/>
    <w:rsid w:val="47B4D109"/>
    <w:rsid w:val="482BA436"/>
    <w:rsid w:val="4909E9B9"/>
    <w:rsid w:val="4CCBB2C8"/>
    <w:rsid w:val="4DA35DD1"/>
    <w:rsid w:val="4DB6A53B"/>
    <w:rsid w:val="500D6E1E"/>
    <w:rsid w:val="50B9B689"/>
    <w:rsid w:val="51A1FE9C"/>
    <w:rsid w:val="53174715"/>
    <w:rsid w:val="53FBEFC3"/>
    <w:rsid w:val="5426D98C"/>
    <w:rsid w:val="542D9867"/>
    <w:rsid w:val="5435D8C7"/>
    <w:rsid w:val="5448B512"/>
    <w:rsid w:val="546AA376"/>
    <w:rsid w:val="54FAE717"/>
    <w:rsid w:val="55CEC854"/>
    <w:rsid w:val="55F1C371"/>
    <w:rsid w:val="5639B014"/>
    <w:rsid w:val="57521965"/>
    <w:rsid w:val="57CF4113"/>
    <w:rsid w:val="57DDD37F"/>
    <w:rsid w:val="582E8037"/>
    <w:rsid w:val="584F840C"/>
    <w:rsid w:val="58D57A4F"/>
    <w:rsid w:val="58DFFDC0"/>
    <w:rsid w:val="59095931"/>
    <w:rsid w:val="5910AE44"/>
    <w:rsid w:val="59D173D5"/>
    <w:rsid w:val="5AA989D3"/>
    <w:rsid w:val="5ACFA5CB"/>
    <w:rsid w:val="5ACFA871"/>
    <w:rsid w:val="5B18CCB5"/>
    <w:rsid w:val="5B2258FA"/>
    <w:rsid w:val="5B43F34C"/>
    <w:rsid w:val="5B68B718"/>
    <w:rsid w:val="5C04A546"/>
    <w:rsid w:val="5C0D21E8"/>
    <w:rsid w:val="5C5304BD"/>
    <w:rsid w:val="5C8666DD"/>
    <w:rsid w:val="5DF3EAD1"/>
    <w:rsid w:val="5E4AE6D4"/>
    <w:rsid w:val="5EEF0A63"/>
    <w:rsid w:val="5EFAB217"/>
    <w:rsid w:val="5FF5CA1D"/>
    <w:rsid w:val="60C310B5"/>
    <w:rsid w:val="612A2283"/>
    <w:rsid w:val="614ECE9E"/>
    <w:rsid w:val="61998804"/>
    <w:rsid w:val="62352E48"/>
    <w:rsid w:val="625E2005"/>
    <w:rsid w:val="626A3815"/>
    <w:rsid w:val="629CCF66"/>
    <w:rsid w:val="62DA04CF"/>
    <w:rsid w:val="62E24DCD"/>
    <w:rsid w:val="6438FF06"/>
    <w:rsid w:val="6503C100"/>
    <w:rsid w:val="652685AB"/>
    <w:rsid w:val="655CC904"/>
    <w:rsid w:val="661FEFD8"/>
    <w:rsid w:val="66C2560C"/>
    <w:rsid w:val="67892615"/>
    <w:rsid w:val="67898024"/>
    <w:rsid w:val="68A940D3"/>
    <w:rsid w:val="68DB7698"/>
    <w:rsid w:val="69F13B3E"/>
    <w:rsid w:val="6A5055B1"/>
    <w:rsid w:val="6A883D84"/>
    <w:rsid w:val="6C819BCA"/>
    <w:rsid w:val="6CBB2DAC"/>
    <w:rsid w:val="6D0EE074"/>
    <w:rsid w:val="6D31B853"/>
    <w:rsid w:val="6E9306BF"/>
    <w:rsid w:val="6F03BA0A"/>
    <w:rsid w:val="6F063F67"/>
    <w:rsid w:val="6FD67770"/>
    <w:rsid w:val="70043EC5"/>
    <w:rsid w:val="700D7246"/>
    <w:rsid w:val="7016FDFA"/>
    <w:rsid w:val="70E6D283"/>
    <w:rsid w:val="711D43AE"/>
    <w:rsid w:val="71E8D8F2"/>
    <w:rsid w:val="71E8E197"/>
    <w:rsid w:val="72B9B6F6"/>
    <w:rsid w:val="72C7DCAD"/>
    <w:rsid w:val="72E8F86A"/>
    <w:rsid w:val="730F81F1"/>
    <w:rsid w:val="742DE370"/>
    <w:rsid w:val="752F8B38"/>
    <w:rsid w:val="75674917"/>
    <w:rsid w:val="75B81588"/>
    <w:rsid w:val="76310183"/>
    <w:rsid w:val="7817B807"/>
    <w:rsid w:val="797303E7"/>
    <w:rsid w:val="79F837D0"/>
    <w:rsid w:val="7A3D248C"/>
    <w:rsid w:val="7A777368"/>
    <w:rsid w:val="7B269EBD"/>
    <w:rsid w:val="7B48C924"/>
    <w:rsid w:val="7B812DB6"/>
    <w:rsid w:val="7B8E0498"/>
    <w:rsid w:val="7DC1300C"/>
    <w:rsid w:val="7FCE0AFA"/>
    <w:rsid w:val="7FEE43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5C3D"/>
  <w15:chartTrackingRefBased/>
  <w15:docId w15:val="{D8E26203-BB6E-45CA-96C6-D184C83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D7"/>
  </w:style>
  <w:style w:type="paragraph" w:styleId="Heading1">
    <w:name w:val="heading 1"/>
    <w:basedOn w:val="Normal"/>
    <w:next w:val="Heading2"/>
    <w:link w:val="Heading1Char"/>
    <w:uiPriority w:val="9"/>
    <w:qFormat/>
    <w:rsid w:val="00BB4C77"/>
    <w:pPr>
      <w:keepNext/>
      <w:keepLines/>
      <w:numPr>
        <w:numId w:val="1"/>
      </w:numPr>
      <w:spacing w:before="480" w:after="120"/>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Heading1"/>
    <w:next w:val="Normal"/>
    <w:link w:val="Heading2Char"/>
    <w:uiPriority w:val="9"/>
    <w:unhideWhenUsed/>
    <w:qFormat/>
    <w:rsid w:val="00BB4C77"/>
    <w:pPr>
      <w:numPr>
        <w:ilvl w:val="1"/>
      </w:numPr>
      <w:spacing w:before="120"/>
      <w:outlineLvl w:val="1"/>
    </w:pPr>
    <w:rPr>
      <w:sz w:val="28"/>
      <w:szCs w:val="28"/>
    </w:rPr>
  </w:style>
  <w:style w:type="paragraph" w:styleId="Heading3">
    <w:name w:val="heading 3"/>
    <w:basedOn w:val="Normal"/>
    <w:next w:val="Normal"/>
    <w:link w:val="Heading3Char"/>
    <w:uiPriority w:val="9"/>
    <w:unhideWhenUsed/>
    <w:qFormat/>
    <w:rsid w:val="000C3784"/>
    <w:pPr>
      <w:numPr>
        <w:ilvl w:val="2"/>
        <w:numId w:val="1"/>
      </w:numPr>
      <w:adjustRightInd w:val="0"/>
      <w:spacing w:after="120"/>
      <w:outlineLvl w:val="2"/>
    </w:pPr>
    <w:rPr>
      <w:rFonts w:eastAsiaTheme="majorEastAsia" w:cs="Arial"/>
      <w:bCs/>
      <w:color w:val="0D0D0D" w:themeColor="text1" w:themeTint="F2"/>
      <w:szCs w:val="21"/>
    </w:rPr>
  </w:style>
  <w:style w:type="paragraph" w:styleId="Heading4">
    <w:name w:val="heading 4"/>
    <w:basedOn w:val="Normal"/>
    <w:next w:val="Normal"/>
    <w:link w:val="Heading4Char"/>
    <w:uiPriority w:val="9"/>
    <w:unhideWhenUsed/>
    <w:qFormat/>
    <w:rsid w:val="00BE32CE"/>
    <w:pPr>
      <w:keepNext/>
      <w:keepLines/>
      <w:numPr>
        <w:ilvl w:val="3"/>
        <w:numId w:val="1"/>
      </w:numPr>
      <w:spacing w:before="40" w:after="0"/>
      <w:outlineLvl w:val="3"/>
    </w:pPr>
    <w:rPr>
      <w:i/>
      <w:iCs/>
    </w:rPr>
  </w:style>
  <w:style w:type="paragraph" w:styleId="Heading5">
    <w:name w:val="heading 5"/>
    <w:basedOn w:val="Normal"/>
    <w:next w:val="Normal"/>
    <w:link w:val="Heading5Char"/>
    <w:uiPriority w:val="9"/>
    <w:semiHidden/>
    <w:unhideWhenUsed/>
    <w:qFormat/>
    <w:rsid w:val="00BE32CE"/>
    <w:pPr>
      <w:keepNext/>
      <w:keepLines/>
      <w:numPr>
        <w:ilvl w:val="4"/>
        <w:numId w:val="1"/>
      </w:numPr>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E32CE"/>
    <w:pPr>
      <w:keepNext/>
      <w:keepLines/>
      <w:numPr>
        <w:ilvl w:val="5"/>
        <w:numId w:val="1"/>
      </w:numPr>
      <w:spacing w:before="40" w:after="0"/>
      <w:outlineLvl w:val="5"/>
    </w:pPr>
  </w:style>
  <w:style w:type="paragraph" w:styleId="Heading7">
    <w:name w:val="heading 7"/>
    <w:basedOn w:val="Normal"/>
    <w:next w:val="Normal"/>
    <w:link w:val="Heading7Char"/>
    <w:uiPriority w:val="9"/>
    <w:semiHidden/>
    <w:unhideWhenUsed/>
    <w:qFormat/>
    <w:rsid w:val="00BE32CE"/>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32CE"/>
    <w:pPr>
      <w:keepNext/>
      <w:keepLines/>
      <w:numPr>
        <w:ilvl w:val="7"/>
        <w:numId w:val="1"/>
      </w:numPr>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E32CE"/>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C77"/>
    <w:rPr>
      <w:rFonts w:asciiTheme="majorHAnsi" w:eastAsiaTheme="majorEastAsia" w:hAnsiTheme="majorHAnsi" w:cstheme="majorBidi"/>
      <w:b/>
      <w:color w:val="262626" w:themeColor="text1" w:themeTint="D9"/>
      <w:sz w:val="28"/>
      <w:szCs w:val="28"/>
    </w:rPr>
  </w:style>
  <w:style w:type="character" w:customStyle="1" w:styleId="Heading1Char">
    <w:name w:val="Heading 1 Char"/>
    <w:basedOn w:val="DefaultParagraphFont"/>
    <w:link w:val="Heading1"/>
    <w:uiPriority w:val="9"/>
    <w:rsid w:val="00BB4C77"/>
    <w:rPr>
      <w:rFonts w:asciiTheme="majorHAnsi" w:eastAsiaTheme="majorEastAsia" w:hAnsiTheme="majorHAnsi" w:cstheme="majorBidi"/>
      <w:b/>
      <w:color w:val="262626" w:themeColor="text1" w:themeTint="D9"/>
      <w:sz w:val="32"/>
      <w:szCs w:val="32"/>
    </w:rPr>
  </w:style>
  <w:style w:type="paragraph" w:styleId="Title">
    <w:name w:val="Title"/>
    <w:basedOn w:val="Normal"/>
    <w:next w:val="Normal"/>
    <w:link w:val="TitleChar"/>
    <w:uiPriority w:val="10"/>
    <w:qFormat/>
    <w:rsid w:val="00932BD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32BD7"/>
    <w:rPr>
      <w:rFonts w:asciiTheme="majorHAnsi" w:eastAsiaTheme="majorEastAsia" w:hAnsiTheme="majorHAnsi" w:cstheme="majorBidi"/>
      <w:spacing w:val="-10"/>
      <w:sz w:val="56"/>
      <w:szCs w:val="56"/>
    </w:rPr>
  </w:style>
  <w:style w:type="paragraph" w:customStyle="1" w:styleId="subsection">
    <w:name w:val="subsection"/>
    <w:basedOn w:val="Normal"/>
    <w:rsid w:val="00E04DD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3Char">
    <w:name w:val="Heading 3 Char"/>
    <w:basedOn w:val="DefaultParagraphFont"/>
    <w:link w:val="Heading3"/>
    <w:uiPriority w:val="9"/>
    <w:rsid w:val="000C3784"/>
    <w:rPr>
      <w:rFonts w:eastAsiaTheme="majorEastAsia" w:cs="Arial"/>
      <w:bCs/>
      <w:color w:val="0D0D0D" w:themeColor="text1" w:themeTint="F2"/>
      <w:szCs w:val="21"/>
    </w:rPr>
  </w:style>
  <w:style w:type="character" w:customStyle="1" w:styleId="Heading4Char">
    <w:name w:val="Heading 4 Char"/>
    <w:basedOn w:val="DefaultParagraphFont"/>
    <w:link w:val="Heading4"/>
    <w:uiPriority w:val="9"/>
    <w:rsid w:val="00932BD7"/>
    <w:rPr>
      <w:i/>
      <w:iCs/>
    </w:rPr>
  </w:style>
  <w:style w:type="character" w:customStyle="1" w:styleId="Heading5Char">
    <w:name w:val="Heading 5 Char"/>
    <w:basedOn w:val="DefaultParagraphFont"/>
    <w:link w:val="Heading5"/>
    <w:uiPriority w:val="9"/>
    <w:semiHidden/>
    <w:rsid w:val="00932BD7"/>
    <w:rPr>
      <w:color w:val="404040" w:themeColor="text1" w:themeTint="BF"/>
    </w:rPr>
  </w:style>
  <w:style w:type="character" w:customStyle="1" w:styleId="Heading6Char">
    <w:name w:val="Heading 6 Char"/>
    <w:basedOn w:val="DefaultParagraphFont"/>
    <w:link w:val="Heading6"/>
    <w:uiPriority w:val="9"/>
    <w:semiHidden/>
    <w:rsid w:val="00932BD7"/>
  </w:style>
  <w:style w:type="character" w:customStyle="1" w:styleId="Heading7Char">
    <w:name w:val="Heading 7 Char"/>
    <w:basedOn w:val="DefaultParagraphFont"/>
    <w:link w:val="Heading7"/>
    <w:uiPriority w:val="9"/>
    <w:semiHidden/>
    <w:rsid w:val="00932B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2BD7"/>
    <w:rPr>
      <w:color w:val="262626" w:themeColor="text1" w:themeTint="D9"/>
      <w:sz w:val="21"/>
      <w:szCs w:val="21"/>
    </w:rPr>
  </w:style>
  <w:style w:type="character" w:customStyle="1" w:styleId="Heading9Char">
    <w:name w:val="Heading 9 Char"/>
    <w:basedOn w:val="DefaultParagraphFont"/>
    <w:link w:val="Heading9"/>
    <w:uiPriority w:val="9"/>
    <w:semiHidden/>
    <w:rsid w:val="00932BD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32BD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32BD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32BD7"/>
    <w:rPr>
      <w:color w:val="5A5A5A" w:themeColor="text1" w:themeTint="A5"/>
      <w:spacing w:val="15"/>
    </w:rPr>
  </w:style>
  <w:style w:type="character" w:styleId="Strong">
    <w:name w:val="Strong"/>
    <w:basedOn w:val="DefaultParagraphFont"/>
    <w:uiPriority w:val="22"/>
    <w:qFormat/>
    <w:rsid w:val="00932BD7"/>
    <w:rPr>
      <w:b/>
      <w:bCs/>
      <w:color w:val="auto"/>
    </w:rPr>
  </w:style>
  <w:style w:type="character" w:styleId="Emphasis">
    <w:name w:val="Emphasis"/>
    <w:basedOn w:val="DefaultParagraphFont"/>
    <w:uiPriority w:val="20"/>
    <w:qFormat/>
    <w:rsid w:val="00932BD7"/>
    <w:rPr>
      <w:i/>
      <w:iCs/>
      <w:color w:val="auto"/>
    </w:rPr>
  </w:style>
  <w:style w:type="paragraph" w:styleId="NoSpacing">
    <w:name w:val="No Spacing"/>
    <w:uiPriority w:val="1"/>
    <w:qFormat/>
    <w:rsid w:val="00932BD7"/>
    <w:pPr>
      <w:spacing w:after="0" w:line="240" w:lineRule="auto"/>
    </w:pPr>
  </w:style>
  <w:style w:type="paragraph" w:styleId="Quote">
    <w:name w:val="Quote"/>
    <w:basedOn w:val="Normal"/>
    <w:next w:val="Normal"/>
    <w:link w:val="QuoteChar"/>
    <w:uiPriority w:val="29"/>
    <w:qFormat/>
    <w:rsid w:val="00932BD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32BD7"/>
    <w:rPr>
      <w:i/>
      <w:iCs/>
      <w:color w:val="404040" w:themeColor="text1" w:themeTint="BF"/>
    </w:rPr>
  </w:style>
  <w:style w:type="paragraph" w:styleId="IntenseQuote">
    <w:name w:val="Intense Quote"/>
    <w:basedOn w:val="Normal"/>
    <w:next w:val="Normal"/>
    <w:link w:val="IntenseQuoteChar"/>
    <w:uiPriority w:val="30"/>
    <w:qFormat/>
    <w:rsid w:val="00932BD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32BD7"/>
    <w:rPr>
      <w:i/>
      <w:iCs/>
      <w:color w:val="404040" w:themeColor="text1" w:themeTint="BF"/>
    </w:rPr>
  </w:style>
  <w:style w:type="character" w:styleId="SubtleEmphasis">
    <w:name w:val="Subtle Emphasis"/>
    <w:basedOn w:val="DefaultParagraphFont"/>
    <w:uiPriority w:val="19"/>
    <w:qFormat/>
    <w:rsid w:val="00932BD7"/>
    <w:rPr>
      <w:i/>
      <w:iCs/>
      <w:color w:val="404040" w:themeColor="text1" w:themeTint="BF"/>
    </w:rPr>
  </w:style>
  <w:style w:type="character" w:styleId="IntenseEmphasis">
    <w:name w:val="Intense Emphasis"/>
    <w:basedOn w:val="DefaultParagraphFont"/>
    <w:uiPriority w:val="21"/>
    <w:qFormat/>
    <w:rsid w:val="00932BD7"/>
    <w:rPr>
      <w:b/>
      <w:bCs/>
      <w:i/>
      <w:iCs/>
      <w:color w:val="auto"/>
    </w:rPr>
  </w:style>
  <w:style w:type="character" w:styleId="SubtleReference">
    <w:name w:val="Subtle Reference"/>
    <w:basedOn w:val="DefaultParagraphFont"/>
    <w:uiPriority w:val="31"/>
    <w:qFormat/>
    <w:rsid w:val="00932BD7"/>
    <w:rPr>
      <w:smallCaps/>
      <w:color w:val="404040" w:themeColor="text1" w:themeTint="BF"/>
    </w:rPr>
  </w:style>
  <w:style w:type="character" w:styleId="IntenseReference">
    <w:name w:val="Intense Reference"/>
    <w:basedOn w:val="DefaultParagraphFont"/>
    <w:uiPriority w:val="32"/>
    <w:qFormat/>
    <w:rsid w:val="00932BD7"/>
    <w:rPr>
      <w:b/>
      <w:bCs/>
      <w:smallCaps/>
      <w:color w:val="404040" w:themeColor="text1" w:themeTint="BF"/>
      <w:spacing w:val="5"/>
    </w:rPr>
  </w:style>
  <w:style w:type="character" w:styleId="BookTitle">
    <w:name w:val="Book Title"/>
    <w:basedOn w:val="DefaultParagraphFont"/>
    <w:uiPriority w:val="33"/>
    <w:qFormat/>
    <w:rsid w:val="00932BD7"/>
    <w:rPr>
      <w:b/>
      <w:bCs/>
      <w:i/>
      <w:iCs/>
      <w:spacing w:val="5"/>
    </w:rPr>
  </w:style>
  <w:style w:type="paragraph" w:styleId="TOCHeading">
    <w:name w:val="TOC Heading"/>
    <w:basedOn w:val="Heading1"/>
    <w:next w:val="Normal"/>
    <w:uiPriority w:val="39"/>
    <w:unhideWhenUsed/>
    <w:qFormat/>
    <w:rsid w:val="00932BD7"/>
    <w:pPr>
      <w:outlineLvl w:val="9"/>
    </w:pPr>
  </w:style>
  <w:style w:type="paragraph" w:styleId="FootnoteText">
    <w:name w:val="footnote text"/>
    <w:basedOn w:val="Normal"/>
    <w:link w:val="FootnoteTextChar"/>
    <w:uiPriority w:val="99"/>
    <w:unhideWhenUsed/>
    <w:rsid w:val="005A7EEB"/>
    <w:pPr>
      <w:spacing w:after="0" w:line="240" w:lineRule="auto"/>
    </w:pPr>
    <w:rPr>
      <w:sz w:val="20"/>
      <w:szCs w:val="20"/>
    </w:rPr>
  </w:style>
  <w:style w:type="character" w:customStyle="1" w:styleId="FootnoteTextChar">
    <w:name w:val="Footnote Text Char"/>
    <w:basedOn w:val="DefaultParagraphFont"/>
    <w:link w:val="FootnoteText"/>
    <w:uiPriority w:val="99"/>
    <w:rsid w:val="005A7EEB"/>
    <w:rPr>
      <w:sz w:val="20"/>
      <w:szCs w:val="20"/>
    </w:rPr>
  </w:style>
  <w:style w:type="character" w:styleId="FootnoteReference">
    <w:name w:val="footnote reference"/>
    <w:basedOn w:val="DefaultParagraphFont"/>
    <w:uiPriority w:val="99"/>
    <w:unhideWhenUsed/>
    <w:rsid w:val="00413E7A"/>
    <w:rPr>
      <w:rFonts w:asciiTheme="minorHAnsi" w:hAnsiTheme="minorHAnsi"/>
      <w:sz w:val="20"/>
      <w:vertAlign w:val="superscript"/>
    </w:rPr>
  </w:style>
  <w:style w:type="table" w:styleId="TableGrid">
    <w:name w:val="Table Grid"/>
    <w:basedOn w:val="TableNormal"/>
    <w:uiPriority w:val="39"/>
    <w:rsid w:val="0064050C"/>
    <w:pPr>
      <w:spacing w:after="0" w:line="240" w:lineRule="auto"/>
    </w:pPr>
    <w:rPr>
      <w:rFonts w:ascii="Arial" w:eastAsiaTheme="minorHAnsi" w:hAnsi="Arial"/>
      <w:sz w:val="21"/>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2"/>
    <w:rPr>
      <w:color w:val="000000" w:themeColor="text1"/>
    </w:rPr>
  </w:style>
  <w:style w:type="paragraph" w:styleId="Header">
    <w:name w:val="header"/>
    <w:basedOn w:val="Normal"/>
    <w:link w:val="HeaderChar"/>
    <w:uiPriority w:val="99"/>
    <w:unhideWhenUsed/>
    <w:rsid w:val="00C6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7C"/>
  </w:style>
  <w:style w:type="paragraph" w:styleId="Footer">
    <w:name w:val="footer"/>
    <w:basedOn w:val="Normal"/>
    <w:link w:val="FooterChar"/>
    <w:uiPriority w:val="99"/>
    <w:unhideWhenUsed/>
    <w:rsid w:val="00C6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7C"/>
  </w:style>
  <w:style w:type="paragraph" w:styleId="BalloonText">
    <w:name w:val="Balloon Text"/>
    <w:basedOn w:val="Normal"/>
    <w:link w:val="BalloonTextChar"/>
    <w:uiPriority w:val="99"/>
    <w:semiHidden/>
    <w:unhideWhenUsed/>
    <w:rsid w:val="00C63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7C"/>
    <w:rPr>
      <w:rFonts w:ascii="Segoe UI" w:hAnsi="Segoe UI" w:cs="Segoe UI"/>
      <w:sz w:val="18"/>
      <w:szCs w:val="18"/>
    </w:rPr>
  </w:style>
  <w:style w:type="character" w:styleId="FollowedHyperlink">
    <w:name w:val="FollowedHyperlink"/>
    <w:basedOn w:val="DefaultParagraphFont"/>
    <w:uiPriority w:val="99"/>
    <w:semiHidden/>
    <w:unhideWhenUsed/>
    <w:rsid w:val="00C6327C"/>
    <w:rPr>
      <w:color w:val="954F72" w:themeColor="followedHyperlink"/>
      <w:u w:val="single"/>
    </w:rPr>
  </w:style>
  <w:style w:type="character" w:customStyle="1" w:styleId="UnresolvedMention1">
    <w:name w:val="Unresolved Mention1"/>
    <w:basedOn w:val="DefaultParagraphFont"/>
    <w:uiPriority w:val="99"/>
    <w:semiHidden/>
    <w:unhideWhenUsed/>
    <w:rsid w:val="00C6327C"/>
    <w:rPr>
      <w:color w:val="605E5C"/>
      <w:shd w:val="clear" w:color="auto" w:fill="E1DFDD"/>
    </w:rPr>
  </w:style>
  <w:style w:type="paragraph" w:styleId="CommentText">
    <w:name w:val="annotation text"/>
    <w:basedOn w:val="Normal"/>
    <w:link w:val="CommentTextChar"/>
    <w:uiPriority w:val="99"/>
    <w:unhideWhenUsed/>
    <w:rsid w:val="002C14A9"/>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rsid w:val="002C14A9"/>
    <w:rPr>
      <w:rFonts w:eastAsiaTheme="minorHAnsi"/>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6D85"/>
    <w:rPr>
      <w:rFonts w:eastAsiaTheme="minorEastAsia"/>
      <w:b/>
      <w:bCs/>
      <w:sz w:val="20"/>
      <w:szCs w:val="20"/>
    </w:rPr>
  </w:style>
  <w:style w:type="character" w:customStyle="1" w:styleId="CommentSubjectChar">
    <w:name w:val="Comment Subject Char"/>
    <w:basedOn w:val="CommentTextChar"/>
    <w:link w:val="CommentSubject"/>
    <w:uiPriority w:val="99"/>
    <w:semiHidden/>
    <w:rsid w:val="00AF6D85"/>
    <w:rPr>
      <w:rFonts w:eastAsiaTheme="minorHAnsi"/>
      <w:b/>
      <w:bCs/>
      <w:sz w:val="20"/>
      <w:szCs w:val="20"/>
    </w:rPr>
  </w:style>
  <w:style w:type="character" w:customStyle="1" w:styleId="UnresolvedMention2">
    <w:name w:val="Unresolved Mention2"/>
    <w:basedOn w:val="DefaultParagraphFont"/>
    <w:uiPriority w:val="99"/>
    <w:semiHidden/>
    <w:unhideWhenUsed/>
    <w:rsid w:val="00FF28A5"/>
    <w:rPr>
      <w:color w:val="605E5C"/>
      <w:shd w:val="clear" w:color="auto" w:fill="E1DFDD"/>
    </w:rPr>
  </w:style>
  <w:style w:type="paragraph" w:styleId="TOC1">
    <w:name w:val="toc 1"/>
    <w:basedOn w:val="Normal"/>
    <w:next w:val="Normal"/>
    <w:autoRedefine/>
    <w:uiPriority w:val="39"/>
    <w:unhideWhenUsed/>
    <w:rsid w:val="00664067"/>
    <w:pPr>
      <w:tabs>
        <w:tab w:val="left" w:pos="440"/>
        <w:tab w:val="right" w:leader="dot" w:pos="9016"/>
      </w:tabs>
      <w:spacing w:after="100"/>
    </w:pPr>
  </w:style>
  <w:style w:type="paragraph" w:styleId="TOC2">
    <w:name w:val="toc 2"/>
    <w:basedOn w:val="Normal"/>
    <w:next w:val="Normal"/>
    <w:autoRedefine/>
    <w:uiPriority w:val="39"/>
    <w:unhideWhenUsed/>
    <w:rsid w:val="00036077"/>
    <w:pPr>
      <w:tabs>
        <w:tab w:val="left" w:pos="960"/>
        <w:tab w:val="right" w:leader="dot" w:pos="9016"/>
      </w:tabs>
      <w:spacing w:after="100"/>
      <w:ind w:left="397"/>
    </w:pPr>
  </w:style>
  <w:style w:type="paragraph" w:styleId="TOC3">
    <w:name w:val="toc 3"/>
    <w:basedOn w:val="Normal"/>
    <w:next w:val="Normal"/>
    <w:autoRedefine/>
    <w:uiPriority w:val="39"/>
    <w:unhideWhenUsed/>
    <w:rsid w:val="00E15B1D"/>
    <w:pPr>
      <w:spacing w:after="100"/>
      <w:ind w:left="440"/>
    </w:pPr>
  </w:style>
  <w:style w:type="numbering" w:customStyle="1" w:styleId="CurrentList1">
    <w:name w:val="Current List1"/>
    <w:uiPriority w:val="99"/>
    <w:rsid w:val="00617E79"/>
    <w:pPr>
      <w:numPr>
        <w:numId w:val="20"/>
      </w:numPr>
    </w:pPr>
  </w:style>
  <w:style w:type="character" w:styleId="UnresolvedMention">
    <w:name w:val="Unresolved Mention"/>
    <w:basedOn w:val="DefaultParagraphFont"/>
    <w:uiPriority w:val="99"/>
    <w:semiHidden/>
    <w:unhideWhenUsed/>
    <w:rsid w:val="00B8467F"/>
    <w:rPr>
      <w:color w:val="605E5C"/>
      <w:shd w:val="clear" w:color="auto" w:fill="E1DFDD"/>
    </w:rPr>
  </w:style>
  <w:style w:type="paragraph" w:styleId="Revision">
    <w:name w:val="Revision"/>
    <w:hidden/>
    <w:uiPriority w:val="99"/>
    <w:semiHidden/>
    <w:rsid w:val="00EA047B"/>
    <w:pPr>
      <w:spacing w:after="0" w:line="240" w:lineRule="auto"/>
    </w:pPr>
  </w:style>
  <w:style w:type="paragraph" w:styleId="Date">
    <w:name w:val="Date"/>
    <w:basedOn w:val="Normal"/>
    <w:next w:val="Normal"/>
    <w:link w:val="DateChar"/>
    <w:uiPriority w:val="99"/>
    <w:semiHidden/>
    <w:unhideWhenUsed/>
    <w:rsid w:val="001B0FDA"/>
  </w:style>
  <w:style w:type="character" w:customStyle="1" w:styleId="DateChar">
    <w:name w:val="Date Char"/>
    <w:basedOn w:val="DefaultParagraphFont"/>
    <w:link w:val="Date"/>
    <w:uiPriority w:val="99"/>
    <w:semiHidden/>
    <w:rsid w:val="001B0FDA"/>
  </w:style>
  <w:style w:type="paragraph" w:customStyle="1" w:styleId="Dotpointlist">
    <w:name w:val="Dot point list"/>
    <w:basedOn w:val="Normal"/>
    <w:qFormat/>
    <w:rsid w:val="00137E5C"/>
    <w:pPr>
      <w:numPr>
        <w:numId w:val="22"/>
      </w:numPr>
      <w:spacing w:after="120"/>
    </w:pPr>
    <w:rPr>
      <w:rFonts w:ascii="Calibri" w:eastAsia="Calibri" w:hAnsi="Calibri" w:cs="Calibri"/>
    </w:rPr>
  </w:style>
  <w:style w:type="paragraph" w:customStyle="1" w:styleId="Blockquote">
    <w:name w:val="Block quote"/>
    <w:basedOn w:val="Normal"/>
    <w:qFormat/>
    <w:rsid w:val="00156A97"/>
    <w:pPr>
      <w:ind w:left="720" w:right="720"/>
    </w:pPr>
  </w:style>
  <w:style w:type="numbering" w:customStyle="1" w:styleId="CurrentList2">
    <w:name w:val="Current List2"/>
    <w:uiPriority w:val="99"/>
    <w:rsid w:val="00AE7260"/>
    <w:pPr>
      <w:numPr>
        <w:numId w:val="24"/>
      </w:numPr>
    </w:pPr>
  </w:style>
  <w:style w:type="numbering" w:customStyle="1" w:styleId="CurrentList3">
    <w:name w:val="Current List3"/>
    <w:uiPriority w:val="99"/>
    <w:rsid w:val="001C2F05"/>
    <w:pPr>
      <w:numPr>
        <w:numId w:val="25"/>
      </w:numPr>
    </w:pPr>
  </w:style>
  <w:style w:type="paragraph" w:customStyle="1" w:styleId="Numberedlist">
    <w:name w:val="Numbered list"/>
    <w:basedOn w:val="Dotpointlist"/>
    <w:qFormat/>
    <w:rsid w:val="00A93CE2"/>
    <w:pPr>
      <w:numPr>
        <w:numId w:val="2"/>
      </w:numPr>
    </w:pPr>
  </w:style>
  <w:style w:type="paragraph" w:customStyle="1" w:styleId="paragraph">
    <w:name w:val="paragraph"/>
    <w:basedOn w:val="Normal"/>
    <w:rsid w:val="00E04DD8"/>
    <w:pPr>
      <w:spacing w:before="100" w:beforeAutospacing="1" w:after="100" w:afterAutospacing="1" w:line="240" w:lineRule="auto"/>
    </w:pPr>
    <w:rPr>
      <w:rFonts w:ascii="Times New Roman" w:eastAsia="Times New Roman" w:hAnsi="Times New Roman" w:cs="Times New Roman"/>
      <w:sz w:val="24"/>
      <w:szCs w:val="24"/>
      <w:lang w:eastAsia="zh-TW"/>
    </w:rPr>
  </w:style>
  <w:style w:type="numbering" w:customStyle="1" w:styleId="CurrentList4">
    <w:name w:val="Current List4"/>
    <w:uiPriority w:val="99"/>
    <w:rsid w:val="00A93CE2"/>
    <w:pPr>
      <w:numPr>
        <w:numId w:val="26"/>
      </w:numPr>
    </w:pPr>
  </w:style>
  <w:style w:type="numbering" w:customStyle="1" w:styleId="CurrentList5">
    <w:name w:val="Current List5"/>
    <w:uiPriority w:val="99"/>
    <w:rsid w:val="00A93CE2"/>
    <w:pPr>
      <w:numPr>
        <w:numId w:val="27"/>
      </w:numPr>
    </w:pPr>
  </w:style>
  <w:style w:type="numbering" w:customStyle="1" w:styleId="CurrentList6">
    <w:name w:val="Current List6"/>
    <w:uiPriority w:val="99"/>
    <w:rsid w:val="00BE32CE"/>
    <w:pPr>
      <w:numPr>
        <w:numId w:val="28"/>
      </w:numPr>
    </w:pPr>
  </w:style>
  <w:style w:type="numbering" w:customStyle="1" w:styleId="CurrentList7">
    <w:name w:val="Current List7"/>
    <w:uiPriority w:val="99"/>
    <w:rsid w:val="00BE32CE"/>
    <w:pPr>
      <w:numPr>
        <w:numId w:val="29"/>
      </w:numPr>
    </w:pPr>
  </w:style>
  <w:style w:type="numbering" w:customStyle="1" w:styleId="CurrentList8">
    <w:name w:val="Current List8"/>
    <w:uiPriority w:val="99"/>
    <w:rsid w:val="00BE32CE"/>
    <w:pPr>
      <w:numPr>
        <w:numId w:val="30"/>
      </w:numPr>
    </w:pPr>
  </w:style>
  <w:style w:type="paragraph" w:customStyle="1" w:styleId="DraftHeading2">
    <w:name w:val="Draft Heading 2"/>
    <w:basedOn w:val="Normal"/>
    <w:next w:val="Normal"/>
    <w:link w:val="DraftHeading2Char"/>
    <w:rsid w:val="00CB02A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CB02A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CB02A8"/>
    <w:rPr>
      <w:rFonts w:ascii="Times New Roman" w:eastAsia="Times New Roman" w:hAnsi="Times New Roman" w:cs="Times New Roman"/>
      <w:sz w:val="24"/>
      <w:szCs w:val="20"/>
    </w:rPr>
  </w:style>
  <w:style w:type="paragraph" w:customStyle="1" w:styleId="definition">
    <w:name w:val="definition"/>
    <w:basedOn w:val="Normal"/>
    <w:rsid w:val="00A75D6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aragraphsub">
    <w:name w:val="paragraphsub"/>
    <w:basedOn w:val="Normal"/>
    <w:rsid w:val="00A75D6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rmalWeb">
    <w:name w:val="Normal (Web)"/>
    <w:basedOn w:val="Normal"/>
    <w:uiPriority w:val="99"/>
    <w:semiHidden/>
    <w:unhideWhenUsed/>
    <w:rsid w:val="006E2F5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ListParagraph">
    <w:name w:val="List Paragraph"/>
    <w:basedOn w:val="Normal"/>
    <w:uiPriority w:val="34"/>
    <w:qFormat/>
    <w:rsid w:val="0066544C"/>
    <w:pPr>
      <w:ind w:left="720"/>
      <w:contextualSpacing/>
    </w:pPr>
  </w:style>
  <w:style w:type="paragraph" w:customStyle="1" w:styleId="gov-is-numbered-paragraph">
    <w:name w:val="gov-is-numbered-paragraph"/>
    <w:basedOn w:val="Normal"/>
    <w:rsid w:val="00091CFF"/>
    <w:pPr>
      <w:spacing w:before="100" w:beforeAutospacing="1" w:after="100" w:afterAutospacing="1" w:line="240" w:lineRule="auto"/>
    </w:pPr>
    <w:rPr>
      <w:rFonts w:ascii="Times New Roman" w:eastAsia="Times New Roman" w:hAnsi="Times New Roman" w:cs="Times New Roman"/>
      <w:sz w:val="24"/>
      <w:szCs w:val="24"/>
      <w:lang w:eastAsia="zh-TW"/>
    </w:rPr>
  </w:style>
  <w:style w:type="numbering" w:customStyle="1" w:styleId="CurrentList9">
    <w:name w:val="Current List9"/>
    <w:uiPriority w:val="99"/>
    <w:rsid w:val="00A802D7"/>
    <w:pPr>
      <w:numPr>
        <w:numId w:val="32"/>
      </w:numPr>
    </w:pPr>
  </w:style>
  <w:style w:type="paragraph" w:customStyle="1" w:styleId="headingparagraph">
    <w:name w:val="headingparagraph"/>
    <w:basedOn w:val="Normal"/>
    <w:rsid w:val="00103D4D"/>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TOC4">
    <w:name w:val="toc 4"/>
    <w:basedOn w:val="Normal"/>
    <w:next w:val="Normal"/>
    <w:autoRedefine/>
    <w:uiPriority w:val="39"/>
    <w:unhideWhenUsed/>
    <w:rsid w:val="003E4AC3"/>
    <w:pPr>
      <w:spacing w:after="100" w:line="240" w:lineRule="auto"/>
      <w:ind w:left="720"/>
    </w:pPr>
    <w:rPr>
      <w:rFonts w:eastAsia="Heiti TC Light"/>
      <w:sz w:val="24"/>
      <w:szCs w:val="24"/>
      <w:lang w:eastAsia="zh-TW"/>
    </w:rPr>
  </w:style>
  <w:style w:type="paragraph" w:styleId="TOC5">
    <w:name w:val="toc 5"/>
    <w:basedOn w:val="Normal"/>
    <w:next w:val="Normal"/>
    <w:autoRedefine/>
    <w:uiPriority w:val="39"/>
    <w:unhideWhenUsed/>
    <w:rsid w:val="003E4AC3"/>
    <w:pPr>
      <w:spacing w:after="100" w:line="240" w:lineRule="auto"/>
      <w:ind w:left="960"/>
    </w:pPr>
    <w:rPr>
      <w:rFonts w:eastAsia="Heiti TC Light"/>
      <w:sz w:val="24"/>
      <w:szCs w:val="24"/>
      <w:lang w:eastAsia="zh-TW"/>
    </w:rPr>
  </w:style>
  <w:style w:type="paragraph" w:styleId="TOC6">
    <w:name w:val="toc 6"/>
    <w:basedOn w:val="Normal"/>
    <w:next w:val="Normal"/>
    <w:autoRedefine/>
    <w:uiPriority w:val="39"/>
    <w:unhideWhenUsed/>
    <w:rsid w:val="003E4AC3"/>
    <w:pPr>
      <w:spacing w:after="100" w:line="240" w:lineRule="auto"/>
      <w:ind w:left="1200"/>
    </w:pPr>
    <w:rPr>
      <w:rFonts w:eastAsia="Heiti TC Light"/>
      <w:sz w:val="24"/>
      <w:szCs w:val="24"/>
      <w:lang w:eastAsia="zh-TW"/>
    </w:rPr>
  </w:style>
  <w:style w:type="paragraph" w:styleId="TOC7">
    <w:name w:val="toc 7"/>
    <w:basedOn w:val="Normal"/>
    <w:next w:val="Normal"/>
    <w:autoRedefine/>
    <w:uiPriority w:val="39"/>
    <w:unhideWhenUsed/>
    <w:rsid w:val="003E4AC3"/>
    <w:pPr>
      <w:spacing w:after="100" w:line="240" w:lineRule="auto"/>
      <w:ind w:left="1440"/>
    </w:pPr>
    <w:rPr>
      <w:rFonts w:eastAsia="Heiti TC Light"/>
      <w:sz w:val="24"/>
      <w:szCs w:val="24"/>
      <w:lang w:eastAsia="zh-TW"/>
    </w:rPr>
  </w:style>
  <w:style w:type="paragraph" w:styleId="TOC8">
    <w:name w:val="toc 8"/>
    <w:basedOn w:val="Normal"/>
    <w:next w:val="Normal"/>
    <w:autoRedefine/>
    <w:uiPriority w:val="39"/>
    <w:unhideWhenUsed/>
    <w:rsid w:val="003E4AC3"/>
    <w:pPr>
      <w:spacing w:after="100" w:line="240" w:lineRule="auto"/>
      <w:ind w:left="1680"/>
    </w:pPr>
    <w:rPr>
      <w:rFonts w:eastAsia="Heiti TC Light"/>
      <w:sz w:val="24"/>
      <w:szCs w:val="24"/>
      <w:lang w:eastAsia="zh-TW"/>
    </w:rPr>
  </w:style>
  <w:style w:type="paragraph" w:styleId="TOC9">
    <w:name w:val="toc 9"/>
    <w:basedOn w:val="Normal"/>
    <w:next w:val="Normal"/>
    <w:autoRedefine/>
    <w:uiPriority w:val="39"/>
    <w:unhideWhenUsed/>
    <w:rsid w:val="003E4AC3"/>
    <w:pPr>
      <w:spacing w:after="100" w:line="240" w:lineRule="auto"/>
      <w:ind w:left="1920"/>
    </w:pPr>
    <w:rPr>
      <w:rFonts w:eastAsia="Heiti TC Light"/>
      <w:sz w:val="24"/>
      <w:szCs w:val="24"/>
      <w:lang w:eastAsia="zh-TW"/>
    </w:rPr>
  </w:style>
  <w:style w:type="paragraph" w:customStyle="1" w:styleId="DotPointTLRI">
    <w:name w:val="Dot Point TLRI"/>
    <w:basedOn w:val="ListParagraph"/>
    <w:qFormat/>
    <w:rsid w:val="001A4264"/>
    <w:pPr>
      <w:numPr>
        <w:numId w:val="36"/>
      </w:numPr>
      <w:contextualSpacing w:val="0"/>
      <w:jc w:val="both"/>
    </w:pPr>
    <w:rPr>
      <w:rFonts w:ascii="Garamond" w:hAnsi="Garamond"/>
      <w:lang w:val="en-US" w:eastAsia="ja-JP"/>
    </w:rPr>
  </w:style>
  <w:style w:type="paragraph" w:customStyle="1" w:styleId="NormalNumberedTextTLRI">
    <w:name w:val="Normal Numbered Text TLRI"/>
    <w:basedOn w:val="Normal"/>
    <w:link w:val="NormalNumberedTextTLRIChar"/>
    <w:qFormat/>
    <w:rsid w:val="001A4264"/>
    <w:pPr>
      <w:numPr>
        <w:ilvl w:val="2"/>
        <w:numId w:val="37"/>
      </w:numPr>
      <w:tabs>
        <w:tab w:val="clear" w:pos="2422"/>
        <w:tab w:val="left" w:pos="851"/>
      </w:tabs>
      <w:spacing w:before="220" w:after="220"/>
      <w:ind w:left="0"/>
      <w:jc w:val="both"/>
    </w:pPr>
    <w:rPr>
      <w:rFonts w:ascii="Garamond" w:eastAsia="Times" w:hAnsi="Garamond" w:cstheme="majorBidi"/>
      <w:szCs w:val="20"/>
      <w:lang w:eastAsia="ja-JP"/>
    </w:rPr>
  </w:style>
  <w:style w:type="character" w:customStyle="1" w:styleId="NormalNumberedTextTLRIChar">
    <w:name w:val="Normal Numbered Text TLRI Char"/>
    <w:basedOn w:val="DefaultParagraphFont"/>
    <w:link w:val="NormalNumberedTextTLRI"/>
    <w:rsid w:val="001A4264"/>
    <w:rPr>
      <w:rFonts w:ascii="Garamond" w:eastAsia="Times" w:hAnsi="Garamond" w:cstheme="majorBidi"/>
      <w:szCs w:val="20"/>
      <w:lang w:eastAsia="ja-JP"/>
    </w:rPr>
  </w:style>
  <w:style w:type="paragraph" w:customStyle="1" w:styleId="NumberedHeadingTLRI">
    <w:name w:val="Numbered Heading TLRI"/>
    <w:basedOn w:val="Normal"/>
    <w:next w:val="NormalNumberedTextTLRI"/>
    <w:link w:val="NumberedHeadingTLRIChar"/>
    <w:qFormat/>
    <w:rsid w:val="001A4264"/>
    <w:pPr>
      <w:numPr>
        <w:ilvl w:val="1"/>
        <w:numId w:val="37"/>
      </w:numPr>
      <w:tabs>
        <w:tab w:val="clear" w:pos="1571"/>
        <w:tab w:val="num" w:pos="851"/>
      </w:tabs>
      <w:spacing w:before="480" w:after="220"/>
      <w:ind w:left="0"/>
    </w:pPr>
    <w:rPr>
      <w:rFonts w:ascii="Times New Roman" w:eastAsia="Times" w:hAnsi="Times New Roman" w:cstheme="majorBidi"/>
      <w:b/>
      <w:sz w:val="32"/>
      <w:szCs w:val="20"/>
      <w:lang w:eastAsia="ja-JP"/>
    </w:rPr>
  </w:style>
  <w:style w:type="character" w:customStyle="1" w:styleId="NumberedHeadingTLRIChar">
    <w:name w:val="Numbered Heading TLRI Char"/>
    <w:basedOn w:val="DefaultParagraphFont"/>
    <w:link w:val="NumberedHeadingTLRI"/>
    <w:rsid w:val="001A4264"/>
    <w:rPr>
      <w:rFonts w:ascii="Times New Roman" w:eastAsia="Times" w:hAnsi="Times New Roman" w:cstheme="majorBidi"/>
      <w:b/>
      <w:sz w:val="32"/>
      <w:szCs w:val="20"/>
      <w:lang w:eastAsia="ja-JP"/>
    </w:rPr>
  </w:style>
  <w:style w:type="paragraph" w:customStyle="1" w:styleId="PartNoTLRI">
    <w:name w:val="Part No TLRI"/>
    <w:basedOn w:val="Normal"/>
    <w:link w:val="PartNoTLRIChar"/>
    <w:qFormat/>
    <w:rsid w:val="001A4264"/>
    <w:pPr>
      <w:numPr>
        <w:numId w:val="37"/>
      </w:numPr>
      <w:jc w:val="center"/>
    </w:pPr>
    <w:rPr>
      <w:rFonts w:eastAsia="Times"/>
      <w:b/>
      <w:sz w:val="36"/>
      <w:szCs w:val="20"/>
      <w:lang w:val="en-US" w:eastAsia="ja-JP"/>
    </w:rPr>
  </w:style>
  <w:style w:type="character" w:styleId="PageNumber">
    <w:name w:val="page number"/>
    <w:basedOn w:val="DefaultParagraphFont"/>
    <w:uiPriority w:val="99"/>
    <w:semiHidden/>
    <w:unhideWhenUsed/>
    <w:rsid w:val="00623C43"/>
  </w:style>
  <w:style w:type="paragraph" w:styleId="ListBullet">
    <w:name w:val="List Bullet"/>
    <w:basedOn w:val="Normal"/>
    <w:rsid w:val="00FC2C6D"/>
    <w:pPr>
      <w:numPr>
        <w:numId w:val="40"/>
      </w:numPr>
      <w:contextualSpacing/>
    </w:pPr>
    <w:rPr>
      <w:rFonts w:eastAsiaTheme="minorHAnsi"/>
    </w:rPr>
  </w:style>
  <w:style w:type="paragraph" w:styleId="BodyText">
    <w:name w:val="Body Text"/>
    <w:basedOn w:val="Normal"/>
    <w:link w:val="BodyTextChar"/>
    <w:rsid w:val="00FC2C6D"/>
    <w:pPr>
      <w:spacing w:before="120" w:after="120"/>
      <w:jc w:val="both"/>
    </w:pPr>
    <w:rPr>
      <w:rFonts w:eastAsiaTheme="minorHAnsi"/>
      <w:b/>
      <w:sz w:val="28"/>
      <w:szCs w:val="20"/>
      <w:lang w:val="x-none"/>
    </w:rPr>
  </w:style>
  <w:style w:type="character" w:customStyle="1" w:styleId="BodyTextChar">
    <w:name w:val="Body Text Char"/>
    <w:basedOn w:val="DefaultParagraphFont"/>
    <w:link w:val="BodyText"/>
    <w:rsid w:val="00FC2C6D"/>
    <w:rPr>
      <w:rFonts w:eastAsiaTheme="minorHAnsi"/>
      <w:b/>
      <w:sz w:val="28"/>
      <w:szCs w:val="20"/>
      <w:lang w:val="x-none"/>
    </w:rPr>
  </w:style>
  <w:style w:type="paragraph" w:customStyle="1" w:styleId="PartHeadingTLRI">
    <w:name w:val="Part Heading TLRI"/>
    <w:basedOn w:val="Normal"/>
    <w:link w:val="PartHeadingTLRIChar"/>
    <w:qFormat/>
    <w:rsid w:val="00414512"/>
    <w:pPr>
      <w:tabs>
        <w:tab w:val="num" w:pos="0"/>
      </w:tabs>
      <w:spacing w:before="600" w:after="720" w:line="240" w:lineRule="auto"/>
      <w:jc w:val="center"/>
    </w:pPr>
    <w:rPr>
      <w:rFonts w:ascii="Times New Roman" w:eastAsia="Times" w:hAnsi="Times New Roman" w:cs="Arial"/>
      <w:b/>
      <w:sz w:val="36"/>
      <w:szCs w:val="36"/>
    </w:rPr>
  </w:style>
  <w:style w:type="character" w:customStyle="1" w:styleId="PartHeadingTLRIChar">
    <w:name w:val="Part Heading TLRI Char"/>
    <w:link w:val="PartHeadingTLRI"/>
    <w:rsid w:val="00414512"/>
    <w:rPr>
      <w:rFonts w:ascii="Times New Roman" w:eastAsia="Times" w:hAnsi="Times New Roman" w:cs="Arial"/>
      <w:b/>
      <w:sz w:val="36"/>
      <w:szCs w:val="36"/>
    </w:rPr>
  </w:style>
  <w:style w:type="character" w:customStyle="1" w:styleId="PartNoTLRIChar">
    <w:name w:val="Part No TLRI Char"/>
    <w:link w:val="PartNoTLRI"/>
    <w:rsid w:val="00414512"/>
    <w:rPr>
      <w:rFonts w:eastAsia="Times"/>
      <w:b/>
      <w:sz w:val="36"/>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24406041">
      <w:bodyDiv w:val="1"/>
      <w:marLeft w:val="0"/>
      <w:marRight w:val="0"/>
      <w:marTop w:val="0"/>
      <w:marBottom w:val="0"/>
      <w:divBdr>
        <w:top w:val="none" w:sz="0" w:space="0" w:color="auto"/>
        <w:left w:val="none" w:sz="0" w:space="0" w:color="auto"/>
        <w:bottom w:val="none" w:sz="0" w:space="0" w:color="auto"/>
        <w:right w:val="none" w:sz="0" w:space="0" w:color="auto"/>
      </w:divBdr>
    </w:div>
    <w:div w:id="38671385">
      <w:bodyDiv w:val="1"/>
      <w:marLeft w:val="0"/>
      <w:marRight w:val="0"/>
      <w:marTop w:val="0"/>
      <w:marBottom w:val="0"/>
      <w:divBdr>
        <w:top w:val="none" w:sz="0" w:space="0" w:color="auto"/>
        <w:left w:val="none" w:sz="0" w:space="0" w:color="auto"/>
        <w:bottom w:val="none" w:sz="0" w:space="0" w:color="auto"/>
        <w:right w:val="none" w:sz="0" w:space="0" w:color="auto"/>
      </w:divBdr>
    </w:div>
    <w:div w:id="52047775">
      <w:bodyDiv w:val="1"/>
      <w:marLeft w:val="0"/>
      <w:marRight w:val="0"/>
      <w:marTop w:val="0"/>
      <w:marBottom w:val="0"/>
      <w:divBdr>
        <w:top w:val="none" w:sz="0" w:space="0" w:color="auto"/>
        <w:left w:val="none" w:sz="0" w:space="0" w:color="auto"/>
        <w:bottom w:val="none" w:sz="0" w:space="0" w:color="auto"/>
        <w:right w:val="none" w:sz="0" w:space="0" w:color="auto"/>
      </w:divBdr>
      <w:divsChild>
        <w:div w:id="1353342415">
          <w:marLeft w:val="0"/>
          <w:marRight w:val="0"/>
          <w:marTop w:val="0"/>
          <w:marBottom w:val="600"/>
          <w:divBdr>
            <w:top w:val="none" w:sz="0" w:space="0" w:color="auto"/>
            <w:left w:val="none" w:sz="0" w:space="0" w:color="auto"/>
            <w:bottom w:val="none" w:sz="0" w:space="0" w:color="auto"/>
            <w:right w:val="none" w:sz="0" w:space="0" w:color="auto"/>
          </w:divBdr>
          <w:divsChild>
            <w:div w:id="223221387">
              <w:marLeft w:val="0"/>
              <w:marRight w:val="0"/>
              <w:marTop w:val="0"/>
              <w:marBottom w:val="0"/>
              <w:divBdr>
                <w:top w:val="none" w:sz="0" w:space="0" w:color="auto"/>
                <w:left w:val="none" w:sz="0" w:space="0" w:color="auto"/>
                <w:bottom w:val="none" w:sz="0" w:space="0" w:color="auto"/>
                <w:right w:val="none" w:sz="0" w:space="0" w:color="auto"/>
              </w:divBdr>
            </w:div>
          </w:divsChild>
        </w:div>
        <w:div w:id="719289066">
          <w:marLeft w:val="0"/>
          <w:marRight w:val="0"/>
          <w:marTop w:val="0"/>
          <w:marBottom w:val="0"/>
          <w:divBdr>
            <w:top w:val="none" w:sz="0" w:space="0" w:color="auto"/>
            <w:left w:val="none" w:sz="0" w:space="0" w:color="auto"/>
            <w:bottom w:val="none" w:sz="0" w:space="0" w:color="auto"/>
            <w:right w:val="none" w:sz="0" w:space="0" w:color="auto"/>
          </w:divBdr>
          <w:divsChild>
            <w:div w:id="576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6766">
      <w:bodyDiv w:val="1"/>
      <w:marLeft w:val="0"/>
      <w:marRight w:val="0"/>
      <w:marTop w:val="0"/>
      <w:marBottom w:val="0"/>
      <w:divBdr>
        <w:top w:val="none" w:sz="0" w:space="0" w:color="auto"/>
        <w:left w:val="none" w:sz="0" w:space="0" w:color="auto"/>
        <w:bottom w:val="none" w:sz="0" w:space="0" w:color="auto"/>
        <w:right w:val="none" w:sz="0" w:space="0" w:color="auto"/>
      </w:divBdr>
    </w:div>
    <w:div w:id="132912615">
      <w:bodyDiv w:val="1"/>
      <w:marLeft w:val="0"/>
      <w:marRight w:val="0"/>
      <w:marTop w:val="0"/>
      <w:marBottom w:val="0"/>
      <w:divBdr>
        <w:top w:val="none" w:sz="0" w:space="0" w:color="auto"/>
        <w:left w:val="none" w:sz="0" w:space="0" w:color="auto"/>
        <w:bottom w:val="none" w:sz="0" w:space="0" w:color="auto"/>
        <w:right w:val="none" w:sz="0" w:space="0" w:color="auto"/>
      </w:divBdr>
    </w:div>
    <w:div w:id="158809404">
      <w:bodyDiv w:val="1"/>
      <w:marLeft w:val="0"/>
      <w:marRight w:val="0"/>
      <w:marTop w:val="0"/>
      <w:marBottom w:val="0"/>
      <w:divBdr>
        <w:top w:val="none" w:sz="0" w:space="0" w:color="auto"/>
        <w:left w:val="none" w:sz="0" w:space="0" w:color="auto"/>
        <w:bottom w:val="none" w:sz="0" w:space="0" w:color="auto"/>
        <w:right w:val="none" w:sz="0" w:space="0" w:color="auto"/>
      </w:divBdr>
    </w:div>
    <w:div w:id="239488293">
      <w:bodyDiv w:val="1"/>
      <w:marLeft w:val="0"/>
      <w:marRight w:val="0"/>
      <w:marTop w:val="0"/>
      <w:marBottom w:val="0"/>
      <w:divBdr>
        <w:top w:val="none" w:sz="0" w:space="0" w:color="auto"/>
        <w:left w:val="none" w:sz="0" w:space="0" w:color="auto"/>
        <w:bottom w:val="none" w:sz="0" w:space="0" w:color="auto"/>
        <w:right w:val="none" w:sz="0" w:space="0" w:color="auto"/>
      </w:divBdr>
    </w:div>
    <w:div w:id="248124880">
      <w:bodyDiv w:val="1"/>
      <w:marLeft w:val="0"/>
      <w:marRight w:val="0"/>
      <w:marTop w:val="0"/>
      <w:marBottom w:val="0"/>
      <w:divBdr>
        <w:top w:val="none" w:sz="0" w:space="0" w:color="auto"/>
        <w:left w:val="none" w:sz="0" w:space="0" w:color="auto"/>
        <w:bottom w:val="none" w:sz="0" w:space="0" w:color="auto"/>
        <w:right w:val="none" w:sz="0" w:space="0" w:color="auto"/>
      </w:divBdr>
    </w:div>
    <w:div w:id="259457411">
      <w:bodyDiv w:val="1"/>
      <w:marLeft w:val="0"/>
      <w:marRight w:val="0"/>
      <w:marTop w:val="0"/>
      <w:marBottom w:val="0"/>
      <w:divBdr>
        <w:top w:val="none" w:sz="0" w:space="0" w:color="auto"/>
        <w:left w:val="none" w:sz="0" w:space="0" w:color="auto"/>
        <w:bottom w:val="none" w:sz="0" w:space="0" w:color="auto"/>
        <w:right w:val="none" w:sz="0" w:space="0" w:color="auto"/>
      </w:divBdr>
    </w:div>
    <w:div w:id="276302973">
      <w:bodyDiv w:val="1"/>
      <w:marLeft w:val="0"/>
      <w:marRight w:val="0"/>
      <w:marTop w:val="0"/>
      <w:marBottom w:val="0"/>
      <w:divBdr>
        <w:top w:val="none" w:sz="0" w:space="0" w:color="auto"/>
        <w:left w:val="none" w:sz="0" w:space="0" w:color="auto"/>
        <w:bottom w:val="none" w:sz="0" w:space="0" w:color="auto"/>
        <w:right w:val="none" w:sz="0" w:space="0" w:color="auto"/>
      </w:divBdr>
      <w:divsChild>
        <w:div w:id="144954156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214380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7333564">
                  <w:blockQuote w:val="1"/>
                  <w:marLeft w:val="0"/>
                  <w:marRight w:val="0"/>
                  <w:marTop w:val="120"/>
                  <w:marBottom w:val="120"/>
                  <w:divBdr>
                    <w:top w:val="none" w:sz="0" w:space="0" w:color="auto"/>
                    <w:left w:val="none" w:sz="0" w:space="0" w:color="auto"/>
                    <w:bottom w:val="none" w:sz="0" w:space="0" w:color="auto"/>
                    <w:right w:val="none" w:sz="0" w:space="0" w:color="auto"/>
                  </w:divBdr>
                </w:div>
                <w:div w:id="17542750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22927153">
      <w:bodyDiv w:val="1"/>
      <w:marLeft w:val="0"/>
      <w:marRight w:val="0"/>
      <w:marTop w:val="0"/>
      <w:marBottom w:val="0"/>
      <w:divBdr>
        <w:top w:val="none" w:sz="0" w:space="0" w:color="auto"/>
        <w:left w:val="none" w:sz="0" w:space="0" w:color="auto"/>
        <w:bottom w:val="none" w:sz="0" w:space="0" w:color="auto"/>
        <w:right w:val="none" w:sz="0" w:space="0" w:color="auto"/>
      </w:divBdr>
    </w:div>
    <w:div w:id="344017436">
      <w:bodyDiv w:val="1"/>
      <w:marLeft w:val="0"/>
      <w:marRight w:val="0"/>
      <w:marTop w:val="0"/>
      <w:marBottom w:val="0"/>
      <w:divBdr>
        <w:top w:val="none" w:sz="0" w:space="0" w:color="auto"/>
        <w:left w:val="none" w:sz="0" w:space="0" w:color="auto"/>
        <w:bottom w:val="none" w:sz="0" w:space="0" w:color="auto"/>
        <w:right w:val="none" w:sz="0" w:space="0" w:color="auto"/>
      </w:divBdr>
    </w:div>
    <w:div w:id="387072747">
      <w:bodyDiv w:val="1"/>
      <w:marLeft w:val="0"/>
      <w:marRight w:val="0"/>
      <w:marTop w:val="0"/>
      <w:marBottom w:val="0"/>
      <w:divBdr>
        <w:top w:val="none" w:sz="0" w:space="0" w:color="auto"/>
        <w:left w:val="none" w:sz="0" w:space="0" w:color="auto"/>
        <w:bottom w:val="none" w:sz="0" w:space="0" w:color="auto"/>
        <w:right w:val="none" w:sz="0" w:space="0" w:color="auto"/>
      </w:divBdr>
    </w:div>
    <w:div w:id="410931664">
      <w:bodyDiv w:val="1"/>
      <w:marLeft w:val="0"/>
      <w:marRight w:val="0"/>
      <w:marTop w:val="0"/>
      <w:marBottom w:val="0"/>
      <w:divBdr>
        <w:top w:val="none" w:sz="0" w:space="0" w:color="auto"/>
        <w:left w:val="none" w:sz="0" w:space="0" w:color="auto"/>
        <w:bottom w:val="none" w:sz="0" w:space="0" w:color="auto"/>
        <w:right w:val="none" w:sz="0" w:space="0" w:color="auto"/>
      </w:divBdr>
    </w:div>
    <w:div w:id="413018685">
      <w:bodyDiv w:val="1"/>
      <w:marLeft w:val="0"/>
      <w:marRight w:val="0"/>
      <w:marTop w:val="0"/>
      <w:marBottom w:val="0"/>
      <w:divBdr>
        <w:top w:val="none" w:sz="0" w:space="0" w:color="auto"/>
        <w:left w:val="none" w:sz="0" w:space="0" w:color="auto"/>
        <w:bottom w:val="none" w:sz="0" w:space="0" w:color="auto"/>
        <w:right w:val="none" w:sz="0" w:space="0" w:color="auto"/>
      </w:divBdr>
    </w:div>
    <w:div w:id="429664854">
      <w:bodyDiv w:val="1"/>
      <w:marLeft w:val="0"/>
      <w:marRight w:val="0"/>
      <w:marTop w:val="0"/>
      <w:marBottom w:val="0"/>
      <w:divBdr>
        <w:top w:val="none" w:sz="0" w:space="0" w:color="auto"/>
        <w:left w:val="none" w:sz="0" w:space="0" w:color="auto"/>
        <w:bottom w:val="none" w:sz="0" w:space="0" w:color="auto"/>
        <w:right w:val="none" w:sz="0" w:space="0" w:color="auto"/>
      </w:divBdr>
    </w:div>
    <w:div w:id="464469432">
      <w:bodyDiv w:val="1"/>
      <w:marLeft w:val="0"/>
      <w:marRight w:val="0"/>
      <w:marTop w:val="0"/>
      <w:marBottom w:val="0"/>
      <w:divBdr>
        <w:top w:val="none" w:sz="0" w:space="0" w:color="auto"/>
        <w:left w:val="none" w:sz="0" w:space="0" w:color="auto"/>
        <w:bottom w:val="none" w:sz="0" w:space="0" w:color="auto"/>
        <w:right w:val="none" w:sz="0" w:space="0" w:color="auto"/>
      </w:divBdr>
    </w:div>
    <w:div w:id="476610452">
      <w:bodyDiv w:val="1"/>
      <w:marLeft w:val="0"/>
      <w:marRight w:val="0"/>
      <w:marTop w:val="0"/>
      <w:marBottom w:val="0"/>
      <w:divBdr>
        <w:top w:val="none" w:sz="0" w:space="0" w:color="auto"/>
        <w:left w:val="none" w:sz="0" w:space="0" w:color="auto"/>
        <w:bottom w:val="none" w:sz="0" w:space="0" w:color="auto"/>
        <w:right w:val="none" w:sz="0" w:space="0" w:color="auto"/>
      </w:divBdr>
    </w:div>
    <w:div w:id="536356471">
      <w:bodyDiv w:val="1"/>
      <w:marLeft w:val="0"/>
      <w:marRight w:val="0"/>
      <w:marTop w:val="0"/>
      <w:marBottom w:val="0"/>
      <w:divBdr>
        <w:top w:val="none" w:sz="0" w:space="0" w:color="auto"/>
        <w:left w:val="none" w:sz="0" w:space="0" w:color="auto"/>
        <w:bottom w:val="none" w:sz="0" w:space="0" w:color="auto"/>
        <w:right w:val="none" w:sz="0" w:space="0" w:color="auto"/>
      </w:divBdr>
    </w:div>
    <w:div w:id="609434491">
      <w:bodyDiv w:val="1"/>
      <w:marLeft w:val="0"/>
      <w:marRight w:val="0"/>
      <w:marTop w:val="0"/>
      <w:marBottom w:val="0"/>
      <w:divBdr>
        <w:top w:val="none" w:sz="0" w:space="0" w:color="auto"/>
        <w:left w:val="none" w:sz="0" w:space="0" w:color="auto"/>
        <w:bottom w:val="none" w:sz="0" w:space="0" w:color="auto"/>
        <w:right w:val="none" w:sz="0" w:space="0" w:color="auto"/>
      </w:divBdr>
      <w:divsChild>
        <w:div w:id="8799005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87606912">
              <w:blockQuote w:val="1"/>
              <w:marLeft w:val="0"/>
              <w:marRight w:val="0"/>
              <w:marTop w:val="120"/>
              <w:marBottom w:val="120"/>
              <w:divBdr>
                <w:top w:val="none" w:sz="0" w:space="0" w:color="auto"/>
                <w:left w:val="none" w:sz="0" w:space="0" w:color="auto"/>
                <w:bottom w:val="none" w:sz="0" w:space="0" w:color="auto"/>
                <w:right w:val="none" w:sz="0" w:space="0" w:color="auto"/>
              </w:divBdr>
              <w:divsChild>
                <w:div w:id="2310901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0903564">
                      <w:blockQuote w:val="1"/>
                      <w:marLeft w:val="0"/>
                      <w:marRight w:val="0"/>
                      <w:marTop w:val="120"/>
                      <w:marBottom w:val="120"/>
                      <w:divBdr>
                        <w:top w:val="none" w:sz="0" w:space="0" w:color="auto"/>
                        <w:left w:val="none" w:sz="0" w:space="0" w:color="auto"/>
                        <w:bottom w:val="none" w:sz="0" w:space="0" w:color="auto"/>
                        <w:right w:val="none" w:sz="0" w:space="0" w:color="auto"/>
                      </w:divBdr>
                    </w:div>
                    <w:div w:id="15473729">
                      <w:blockQuote w:val="1"/>
                      <w:marLeft w:val="0"/>
                      <w:marRight w:val="0"/>
                      <w:marTop w:val="120"/>
                      <w:marBottom w:val="120"/>
                      <w:divBdr>
                        <w:top w:val="none" w:sz="0" w:space="0" w:color="auto"/>
                        <w:left w:val="none" w:sz="0" w:space="0" w:color="auto"/>
                        <w:bottom w:val="none" w:sz="0" w:space="0" w:color="auto"/>
                        <w:right w:val="none" w:sz="0" w:space="0" w:color="auto"/>
                      </w:divBdr>
                    </w:div>
                    <w:div w:id="146485251">
                      <w:blockQuote w:val="1"/>
                      <w:marLeft w:val="0"/>
                      <w:marRight w:val="0"/>
                      <w:marTop w:val="120"/>
                      <w:marBottom w:val="120"/>
                      <w:divBdr>
                        <w:top w:val="none" w:sz="0" w:space="0" w:color="auto"/>
                        <w:left w:val="none" w:sz="0" w:space="0" w:color="auto"/>
                        <w:bottom w:val="none" w:sz="0" w:space="0" w:color="auto"/>
                        <w:right w:val="none" w:sz="0" w:space="0" w:color="auto"/>
                      </w:divBdr>
                    </w:div>
                    <w:div w:id="2045977437">
                      <w:blockQuote w:val="1"/>
                      <w:marLeft w:val="0"/>
                      <w:marRight w:val="0"/>
                      <w:marTop w:val="120"/>
                      <w:marBottom w:val="120"/>
                      <w:divBdr>
                        <w:top w:val="none" w:sz="0" w:space="0" w:color="auto"/>
                        <w:left w:val="none" w:sz="0" w:space="0" w:color="auto"/>
                        <w:bottom w:val="none" w:sz="0" w:space="0" w:color="auto"/>
                        <w:right w:val="none" w:sz="0" w:space="0" w:color="auto"/>
                      </w:divBdr>
                    </w:div>
                    <w:div w:id="668294437">
                      <w:blockQuote w:val="1"/>
                      <w:marLeft w:val="0"/>
                      <w:marRight w:val="0"/>
                      <w:marTop w:val="120"/>
                      <w:marBottom w:val="120"/>
                      <w:divBdr>
                        <w:top w:val="none" w:sz="0" w:space="0" w:color="auto"/>
                        <w:left w:val="none" w:sz="0" w:space="0" w:color="auto"/>
                        <w:bottom w:val="none" w:sz="0" w:space="0" w:color="auto"/>
                        <w:right w:val="none" w:sz="0" w:space="0" w:color="auto"/>
                      </w:divBdr>
                    </w:div>
                    <w:div w:id="1771968800">
                      <w:blockQuote w:val="1"/>
                      <w:marLeft w:val="0"/>
                      <w:marRight w:val="0"/>
                      <w:marTop w:val="120"/>
                      <w:marBottom w:val="120"/>
                      <w:divBdr>
                        <w:top w:val="none" w:sz="0" w:space="0" w:color="auto"/>
                        <w:left w:val="none" w:sz="0" w:space="0" w:color="auto"/>
                        <w:bottom w:val="none" w:sz="0" w:space="0" w:color="auto"/>
                        <w:right w:val="none" w:sz="0" w:space="0" w:color="auto"/>
                      </w:divBdr>
                    </w:div>
                    <w:div w:id="1781953721">
                      <w:blockQuote w:val="1"/>
                      <w:marLeft w:val="0"/>
                      <w:marRight w:val="0"/>
                      <w:marTop w:val="120"/>
                      <w:marBottom w:val="120"/>
                      <w:divBdr>
                        <w:top w:val="none" w:sz="0" w:space="0" w:color="auto"/>
                        <w:left w:val="none" w:sz="0" w:space="0" w:color="auto"/>
                        <w:bottom w:val="none" w:sz="0" w:space="0" w:color="auto"/>
                        <w:right w:val="none" w:sz="0" w:space="0" w:color="auto"/>
                      </w:divBdr>
                    </w:div>
                    <w:div w:id="131408227">
                      <w:blockQuote w:val="1"/>
                      <w:marLeft w:val="0"/>
                      <w:marRight w:val="0"/>
                      <w:marTop w:val="120"/>
                      <w:marBottom w:val="120"/>
                      <w:divBdr>
                        <w:top w:val="none" w:sz="0" w:space="0" w:color="auto"/>
                        <w:left w:val="none" w:sz="0" w:space="0" w:color="auto"/>
                        <w:bottom w:val="none" w:sz="0" w:space="0" w:color="auto"/>
                        <w:right w:val="none" w:sz="0" w:space="0" w:color="auto"/>
                      </w:divBdr>
                    </w:div>
                    <w:div w:id="17504207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293381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42735938">
      <w:bodyDiv w:val="1"/>
      <w:marLeft w:val="0"/>
      <w:marRight w:val="0"/>
      <w:marTop w:val="0"/>
      <w:marBottom w:val="0"/>
      <w:divBdr>
        <w:top w:val="none" w:sz="0" w:space="0" w:color="auto"/>
        <w:left w:val="none" w:sz="0" w:space="0" w:color="auto"/>
        <w:bottom w:val="none" w:sz="0" w:space="0" w:color="auto"/>
        <w:right w:val="none" w:sz="0" w:space="0" w:color="auto"/>
      </w:divBdr>
    </w:div>
    <w:div w:id="730277730">
      <w:bodyDiv w:val="1"/>
      <w:marLeft w:val="0"/>
      <w:marRight w:val="0"/>
      <w:marTop w:val="0"/>
      <w:marBottom w:val="0"/>
      <w:divBdr>
        <w:top w:val="none" w:sz="0" w:space="0" w:color="auto"/>
        <w:left w:val="none" w:sz="0" w:space="0" w:color="auto"/>
        <w:bottom w:val="none" w:sz="0" w:space="0" w:color="auto"/>
        <w:right w:val="none" w:sz="0" w:space="0" w:color="auto"/>
      </w:divBdr>
      <w:divsChild>
        <w:div w:id="10823387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7475530">
              <w:blockQuote w:val="1"/>
              <w:marLeft w:val="0"/>
              <w:marRight w:val="0"/>
              <w:marTop w:val="120"/>
              <w:marBottom w:val="120"/>
              <w:divBdr>
                <w:top w:val="none" w:sz="0" w:space="0" w:color="auto"/>
                <w:left w:val="none" w:sz="0" w:space="0" w:color="auto"/>
                <w:bottom w:val="none" w:sz="0" w:space="0" w:color="auto"/>
                <w:right w:val="none" w:sz="0" w:space="0" w:color="auto"/>
              </w:divBdr>
            </w:div>
            <w:div w:id="8900711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2043061">
      <w:bodyDiv w:val="1"/>
      <w:marLeft w:val="0"/>
      <w:marRight w:val="0"/>
      <w:marTop w:val="0"/>
      <w:marBottom w:val="0"/>
      <w:divBdr>
        <w:top w:val="none" w:sz="0" w:space="0" w:color="auto"/>
        <w:left w:val="none" w:sz="0" w:space="0" w:color="auto"/>
        <w:bottom w:val="none" w:sz="0" w:space="0" w:color="auto"/>
        <w:right w:val="none" w:sz="0" w:space="0" w:color="auto"/>
      </w:divBdr>
    </w:div>
    <w:div w:id="764495904">
      <w:bodyDiv w:val="1"/>
      <w:marLeft w:val="0"/>
      <w:marRight w:val="0"/>
      <w:marTop w:val="0"/>
      <w:marBottom w:val="0"/>
      <w:divBdr>
        <w:top w:val="none" w:sz="0" w:space="0" w:color="auto"/>
        <w:left w:val="none" w:sz="0" w:space="0" w:color="auto"/>
        <w:bottom w:val="none" w:sz="0" w:space="0" w:color="auto"/>
        <w:right w:val="none" w:sz="0" w:space="0" w:color="auto"/>
      </w:divBdr>
    </w:div>
    <w:div w:id="765812255">
      <w:bodyDiv w:val="1"/>
      <w:marLeft w:val="0"/>
      <w:marRight w:val="0"/>
      <w:marTop w:val="0"/>
      <w:marBottom w:val="0"/>
      <w:divBdr>
        <w:top w:val="none" w:sz="0" w:space="0" w:color="auto"/>
        <w:left w:val="none" w:sz="0" w:space="0" w:color="auto"/>
        <w:bottom w:val="none" w:sz="0" w:space="0" w:color="auto"/>
        <w:right w:val="none" w:sz="0" w:space="0" w:color="auto"/>
      </w:divBdr>
    </w:div>
    <w:div w:id="794297224">
      <w:bodyDiv w:val="1"/>
      <w:marLeft w:val="0"/>
      <w:marRight w:val="0"/>
      <w:marTop w:val="0"/>
      <w:marBottom w:val="0"/>
      <w:divBdr>
        <w:top w:val="none" w:sz="0" w:space="0" w:color="auto"/>
        <w:left w:val="none" w:sz="0" w:space="0" w:color="auto"/>
        <w:bottom w:val="none" w:sz="0" w:space="0" w:color="auto"/>
        <w:right w:val="none" w:sz="0" w:space="0" w:color="auto"/>
      </w:divBdr>
    </w:div>
    <w:div w:id="803160291">
      <w:bodyDiv w:val="1"/>
      <w:marLeft w:val="0"/>
      <w:marRight w:val="0"/>
      <w:marTop w:val="0"/>
      <w:marBottom w:val="0"/>
      <w:divBdr>
        <w:top w:val="none" w:sz="0" w:space="0" w:color="auto"/>
        <w:left w:val="none" w:sz="0" w:space="0" w:color="auto"/>
        <w:bottom w:val="none" w:sz="0" w:space="0" w:color="auto"/>
        <w:right w:val="none" w:sz="0" w:space="0" w:color="auto"/>
      </w:divBdr>
      <w:divsChild>
        <w:div w:id="12661560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09505701">
              <w:blockQuote w:val="1"/>
              <w:marLeft w:val="0"/>
              <w:marRight w:val="0"/>
              <w:marTop w:val="120"/>
              <w:marBottom w:val="120"/>
              <w:divBdr>
                <w:top w:val="none" w:sz="0" w:space="0" w:color="auto"/>
                <w:left w:val="none" w:sz="0" w:space="0" w:color="auto"/>
                <w:bottom w:val="none" w:sz="0" w:space="0" w:color="auto"/>
                <w:right w:val="none" w:sz="0" w:space="0" w:color="auto"/>
              </w:divBdr>
            </w:div>
            <w:div w:id="16418865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28792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4740">
          <w:blockQuote w:val="1"/>
          <w:marLeft w:val="0"/>
          <w:marRight w:val="0"/>
          <w:marTop w:val="120"/>
          <w:marBottom w:val="120"/>
          <w:divBdr>
            <w:top w:val="none" w:sz="0" w:space="0" w:color="auto"/>
            <w:left w:val="none" w:sz="0" w:space="0" w:color="auto"/>
            <w:bottom w:val="none" w:sz="0" w:space="0" w:color="auto"/>
            <w:right w:val="none" w:sz="0" w:space="0" w:color="auto"/>
          </w:divBdr>
        </w:div>
        <w:div w:id="719012860">
          <w:blockQuote w:val="1"/>
          <w:marLeft w:val="0"/>
          <w:marRight w:val="0"/>
          <w:marTop w:val="120"/>
          <w:marBottom w:val="120"/>
          <w:divBdr>
            <w:top w:val="none" w:sz="0" w:space="0" w:color="auto"/>
            <w:left w:val="none" w:sz="0" w:space="0" w:color="auto"/>
            <w:bottom w:val="none" w:sz="0" w:space="0" w:color="auto"/>
            <w:right w:val="none" w:sz="0" w:space="0" w:color="auto"/>
          </w:divBdr>
        </w:div>
        <w:div w:id="9926858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911694167">
      <w:bodyDiv w:val="1"/>
      <w:marLeft w:val="0"/>
      <w:marRight w:val="0"/>
      <w:marTop w:val="0"/>
      <w:marBottom w:val="0"/>
      <w:divBdr>
        <w:top w:val="none" w:sz="0" w:space="0" w:color="auto"/>
        <w:left w:val="none" w:sz="0" w:space="0" w:color="auto"/>
        <w:bottom w:val="none" w:sz="0" w:space="0" w:color="auto"/>
        <w:right w:val="none" w:sz="0" w:space="0" w:color="auto"/>
      </w:divBdr>
    </w:div>
    <w:div w:id="964047331">
      <w:bodyDiv w:val="1"/>
      <w:marLeft w:val="0"/>
      <w:marRight w:val="0"/>
      <w:marTop w:val="0"/>
      <w:marBottom w:val="0"/>
      <w:divBdr>
        <w:top w:val="none" w:sz="0" w:space="0" w:color="auto"/>
        <w:left w:val="none" w:sz="0" w:space="0" w:color="auto"/>
        <w:bottom w:val="none" w:sz="0" w:space="0" w:color="auto"/>
        <w:right w:val="none" w:sz="0" w:space="0" w:color="auto"/>
      </w:divBdr>
    </w:div>
    <w:div w:id="1026908500">
      <w:bodyDiv w:val="1"/>
      <w:marLeft w:val="0"/>
      <w:marRight w:val="0"/>
      <w:marTop w:val="0"/>
      <w:marBottom w:val="0"/>
      <w:divBdr>
        <w:top w:val="none" w:sz="0" w:space="0" w:color="auto"/>
        <w:left w:val="none" w:sz="0" w:space="0" w:color="auto"/>
        <w:bottom w:val="none" w:sz="0" w:space="0" w:color="auto"/>
        <w:right w:val="none" w:sz="0" w:space="0" w:color="auto"/>
      </w:divBdr>
    </w:div>
    <w:div w:id="1041243811">
      <w:bodyDiv w:val="1"/>
      <w:marLeft w:val="0"/>
      <w:marRight w:val="0"/>
      <w:marTop w:val="0"/>
      <w:marBottom w:val="0"/>
      <w:divBdr>
        <w:top w:val="none" w:sz="0" w:space="0" w:color="auto"/>
        <w:left w:val="none" w:sz="0" w:space="0" w:color="auto"/>
        <w:bottom w:val="none" w:sz="0" w:space="0" w:color="auto"/>
        <w:right w:val="none" w:sz="0" w:space="0" w:color="auto"/>
      </w:divBdr>
      <w:divsChild>
        <w:div w:id="101954701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605330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4625335">
                  <w:blockQuote w:val="1"/>
                  <w:marLeft w:val="0"/>
                  <w:marRight w:val="0"/>
                  <w:marTop w:val="120"/>
                  <w:marBottom w:val="120"/>
                  <w:divBdr>
                    <w:top w:val="none" w:sz="0" w:space="0" w:color="auto"/>
                    <w:left w:val="none" w:sz="0" w:space="0" w:color="auto"/>
                    <w:bottom w:val="none" w:sz="0" w:space="0" w:color="auto"/>
                    <w:right w:val="none" w:sz="0" w:space="0" w:color="auto"/>
                  </w:divBdr>
                </w:div>
                <w:div w:id="195474723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962517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61765086">
                          <w:blockQuote w:val="1"/>
                          <w:marLeft w:val="0"/>
                          <w:marRight w:val="0"/>
                          <w:marTop w:val="120"/>
                          <w:marBottom w:val="120"/>
                          <w:divBdr>
                            <w:top w:val="none" w:sz="0" w:space="0" w:color="auto"/>
                            <w:left w:val="none" w:sz="0" w:space="0" w:color="auto"/>
                            <w:bottom w:val="none" w:sz="0" w:space="0" w:color="auto"/>
                            <w:right w:val="none" w:sz="0" w:space="0" w:color="auto"/>
                          </w:divBdr>
                        </w:div>
                        <w:div w:id="191686488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672619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96035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35835995">
                  <w:blockQuote w:val="1"/>
                  <w:marLeft w:val="0"/>
                  <w:marRight w:val="0"/>
                  <w:marTop w:val="120"/>
                  <w:marBottom w:val="120"/>
                  <w:divBdr>
                    <w:top w:val="none" w:sz="0" w:space="0" w:color="auto"/>
                    <w:left w:val="none" w:sz="0" w:space="0" w:color="auto"/>
                    <w:bottom w:val="none" w:sz="0" w:space="0" w:color="auto"/>
                    <w:right w:val="none" w:sz="0" w:space="0" w:color="auto"/>
                  </w:divBdr>
                  <w:divsChild>
                    <w:div w:id="5437575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4532684">
                          <w:blockQuote w:val="1"/>
                          <w:marLeft w:val="0"/>
                          <w:marRight w:val="0"/>
                          <w:marTop w:val="120"/>
                          <w:marBottom w:val="120"/>
                          <w:divBdr>
                            <w:top w:val="none" w:sz="0" w:space="0" w:color="auto"/>
                            <w:left w:val="none" w:sz="0" w:space="0" w:color="auto"/>
                            <w:bottom w:val="none" w:sz="0" w:space="0" w:color="auto"/>
                            <w:right w:val="none" w:sz="0" w:space="0" w:color="auto"/>
                          </w:divBdr>
                        </w:div>
                        <w:div w:id="1269776293">
                          <w:blockQuote w:val="1"/>
                          <w:marLeft w:val="0"/>
                          <w:marRight w:val="0"/>
                          <w:marTop w:val="120"/>
                          <w:marBottom w:val="120"/>
                          <w:divBdr>
                            <w:top w:val="none" w:sz="0" w:space="0" w:color="auto"/>
                            <w:left w:val="none" w:sz="0" w:space="0" w:color="auto"/>
                            <w:bottom w:val="none" w:sz="0" w:space="0" w:color="auto"/>
                            <w:right w:val="none" w:sz="0" w:space="0" w:color="auto"/>
                          </w:divBdr>
                        </w:div>
                        <w:div w:id="80323268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0582345">
                  <w:blockQuote w:val="1"/>
                  <w:marLeft w:val="0"/>
                  <w:marRight w:val="0"/>
                  <w:marTop w:val="120"/>
                  <w:marBottom w:val="120"/>
                  <w:divBdr>
                    <w:top w:val="none" w:sz="0" w:space="0" w:color="auto"/>
                    <w:left w:val="none" w:sz="0" w:space="0" w:color="auto"/>
                    <w:bottom w:val="none" w:sz="0" w:space="0" w:color="auto"/>
                    <w:right w:val="none" w:sz="0" w:space="0" w:color="auto"/>
                  </w:divBdr>
                </w:div>
                <w:div w:id="1338729318">
                  <w:blockQuote w:val="1"/>
                  <w:marLeft w:val="0"/>
                  <w:marRight w:val="0"/>
                  <w:marTop w:val="120"/>
                  <w:marBottom w:val="120"/>
                  <w:divBdr>
                    <w:top w:val="none" w:sz="0" w:space="0" w:color="auto"/>
                    <w:left w:val="none" w:sz="0" w:space="0" w:color="auto"/>
                    <w:bottom w:val="none" w:sz="0" w:space="0" w:color="auto"/>
                    <w:right w:val="none" w:sz="0" w:space="0" w:color="auto"/>
                  </w:divBdr>
                </w:div>
                <w:div w:id="33916118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62103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69551506">
                          <w:blockQuote w:val="1"/>
                          <w:marLeft w:val="0"/>
                          <w:marRight w:val="0"/>
                          <w:marTop w:val="120"/>
                          <w:marBottom w:val="120"/>
                          <w:divBdr>
                            <w:top w:val="none" w:sz="0" w:space="0" w:color="auto"/>
                            <w:left w:val="none" w:sz="0" w:space="0" w:color="auto"/>
                            <w:bottom w:val="none" w:sz="0" w:space="0" w:color="auto"/>
                            <w:right w:val="none" w:sz="0" w:space="0" w:color="auto"/>
                          </w:divBdr>
                        </w:div>
                        <w:div w:id="14777211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49406640">
          <w:blockQuote w:val="1"/>
          <w:marLeft w:val="720"/>
          <w:marRight w:val="0"/>
          <w:marTop w:val="120"/>
          <w:marBottom w:val="120"/>
          <w:divBdr>
            <w:top w:val="none" w:sz="0" w:space="0" w:color="auto"/>
            <w:left w:val="none" w:sz="0" w:space="0" w:color="auto"/>
            <w:bottom w:val="none" w:sz="0" w:space="0" w:color="auto"/>
            <w:right w:val="none" w:sz="0" w:space="0" w:color="auto"/>
          </w:divBdr>
        </w:div>
        <w:div w:id="16062282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195997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49028329">
                  <w:blockQuote w:val="1"/>
                  <w:marLeft w:val="0"/>
                  <w:marRight w:val="0"/>
                  <w:marTop w:val="120"/>
                  <w:marBottom w:val="120"/>
                  <w:divBdr>
                    <w:top w:val="none" w:sz="0" w:space="0" w:color="auto"/>
                    <w:left w:val="none" w:sz="0" w:space="0" w:color="auto"/>
                    <w:bottom w:val="none" w:sz="0" w:space="0" w:color="auto"/>
                    <w:right w:val="none" w:sz="0" w:space="0" w:color="auto"/>
                  </w:divBdr>
                </w:div>
                <w:div w:id="118601937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47871812">
      <w:bodyDiv w:val="1"/>
      <w:marLeft w:val="0"/>
      <w:marRight w:val="0"/>
      <w:marTop w:val="0"/>
      <w:marBottom w:val="0"/>
      <w:divBdr>
        <w:top w:val="none" w:sz="0" w:space="0" w:color="auto"/>
        <w:left w:val="none" w:sz="0" w:space="0" w:color="auto"/>
        <w:bottom w:val="none" w:sz="0" w:space="0" w:color="auto"/>
        <w:right w:val="none" w:sz="0" w:space="0" w:color="auto"/>
      </w:divBdr>
    </w:div>
    <w:div w:id="1060056987">
      <w:bodyDiv w:val="1"/>
      <w:marLeft w:val="0"/>
      <w:marRight w:val="0"/>
      <w:marTop w:val="0"/>
      <w:marBottom w:val="0"/>
      <w:divBdr>
        <w:top w:val="none" w:sz="0" w:space="0" w:color="auto"/>
        <w:left w:val="none" w:sz="0" w:space="0" w:color="auto"/>
        <w:bottom w:val="none" w:sz="0" w:space="0" w:color="auto"/>
        <w:right w:val="none" w:sz="0" w:space="0" w:color="auto"/>
      </w:divBdr>
    </w:div>
    <w:div w:id="1091387800">
      <w:bodyDiv w:val="1"/>
      <w:marLeft w:val="0"/>
      <w:marRight w:val="0"/>
      <w:marTop w:val="0"/>
      <w:marBottom w:val="0"/>
      <w:divBdr>
        <w:top w:val="none" w:sz="0" w:space="0" w:color="auto"/>
        <w:left w:val="none" w:sz="0" w:space="0" w:color="auto"/>
        <w:bottom w:val="none" w:sz="0" w:space="0" w:color="auto"/>
        <w:right w:val="none" w:sz="0" w:space="0" w:color="auto"/>
      </w:divBdr>
      <w:divsChild>
        <w:div w:id="122417770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1897939">
              <w:blockQuote w:val="1"/>
              <w:marLeft w:val="0"/>
              <w:marRight w:val="0"/>
              <w:marTop w:val="120"/>
              <w:marBottom w:val="120"/>
              <w:divBdr>
                <w:top w:val="none" w:sz="0" w:space="0" w:color="auto"/>
                <w:left w:val="none" w:sz="0" w:space="0" w:color="auto"/>
                <w:bottom w:val="none" w:sz="0" w:space="0" w:color="auto"/>
                <w:right w:val="none" w:sz="0" w:space="0" w:color="auto"/>
              </w:divBdr>
            </w:div>
            <w:div w:id="8649068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3016743">
      <w:bodyDiv w:val="1"/>
      <w:marLeft w:val="0"/>
      <w:marRight w:val="0"/>
      <w:marTop w:val="0"/>
      <w:marBottom w:val="0"/>
      <w:divBdr>
        <w:top w:val="none" w:sz="0" w:space="0" w:color="auto"/>
        <w:left w:val="none" w:sz="0" w:space="0" w:color="auto"/>
        <w:bottom w:val="none" w:sz="0" w:space="0" w:color="auto"/>
        <w:right w:val="none" w:sz="0" w:space="0" w:color="auto"/>
      </w:divBdr>
    </w:div>
    <w:div w:id="1113862645">
      <w:bodyDiv w:val="1"/>
      <w:marLeft w:val="0"/>
      <w:marRight w:val="0"/>
      <w:marTop w:val="0"/>
      <w:marBottom w:val="0"/>
      <w:divBdr>
        <w:top w:val="none" w:sz="0" w:space="0" w:color="auto"/>
        <w:left w:val="none" w:sz="0" w:space="0" w:color="auto"/>
        <w:bottom w:val="none" w:sz="0" w:space="0" w:color="auto"/>
        <w:right w:val="none" w:sz="0" w:space="0" w:color="auto"/>
      </w:divBdr>
    </w:div>
    <w:div w:id="1114403220">
      <w:bodyDiv w:val="1"/>
      <w:marLeft w:val="0"/>
      <w:marRight w:val="0"/>
      <w:marTop w:val="0"/>
      <w:marBottom w:val="0"/>
      <w:divBdr>
        <w:top w:val="none" w:sz="0" w:space="0" w:color="auto"/>
        <w:left w:val="none" w:sz="0" w:space="0" w:color="auto"/>
        <w:bottom w:val="none" w:sz="0" w:space="0" w:color="auto"/>
        <w:right w:val="none" w:sz="0" w:space="0" w:color="auto"/>
      </w:divBdr>
    </w:div>
    <w:div w:id="1121848060">
      <w:bodyDiv w:val="1"/>
      <w:marLeft w:val="0"/>
      <w:marRight w:val="0"/>
      <w:marTop w:val="0"/>
      <w:marBottom w:val="0"/>
      <w:divBdr>
        <w:top w:val="none" w:sz="0" w:space="0" w:color="auto"/>
        <w:left w:val="none" w:sz="0" w:space="0" w:color="auto"/>
        <w:bottom w:val="none" w:sz="0" w:space="0" w:color="auto"/>
        <w:right w:val="none" w:sz="0" w:space="0" w:color="auto"/>
      </w:divBdr>
      <w:divsChild>
        <w:div w:id="5498082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48723533">
              <w:blockQuote w:val="1"/>
              <w:marLeft w:val="0"/>
              <w:marRight w:val="0"/>
              <w:marTop w:val="120"/>
              <w:marBottom w:val="120"/>
              <w:divBdr>
                <w:top w:val="none" w:sz="0" w:space="0" w:color="auto"/>
                <w:left w:val="none" w:sz="0" w:space="0" w:color="auto"/>
                <w:bottom w:val="none" w:sz="0" w:space="0" w:color="auto"/>
                <w:right w:val="none" w:sz="0" w:space="0" w:color="auto"/>
              </w:divBdr>
            </w:div>
            <w:div w:id="1107311277">
              <w:blockQuote w:val="1"/>
              <w:marLeft w:val="0"/>
              <w:marRight w:val="0"/>
              <w:marTop w:val="120"/>
              <w:marBottom w:val="120"/>
              <w:divBdr>
                <w:top w:val="none" w:sz="0" w:space="0" w:color="auto"/>
                <w:left w:val="none" w:sz="0" w:space="0" w:color="auto"/>
                <w:bottom w:val="none" w:sz="0" w:space="0" w:color="auto"/>
                <w:right w:val="none" w:sz="0" w:space="0" w:color="auto"/>
              </w:divBdr>
            </w:div>
            <w:div w:id="144973659">
              <w:blockQuote w:val="1"/>
              <w:marLeft w:val="0"/>
              <w:marRight w:val="0"/>
              <w:marTop w:val="120"/>
              <w:marBottom w:val="120"/>
              <w:divBdr>
                <w:top w:val="none" w:sz="0" w:space="0" w:color="auto"/>
                <w:left w:val="none" w:sz="0" w:space="0" w:color="auto"/>
                <w:bottom w:val="none" w:sz="0" w:space="0" w:color="auto"/>
                <w:right w:val="none" w:sz="0" w:space="0" w:color="auto"/>
              </w:divBdr>
            </w:div>
            <w:div w:id="1791239987">
              <w:blockQuote w:val="1"/>
              <w:marLeft w:val="0"/>
              <w:marRight w:val="0"/>
              <w:marTop w:val="120"/>
              <w:marBottom w:val="120"/>
              <w:divBdr>
                <w:top w:val="none" w:sz="0" w:space="0" w:color="auto"/>
                <w:left w:val="none" w:sz="0" w:space="0" w:color="auto"/>
                <w:bottom w:val="none" w:sz="0" w:space="0" w:color="auto"/>
                <w:right w:val="none" w:sz="0" w:space="0" w:color="auto"/>
              </w:divBdr>
            </w:div>
            <w:div w:id="1706906373">
              <w:blockQuote w:val="1"/>
              <w:marLeft w:val="0"/>
              <w:marRight w:val="0"/>
              <w:marTop w:val="120"/>
              <w:marBottom w:val="120"/>
              <w:divBdr>
                <w:top w:val="none" w:sz="0" w:space="0" w:color="auto"/>
                <w:left w:val="none" w:sz="0" w:space="0" w:color="auto"/>
                <w:bottom w:val="none" w:sz="0" w:space="0" w:color="auto"/>
                <w:right w:val="none" w:sz="0" w:space="0" w:color="auto"/>
              </w:divBdr>
            </w:div>
            <w:div w:id="2029216702">
              <w:blockQuote w:val="1"/>
              <w:marLeft w:val="0"/>
              <w:marRight w:val="0"/>
              <w:marTop w:val="120"/>
              <w:marBottom w:val="120"/>
              <w:divBdr>
                <w:top w:val="none" w:sz="0" w:space="0" w:color="auto"/>
                <w:left w:val="none" w:sz="0" w:space="0" w:color="auto"/>
                <w:bottom w:val="none" w:sz="0" w:space="0" w:color="auto"/>
                <w:right w:val="none" w:sz="0" w:space="0" w:color="auto"/>
              </w:divBdr>
            </w:div>
            <w:div w:id="59902903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9591246">
      <w:bodyDiv w:val="1"/>
      <w:marLeft w:val="0"/>
      <w:marRight w:val="0"/>
      <w:marTop w:val="0"/>
      <w:marBottom w:val="0"/>
      <w:divBdr>
        <w:top w:val="none" w:sz="0" w:space="0" w:color="auto"/>
        <w:left w:val="none" w:sz="0" w:space="0" w:color="auto"/>
        <w:bottom w:val="none" w:sz="0" w:space="0" w:color="auto"/>
        <w:right w:val="none" w:sz="0" w:space="0" w:color="auto"/>
      </w:divBdr>
    </w:div>
    <w:div w:id="1153179301">
      <w:bodyDiv w:val="1"/>
      <w:marLeft w:val="0"/>
      <w:marRight w:val="0"/>
      <w:marTop w:val="0"/>
      <w:marBottom w:val="0"/>
      <w:divBdr>
        <w:top w:val="none" w:sz="0" w:space="0" w:color="auto"/>
        <w:left w:val="none" w:sz="0" w:space="0" w:color="auto"/>
        <w:bottom w:val="none" w:sz="0" w:space="0" w:color="auto"/>
        <w:right w:val="none" w:sz="0" w:space="0" w:color="auto"/>
      </w:divBdr>
    </w:div>
    <w:div w:id="1187252954">
      <w:bodyDiv w:val="1"/>
      <w:marLeft w:val="0"/>
      <w:marRight w:val="0"/>
      <w:marTop w:val="0"/>
      <w:marBottom w:val="0"/>
      <w:divBdr>
        <w:top w:val="none" w:sz="0" w:space="0" w:color="auto"/>
        <w:left w:val="none" w:sz="0" w:space="0" w:color="auto"/>
        <w:bottom w:val="none" w:sz="0" w:space="0" w:color="auto"/>
        <w:right w:val="none" w:sz="0" w:space="0" w:color="auto"/>
      </w:divBdr>
    </w:div>
    <w:div w:id="1192034520">
      <w:bodyDiv w:val="1"/>
      <w:marLeft w:val="0"/>
      <w:marRight w:val="0"/>
      <w:marTop w:val="0"/>
      <w:marBottom w:val="0"/>
      <w:divBdr>
        <w:top w:val="none" w:sz="0" w:space="0" w:color="auto"/>
        <w:left w:val="none" w:sz="0" w:space="0" w:color="auto"/>
        <w:bottom w:val="none" w:sz="0" w:space="0" w:color="auto"/>
        <w:right w:val="none" w:sz="0" w:space="0" w:color="auto"/>
      </w:divBdr>
    </w:div>
    <w:div w:id="1200585711">
      <w:bodyDiv w:val="1"/>
      <w:marLeft w:val="0"/>
      <w:marRight w:val="0"/>
      <w:marTop w:val="0"/>
      <w:marBottom w:val="0"/>
      <w:divBdr>
        <w:top w:val="none" w:sz="0" w:space="0" w:color="auto"/>
        <w:left w:val="none" w:sz="0" w:space="0" w:color="auto"/>
        <w:bottom w:val="none" w:sz="0" w:space="0" w:color="auto"/>
        <w:right w:val="none" w:sz="0" w:space="0" w:color="auto"/>
      </w:divBdr>
    </w:div>
    <w:div w:id="1207062257">
      <w:bodyDiv w:val="1"/>
      <w:marLeft w:val="0"/>
      <w:marRight w:val="0"/>
      <w:marTop w:val="0"/>
      <w:marBottom w:val="0"/>
      <w:divBdr>
        <w:top w:val="none" w:sz="0" w:space="0" w:color="auto"/>
        <w:left w:val="none" w:sz="0" w:space="0" w:color="auto"/>
        <w:bottom w:val="none" w:sz="0" w:space="0" w:color="auto"/>
        <w:right w:val="none" w:sz="0" w:space="0" w:color="auto"/>
      </w:divBdr>
    </w:div>
    <w:div w:id="1208371243">
      <w:bodyDiv w:val="1"/>
      <w:marLeft w:val="0"/>
      <w:marRight w:val="0"/>
      <w:marTop w:val="0"/>
      <w:marBottom w:val="0"/>
      <w:divBdr>
        <w:top w:val="none" w:sz="0" w:space="0" w:color="auto"/>
        <w:left w:val="none" w:sz="0" w:space="0" w:color="auto"/>
        <w:bottom w:val="none" w:sz="0" w:space="0" w:color="auto"/>
        <w:right w:val="none" w:sz="0" w:space="0" w:color="auto"/>
      </w:divBdr>
    </w:div>
    <w:div w:id="1214730574">
      <w:bodyDiv w:val="1"/>
      <w:marLeft w:val="0"/>
      <w:marRight w:val="0"/>
      <w:marTop w:val="0"/>
      <w:marBottom w:val="0"/>
      <w:divBdr>
        <w:top w:val="none" w:sz="0" w:space="0" w:color="auto"/>
        <w:left w:val="none" w:sz="0" w:space="0" w:color="auto"/>
        <w:bottom w:val="none" w:sz="0" w:space="0" w:color="auto"/>
        <w:right w:val="none" w:sz="0" w:space="0" w:color="auto"/>
      </w:divBdr>
      <w:divsChild>
        <w:div w:id="19435622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9300745">
              <w:blockQuote w:val="1"/>
              <w:marLeft w:val="0"/>
              <w:marRight w:val="0"/>
              <w:marTop w:val="120"/>
              <w:marBottom w:val="120"/>
              <w:divBdr>
                <w:top w:val="none" w:sz="0" w:space="0" w:color="auto"/>
                <w:left w:val="none" w:sz="0" w:space="0" w:color="auto"/>
                <w:bottom w:val="none" w:sz="0" w:space="0" w:color="auto"/>
                <w:right w:val="none" w:sz="0" w:space="0" w:color="auto"/>
              </w:divBdr>
            </w:div>
            <w:div w:id="16111642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21789624">
      <w:bodyDiv w:val="1"/>
      <w:marLeft w:val="0"/>
      <w:marRight w:val="0"/>
      <w:marTop w:val="0"/>
      <w:marBottom w:val="0"/>
      <w:divBdr>
        <w:top w:val="none" w:sz="0" w:space="0" w:color="auto"/>
        <w:left w:val="none" w:sz="0" w:space="0" w:color="auto"/>
        <w:bottom w:val="none" w:sz="0" w:space="0" w:color="auto"/>
        <w:right w:val="none" w:sz="0" w:space="0" w:color="auto"/>
      </w:divBdr>
    </w:div>
    <w:div w:id="1251232084">
      <w:bodyDiv w:val="1"/>
      <w:marLeft w:val="0"/>
      <w:marRight w:val="0"/>
      <w:marTop w:val="0"/>
      <w:marBottom w:val="0"/>
      <w:divBdr>
        <w:top w:val="none" w:sz="0" w:space="0" w:color="auto"/>
        <w:left w:val="none" w:sz="0" w:space="0" w:color="auto"/>
        <w:bottom w:val="none" w:sz="0" w:space="0" w:color="auto"/>
        <w:right w:val="none" w:sz="0" w:space="0" w:color="auto"/>
      </w:divBdr>
      <w:divsChild>
        <w:div w:id="12591433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3434698">
              <w:blockQuote w:val="1"/>
              <w:marLeft w:val="0"/>
              <w:marRight w:val="0"/>
              <w:marTop w:val="120"/>
              <w:marBottom w:val="120"/>
              <w:divBdr>
                <w:top w:val="none" w:sz="0" w:space="0" w:color="auto"/>
                <w:left w:val="none" w:sz="0" w:space="0" w:color="auto"/>
                <w:bottom w:val="none" w:sz="0" w:space="0" w:color="auto"/>
                <w:right w:val="none" w:sz="0" w:space="0" w:color="auto"/>
              </w:divBdr>
              <w:divsChild>
                <w:div w:id="73119241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19497817">
                      <w:blockQuote w:val="1"/>
                      <w:marLeft w:val="0"/>
                      <w:marRight w:val="0"/>
                      <w:marTop w:val="120"/>
                      <w:marBottom w:val="120"/>
                      <w:divBdr>
                        <w:top w:val="none" w:sz="0" w:space="0" w:color="auto"/>
                        <w:left w:val="none" w:sz="0" w:space="0" w:color="auto"/>
                        <w:bottom w:val="none" w:sz="0" w:space="0" w:color="auto"/>
                        <w:right w:val="none" w:sz="0" w:space="0" w:color="auto"/>
                      </w:divBdr>
                    </w:div>
                    <w:div w:id="1324702119">
                      <w:blockQuote w:val="1"/>
                      <w:marLeft w:val="0"/>
                      <w:marRight w:val="0"/>
                      <w:marTop w:val="120"/>
                      <w:marBottom w:val="120"/>
                      <w:divBdr>
                        <w:top w:val="none" w:sz="0" w:space="0" w:color="auto"/>
                        <w:left w:val="none" w:sz="0" w:space="0" w:color="auto"/>
                        <w:bottom w:val="none" w:sz="0" w:space="0" w:color="auto"/>
                        <w:right w:val="none" w:sz="0" w:space="0" w:color="auto"/>
                      </w:divBdr>
                    </w:div>
                    <w:div w:id="204277713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9145273">
              <w:blockQuote w:val="1"/>
              <w:marLeft w:val="0"/>
              <w:marRight w:val="0"/>
              <w:marTop w:val="120"/>
              <w:marBottom w:val="120"/>
              <w:divBdr>
                <w:top w:val="none" w:sz="0" w:space="0" w:color="auto"/>
                <w:left w:val="none" w:sz="0" w:space="0" w:color="auto"/>
                <w:bottom w:val="none" w:sz="0" w:space="0" w:color="auto"/>
                <w:right w:val="none" w:sz="0" w:space="0" w:color="auto"/>
              </w:divBdr>
            </w:div>
            <w:div w:id="1293825648">
              <w:blockQuote w:val="1"/>
              <w:marLeft w:val="0"/>
              <w:marRight w:val="0"/>
              <w:marTop w:val="120"/>
              <w:marBottom w:val="120"/>
              <w:divBdr>
                <w:top w:val="none" w:sz="0" w:space="0" w:color="auto"/>
                <w:left w:val="none" w:sz="0" w:space="0" w:color="auto"/>
                <w:bottom w:val="none" w:sz="0" w:space="0" w:color="auto"/>
                <w:right w:val="none" w:sz="0" w:space="0" w:color="auto"/>
              </w:divBdr>
            </w:div>
            <w:div w:id="631399403">
              <w:blockQuote w:val="1"/>
              <w:marLeft w:val="0"/>
              <w:marRight w:val="0"/>
              <w:marTop w:val="120"/>
              <w:marBottom w:val="120"/>
              <w:divBdr>
                <w:top w:val="none" w:sz="0" w:space="0" w:color="auto"/>
                <w:left w:val="none" w:sz="0" w:space="0" w:color="auto"/>
                <w:bottom w:val="none" w:sz="0" w:space="0" w:color="auto"/>
                <w:right w:val="none" w:sz="0" w:space="0" w:color="auto"/>
              </w:divBdr>
              <w:divsChild>
                <w:div w:id="5158541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08232486">
                      <w:blockQuote w:val="1"/>
                      <w:marLeft w:val="0"/>
                      <w:marRight w:val="0"/>
                      <w:marTop w:val="120"/>
                      <w:marBottom w:val="120"/>
                      <w:divBdr>
                        <w:top w:val="none" w:sz="0" w:space="0" w:color="auto"/>
                        <w:left w:val="none" w:sz="0" w:space="0" w:color="auto"/>
                        <w:bottom w:val="none" w:sz="0" w:space="0" w:color="auto"/>
                        <w:right w:val="none" w:sz="0" w:space="0" w:color="auto"/>
                      </w:divBdr>
                    </w:div>
                    <w:div w:id="583314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65769879">
      <w:bodyDiv w:val="1"/>
      <w:marLeft w:val="0"/>
      <w:marRight w:val="0"/>
      <w:marTop w:val="0"/>
      <w:marBottom w:val="0"/>
      <w:divBdr>
        <w:top w:val="none" w:sz="0" w:space="0" w:color="auto"/>
        <w:left w:val="none" w:sz="0" w:space="0" w:color="auto"/>
        <w:bottom w:val="none" w:sz="0" w:space="0" w:color="auto"/>
        <w:right w:val="none" w:sz="0" w:space="0" w:color="auto"/>
      </w:divBdr>
      <w:divsChild>
        <w:div w:id="118107393">
          <w:marLeft w:val="0"/>
          <w:marRight w:val="0"/>
          <w:marTop w:val="0"/>
          <w:marBottom w:val="0"/>
          <w:divBdr>
            <w:top w:val="none" w:sz="0" w:space="0" w:color="auto"/>
            <w:left w:val="none" w:sz="0" w:space="0" w:color="auto"/>
            <w:bottom w:val="none" w:sz="0" w:space="0" w:color="auto"/>
            <w:right w:val="none" w:sz="0" w:space="0" w:color="auto"/>
          </w:divBdr>
        </w:div>
        <w:div w:id="187447325">
          <w:marLeft w:val="0"/>
          <w:marRight w:val="0"/>
          <w:marTop w:val="0"/>
          <w:marBottom w:val="0"/>
          <w:divBdr>
            <w:top w:val="none" w:sz="0" w:space="0" w:color="auto"/>
            <w:left w:val="none" w:sz="0" w:space="0" w:color="auto"/>
            <w:bottom w:val="none" w:sz="0" w:space="0" w:color="auto"/>
            <w:right w:val="none" w:sz="0" w:space="0" w:color="auto"/>
          </w:divBdr>
        </w:div>
        <w:div w:id="1057776504">
          <w:marLeft w:val="0"/>
          <w:marRight w:val="0"/>
          <w:marTop w:val="0"/>
          <w:marBottom w:val="0"/>
          <w:divBdr>
            <w:top w:val="none" w:sz="0" w:space="0" w:color="auto"/>
            <w:left w:val="none" w:sz="0" w:space="0" w:color="auto"/>
            <w:bottom w:val="none" w:sz="0" w:space="0" w:color="auto"/>
            <w:right w:val="none" w:sz="0" w:space="0" w:color="auto"/>
          </w:divBdr>
        </w:div>
        <w:div w:id="344987271">
          <w:marLeft w:val="0"/>
          <w:marRight w:val="0"/>
          <w:marTop w:val="0"/>
          <w:marBottom w:val="0"/>
          <w:divBdr>
            <w:top w:val="none" w:sz="0" w:space="0" w:color="auto"/>
            <w:left w:val="none" w:sz="0" w:space="0" w:color="auto"/>
            <w:bottom w:val="none" w:sz="0" w:space="0" w:color="auto"/>
            <w:right w:val="none" w:sz="0" w:space="0" w:color="auto"/>
          </w:divBdr>
        </w:div>
        <w:div w:id="955912723">
          <w:marLeft w:val="0"/>
          <w:marRight w:val="0"/>
          <w:marTop w:val="0"/>
          <w:marBottom w:val="0"/>
          <w:divBdr>
            <w:top w:val="none" w:sz="0" w:space="0" w:color="auto"/>
            <w:left w:val="none" w:sz="0" w:space="0" w:color="auto"/>
            <w:bottom w:val="none" w:sz="0" w:space="0" w:color="auto"/>
            <w:right w:val="none" w:sz="0" w:space="0" w:color="auto"/>
          </w:divBdr>
        </w:div>
        <w:div w:id="1735735057">
          <w:marLeft w:val="0"/>
          <w:marRight w:val="0"/>
          <w:marTop w:val="0"/>
          <w:marBottom w:val="0"/>
          <w:divBdr>
            <w:top w:val="none" w:sz="0" w:space="0" w:color="auto"/>
            <w:left w:val="none" w:sz="0" w:space="0" w:color="auto"/>
            <w:bottom w:val="none" w:sz="0" w:space="0" w:color="auto"/>
            <w:right w:val="none" w:sz="0" w:space="0" w:color="auto"/>
          </w:divBdr>
        </w:div>
        <w:div w:id="765465026">
          <w:marLeft w:val="0"/>
          <w:marRight w:val="0"/>
          <w:marTop w:val="0"/>
          <w:marBottom w:val="0"/>
          <w:divBdr>
            <w:top w:val="none" w:sz="0" w:space="0" w:color="auto"/>
            <w:left w:val="none" w:sz="0" w:space="0" w:color="auto"/>
            <w:bottom w:val="none" w:sz="0" w:space="0" w:color="auto"/>
            <w:right w:val="none" w:sz="0" w:space="0" w:color="auto"/>
          </w:divBdr>
        </w:div>
        <w:div w:id="1395003341">
          <w:marLeft w:val="0"/>
          <w:marRight w:val="0"/>
          <w:marTop w:val="0"/>
          <w:marBottom w:val="0"/>
          <w:divBdr>
            <w:top w:val="none" w:sz="0" w:space="0" w:color="auto"/>
            <w:left w:val="none" w:sz="0" w:space="0" w:color="auto"/>
            <w:bottom w:val="none" w:sz="0" w:space="0" w:color="auto"/>
            <w:right w:val="none" w:sz="0" w:space="0" w:color="auto"/>
          </w:divBdr>
        </w:div>
        <w:div w:id="1029182922">
          <w:marLeft w:val="0"/>
          <w:marRight w:val="0"/>
          <w:marTop w:val="0"/>
          <w:marBottom w:val="0"/>
          <w:divBdr>
            <w:top w:val="none" w:sz="0" w:space="0" w:color="auto"/>
            <w:left w:val="none" w:sz="0" w:space="0" w:color="auto"/>
            <w:bottom w:val="none" w:sz="0" w:space="0" w:color="auto"/>
            <w:right w:val="none" w:sz="0" w:space="0" w:color="auto"/>
          </w:divBdr>
        </w:div>
        <w:div w:id="2128044308">
          <w:marLeft w:val="0"/>
          <w:marRight w:val="0"/>
          <w:marTop w:val="0"/>
          <w:marBottom w:val="0"/>
          <w:divBdr>
            <w:top w:val="none" w:sz="0" w:space="0" w:color="auto"/>
            <w:left w:val="none" w:sz="0" w:space="0" w:color="auto"/>
            <w:bottom w:val="none" w:sz="0" w:space="0" w:color="auto"/>
            <w:right w:val="none" w:sz="0" w:space="0" w:color="auto"/>
          </w:divBdr>
        </w:div>
        <w:div w:id="1424953171">
          <w:marLeft w:val="0"/>
          <w:marRight w:val="0"/>
          <w:marTop w:val="0"/>
          <w:marBottom w:val="0"/>
          <w:divBdr>
            <w:top w:val="none" w:sz="0" w:space="0" w:color="auto"/>
            <w:left w:val="none" w:sz="0" w:space="0" w:color="auto"/>
            <w:bottom w:val="none" w:sz="0" w:space="0" w:color="auto"/>
            <w:right w:val="none" w:sz="0" w:space="0" w:color="auto"/>
          </w:divBdr>
        </w:div>
        <w:div w:id="5325927">
          <w:marLeft w:val="0"/>
          <w:marRight w:val="0"/>
          <w:marTop w:val="0"/>
          <w:marBottom w:val="0"/>
          <w:divBdr>
            <w:top w:val="none" w:sz="0" w:space="0" w:color="auto"/>
            <w:left w:val="none" w:sz="0" w:space="0" w:color="auto"/>
            <w:bottom w:val="none" w:sz="0" w:space="0" w:color="auto"/>
            <w:right w:val="none" w:sz="0" w:space="0" w:color="auto"/>
          </w:divBdr>
        </w:div>
        <w:div w:id="1262181085">
          <w:marLeft w:val="0"/>
          <w:marRight w:val="0"/>
          <w:marTop w:val="0"/>
          <w:marBottom w:val="0"/>
          <w:divBdr>
            <w:top w:val="none" w:sz="0" w:space="0" w:color="auto"/>
            <w:left w:val="none" w:sz="0" w:space="0" w:color="auto"/>
            <w:bottom w:val="none" w:sz="0" w:space="0" w:color="auto"/>
            <w:right w:val="none" w:sz="0" w:space="0" w:color="auto"/>
          </w:divBdr>
        </w:div>
        <w:div w:id="2110079195">
          <w:marLeft w:val="0"/>
          <w:marRight w:val="0"/>
          <w:marTop w:val="0"/>
          <w:marBottom w:val="0"/>
          <w:divBdr>
            <w:top w:val="none" w:sz="0" w:space="0" w:color="auto"/>
            <w:left w:val="none" w:sz="0" w:space="0" w:color="auto"/>
            <w:bottom w:val="none" w:sz="0" w:space="0" w:color="auto"/>
            <w:right w:val="none" w:sz="0" w:space="0" w:color="auto"/>
          </w:divBdr>
        </w:div>
        <w:div w:id="1009521089">
          <w:marLeft w:val="0"/>
          <w:marRight w:val="0"/>
          <w:marTop w:val="0"/>
          <w:marBottom w:val="0"/>
          <w:divBdr>
            <w:top w:val="none" w:sz="0" w:space="0" w:color="auto"/>
            <w:left w:val="none" w:sz="0" w:space="0" w:color="auto"/>
            <w:bottom w:val="none" w:sz="0" w:space="0" w:color="auto"/>
            <w:right w:val="none" w:sz="0" w:space="0" w:color="auto"/>
          </w:divBdr>
        </w:div>
        <w:div w:id="492524136">
          <w:marLeft w:val="0"/>
          <w:marRight w:val="0"/>
          <w:marTop w:val="0"/>
          <w:marBottom w:val="0"/>
          <w:divBdr>
            <w:top w:val="none" w:sz="0" w:space="0" w:color="auto"/>
            <w:left w:val="none" w:sz="0" w:space="0" w:color="auto"/>
            <w:bottom w:val="none" w:sz="0" w:space="0" w:color="auto"/>
            <w:right w:val="none" w:sz="0" w:space="0" w:color="auto"/>
          </w:divBdr>
        </w:div>
        <w:div w:id="2022929513">
          <w:marLeft w:val="0"/>
          <w:marRight w:val="0"/>
          <w:marTop w:val="0"/>
          <w:marBottom w:val="0"/>
          <w:divBdr>
            <w:top w:val="none" w:sz="0" w:space="0" w:color="auto"/>
            <w:left w:val="none" w:sz="0" w:space="0" w:color="auto"/>
            <w:bottom w:val="none" w:sz="0" w:space="0" w:color="auto"/>
            <w:right w:val="none" w:sz="0" w:space="0" w:color="auto"/>
          </w:divBdr>
        </w:div>
        <w:div w:id="3410242">
          <w:marLeft w:val="0"/>
          <w:marRight w:val="0"/>
          <w:marTop w:val="0"/>
          <w:marBottom w:val="0"/>
          <w:divBdr>
            <w:top w:val="none" w:sz="0" w:space="0" w:color="auto"/>
            <w:left w:val="none" w:sz="0" w:space="0" w:color="auto"/>
            <w:bottom w:val="none" w:sz="0" w:space="0" w:color="auto"/>
            <w:right w:val="none" w:sz="0" w:space="0" w:color="auto"/>
          </w:divBdr>
        </w:div>
        <w:div w:id="689719616">
          <w:marLeft w:val="0"/>
          <w:marRight w:val="0"/>
          <w:marTop w:val="0"/>
          <w:marBottom w:val="0"/>
          <w:divBdr>
            <w:top w:val="none" w:sz="0" w:space="0" w:color="auto"/>
            <w:left w:val="none" w:sz="0" w:space="0" w:color="auto"/>
            <w:bottom w:val="none" w:sz="0" w:space="0" w:color="auto"/>
            <w:right w:val="none" w:sz="0" w:space="0" w:color="auto"/>
          </w:divBdr>
        </w:div>
        <w:div w:id="665086846">
          <w:marLeft w:val="0"/>
          <w:marRight w:val="0"/>
          <w:marTop w:val="0"/>
          <w:marBottom w:val="0"/>
          <w:divBdr>
            <w:top w:val="none" w:sz="0" w:space="0" w:color="auto"/>
            <w:left w:val="none" w:sz="0" w:space="0" w:color="auto"/>
            <w:bottom w:val="none" w:sz="0" w:space="0" w:color="auto"/>
            <w:right w:val="none" w:sz="0" w:space="0" w:color="auto"/>
          </w:divBdr>
        </w:div>
        <w:div w:id="1628733089">
          <w:marLeft w:val="0"/>
          <w:marRight w:val="0"/>
          <w:marTop w:val="0"/>
          <w:marBottom w:val="0"/>
          <w:divBdr>
            <w:top w:val="none" w:sz="0" w:space="0" w:color="auto"/>
            <w:left w:val="none" w:sz="0" w:space="0" w:color="auto"/>
            <w:bottom w:val="none" w:sz="0" w:space="0" w:color="auto"/>
            <w:right w:val="none" w:sz="0" w:space="0" w:color="auto"/>
          </w:divBdr>
        </w:div>
        <w:div w:id="109975831">
          <w:marLeft w:val="0"/>
          <w:marRight w:val="0"/>
          <w:marTop w:val="0"/>
          <w:marBottom w:val="0"/>
          <w:divBdr>
            <w:top w:val="none" w:sz="0" w:space="0" w:color="auto"/>
            <w:left w:val="none" w:sz="0" w:space="0" w:color="auto"/>
            <w:bottom w:val="none" w:sz="0" w:space="0" w:color="auto"/>
            <w:right w:val="none" w:sz="0" w:space="0" w:color="auto"/>
          </w:divBdr>
        </w:div>
        <w:div w:id="531919244">
          <w:marLeft w:val="0"/>
          <w:marRight w:val="0"/>
          <w:marTop w:val="0"/>
          <w:marBottom w:val="0"/>
          <w:divBdr>
            <w:top w:val="none" w:sz="0" w:space="0" w:color="auto"/>
            <w:left w:val="none" w:sz="0" w:space="0" w:color="auto"/>
            <w:bottom w:val="none" w:sz="0" w:space="0" w:color="auto"/>
            <w:right w:val="none" w:sz="0" w:space="0" w:color="auto"/>
          </w:divBdr>
        </w:div>
        <w:div w:id="876622669">
          <w:marLeft w:val="0"/>
          <w:marRight w:val="0"/>
          <w:marTop w:val="0"/>
          <w:marBottom w:val="0"/>
          <w:divBdr>
            <w:top w:val="none" w:sz="0" w:space="0" w:color="auto"/>
            <w:left w:val="none" w:sz="0" w:space="0" w:color="auto"/>
            <w:bottom w:val="none" w:sz="0" w:space="0" w:color="auto"/>
            <w:right w:val="none" w:sz="0" w:space="0" w:color="auto"/>
          </w:divBdr>
        </w:div>
        <w:div w:id="732116057">
          <w:marLeft w:val="0"/>
          <w:marRight w:val="0"/>
          <w:marTop w:val="0"/>
          <w:marBottom w:val="0"/>
          <w:divBdr>
            <w:top w:val="none" w:sz="0" w:space="0" w:color="auto"/>
            <w:left w:val="none" w:sz="0" w:space="0" w:color="auto"/>
            <w:bottom w:val="none" w:sz="0" w:space="0" w:color="auto"/>
            <w:right w:val="none" w:sz="0" w:space="0" w:color="auto"/>
          </w:divBdr>
        </w:div>
        <w:div w:id="1447120607">
          <w:marLeft w:val="0"/>
          <w:marRight w:val="0"/>
          <w:marTop w:val="0"/>
          <w:marBottom w:val="0"/>
          <w:divBdr>
            <w:top w:val="none" w:sz="0" w:space="0" w:color="auto"/>
            <w:left w:val="none" w:sz="0" w:space="0" w:color="auto"/>
            <w:bottom w:val="none" w:sz="0" w:space="0" w:color="auto"/>
            <w:right w:val="none" w:sz="0" w:space="0" w:color="auto"/>
          </w:divBdr>
        </w:div>
        <w:div w:id="1584487569">
          <w:marLeft w:val="0"/>
          <w:marRight w:val="0"/>
          <w:marTop w:val="0"/>
          <w:marBottom w:val="0"/>
          <w:divBdr>
            <w:top w:val="none" w:sz="0" w:space="0" w:color="auto"/>
            <w:left w:val="none" w:sz="0" w:space="0" w:color="auto"/>
            <w:bottom w:val="none" w:sz="0" w:space="0" w:color="auto"/>
            <w:right w:val="none" w:sz="0" w:space="0" w:color="auto"/>
          </w:divBdr>
        </w:div>
        <w:div w:id="1171024699">
          <w:marLeft w:val="0"/>
          <w:marRight w:val="0"/>
          <w:marTop w:val="0"/>
          <w:marBottom w:val="0"/>
          <w:divBdr>
            <w:top w:val="none" w:sz="0" w:space="0" w:color="auto"/>
            <w:left w:val="none" w:sz="0" w:space="0" w:color="auto"/>
            <w:bottom w:val="none" w:sz="0" w:space="0" w:color="auto"/>
            <w:right w:val="none" w:sz="0" w:space="0" w:color="auto"/>
          </w:divBdr>
        </w:div>
        <w:div w:id="1671375215">
          <w:marLeft w:val="0"/>
          <w:marRight w:val="0"/>
          <w:marTop w:val="0"/>
          <w:marBottom w:val="0"/>
          <w:divBdr>
            <w:top w:val="none" w:sz="0" w:space="0" w:color="auto"/>
            <w:left w:val="none" w:sz="0" w:space="0" w:color="auto"/>
            <w:bottom w:val="none" w:sz="0" w:space="0" w:color="auto"/>
            <w:right w:val="none" w:sz="0" w:space="0" w:color="auto"/>
          </w:divBdr>
        </w:div>
        <w:div w:id="512232427">
          <w:marLeft w:val="0"/>
          <w:marRight w:val="0"/>
          <w:marTop w:val="0"/>
          <w:marBottom w:val="0"/>
          <w:divBdr>
            <w:top w:val="none" w:sz="0" w:space="0" w:color="auto"/>
            <w:left w:val="none" w:sz="0" w:space="0" w:color="auto"/>
            <w:bottom w:val="none" w:sz="0" w:space="0" w:color="auto"/>
            <w:right w:val="none" w:sz="0" w:space="0" w:color="auto"/>
          </w:divBdr>
        </w:div>
        <w:div w:id="1206332743">
          <w:marLeft w:val="0"/>
          <w:marRight w:val="0"/>
          <w:marTop w:val="0"/>
          <w:marBottom w:val="0"/>
          <w:divBdr>
            <w:top w:val="none" w:sz="0" w:space="0" w:color="auto"/>
            <w:left w:val="none" w:sz="0" w:space="0" w:color="auto"/>
            <w:bottom w:val="none" w:sz="0" w:space="0" w:color="auto"/>
            <w:right w:val="none" w:sz="0" w:space="0" w:color="auto"/>
          </w:divBdr>
        </w:div>
        <w:div w:id="1013892">
          <w:marLeft w:val="0"/>
          <w:marRight w:val="0"/>
          <w:marTop w:val="0"/>
          <w:marBottom w:val="0"/>
          <w:divBdr>
            <w:top w:val="none" w:sz="0" w:space="0" w:color="auto"/>
            <w:left w:val="none" w:sz="0" w:space="0" w:color="auto"/>
            <w:bottom w:val="none" w:sz="0" w:space="0" w:color="auto"/>
            <w:right w:val="none" w:sz="0" w:space="0" w:color="auto"/>
          </w:divBdr>
        </w:div>
        <w:div w:id="2046173607">
          <w:marLeft w:val="0"/>
          <w:marRight w:val="0"/>
          <w:marTop w:val="0"/>
          <w:marBottom w:val="0"/>
          <w:divBdr>
            <w:top w:val="none" w:sz="0" w:space="0" w:color="auto"/>
            <w:left w:val="none" w:sz="0" w:space="0" w:color="auto"/>
            <w:bottom w:val="none" w:sz="0" w:space="0" w:color="auto"/>
            <w:right w:val="none" w:sz="0" w:space="0" w:color="auto"/>
          </w:divBdr>
        </w:div>
        <w:div w:id="536236143">
          <w:marLeft w:val="0"/>
          <w:marRight w:val="0"/>
          <w:marTop w:val="0"/>
          <w:marBottom w:val="0"/>
          <w:divBdr>
            <w:top w:val="none" w:sz="0" w:space="0" w:color="auto"/>
            <w:left w:val="none" w:sz="0" w:space="0" w:color="auto"/>
            <w:bottom w:val="none" w:sz="0" w:space="0" w:color="auto"/>
            <w:right w:val="none" w:sz="0" w:space="0" w:color="auto"/>
          </w:divBdr>
        </w:div>
        <w:div w:id="1491677701">
          <w:marLeft w:val="0"/>
          <w:marRight w:val="0"/>
          <w:marTop w:val="0"/>
          <w:marBottom w:val="0"/>
          <w:divBdr>
            <w:top w:val="none" w:sz="0" w:space="0" w:color="auto"/>
            <w:left w:val="none" w:sz="0" w:space="0" w:color="auto"/>
            <w:bottom w:val="none" w:sz="0" w:space="0" w:color="auto"/>
            <w:right w:val="none" w:sz="0" w:space="0" w:color="auto"/>
          </w:divBdr>
        </w:div>
        <w:div w:id="2000380661">
          <w:marLeft w:val="0"/>
          <w:marRight w:val="0"/>
          <w:marTop w:val="0"/>
          <w:marBottom w:val="0"/>
          <w:divBdr>
            <w:top w:val="none" w:sz="0" w:space="0" w:color="auto"/>
            <w:left w:val="none" w:sz="0" w:space="0" w:color="auto"/>
            <w:bottom w:val="none" w:sz="0" w:space="0" w:color="auto"/>
            <w:right w:val="none" w:sz="0" w:space="0" w:color="auto"/>
          </w:divBdr>
        </w:div>
        <w:div w:id="87972664">
          <w:marLeft w:val="0"/>
          <w:marRight w:val="0"/>
          <w:marTop w:val="0"/>
          <w:marBottom w:val="0"/>
          <w:divBdr>
            <w:top w:val="none" w:sz="0" w:space="0" w:color="auto"/>
            <w:left w:val="none" w:sz="0" w:space="0" w:color="auto"/>
            <w:bottom w:val="none" w:sz="0" w:space="0" w:color="auto"/>
            <w:right w:val="none" w:sz="0" w:space="0" w:color="auto"/>
          </w:divBdr>
        </w:div>
        <w:div w:id="400060752">
          <w:marLeft w:val="0"/>
          <w:marRight w:val="0"/>
          <w:marTop w:val="0"/>
          <w:marBottom w:val="0"/>
          <w:divBdr>
            <w:top w:val="none" w:sz="0" w:space="0" w:color="auto"/>
            <w:left w:val="none" w:sz="0" w:space="0" w:color="auto"/>
            <w:bottom w:val="none" w:sz="0" w:space="0" w:color="auto"/>
            <w:right w:val="none" w:sz="0" w:space="0" w:color="auto"/>
          </w:divBdr>
        </w:div>
        <w:div w:id="870260920">
          <w:marLeft w:val="0"/>
          <w:marRight w:val="0"/>
          <w:marTop w:val="0"/>
          <w:marBottom w:val="0"/>
          <w:divBdr>
            <w:top w:val="none" w:sz="0" w:space="0" w:color="auto"/>
            <w:left w:val="none" w:sz="0" w:space="0" w:color="auto"/>
            <w:bottom w:val="none" w:sz="0" w:space="0" w:color="auto"/>
            <w:right w:val="none" w:sz="0" w:space="0" w:color="auto"/>
          </w:divBdr>
        </w:div>
        <w:div w:id="1254360153">
          <w:marLeft w:val="0"/>
          <w:marRight w:val="0"/>
          <w:marTop w:val="0"/>
          <w:marBottom w:val="0"/>
          <w:divBdr>
            <w:top w:val="none" w:sz="0" w:space="0" w:color="auto"/>
            <w:left w:val="none" w:sz="0" w:space="0" w:color="auto"/>
            <w:bottom w:val="none" w:sz="0" w:space="0" w:color="auto"/>
            <w:right w:val="none" w:sz="0" w:space="0" w:color="auto"/>
          </w:divBdr>
        </w:div>
        <w:div w:id="1350987059">
          <w:marLeft w:val="0"/>
          <w:marRight w:val="0"/>
          <w:marTop w:val="0"/>
          <w:marBottom w:val="0"/>
          <w:divBdr>
            <w:top w:val="none" w:sz="0" w:space="0" w:color="auto"/>
            <w:left w:val="none" w:sz="0" w:space="0" w:color="auto"/>
            <w:bottom w:val="none" w:sz="0" w:space="0" w:color="auto"/>
            <w:right w:val="none" w:sz="0" w:space="0" w:color="auto"/>
          </w:divBdr>
        </w:div>
        <w:div w:id="1651522173">
          <w:marLeft w:val="0"/>
          <w:marRight w:val="0"/>
          <w:marTop w:val="0"/>
          <w:marBottom w:val="0"/>
          <w:divBdr>
            <w:top w:val="none" w:sz="0" w:space="0" w:color="auto"/>
            <w:left w:val="none" w:sz="0" w:space="0" w:color="auto"/>
            <w:bottom w:val="none" w:sz="0" w:space="0" w:color="auto"/>
            <w:right w:val="none" w:sz="0" w:space="0" w:color="auto"/>
          </w:divBdr>
        </w:div>
        <w:div w:id="1812403311">
          <w:marLeft w:val="0"/>
          <w:marRight w:val="0"/>
          <w:marTop w:val="0"/>
          <w:marBottom w:val="0"/>
          <w:divBdr>
            <w:top w:val="none" w:sz="0" w:space="0" w:color="auto"/>
            <w:left w:val="none" w:sz="0" w:space="0" w:color="auto"/>
            <w:bottom w:val="none" w:sz="0" w:space="0" w:color="auto"/>
            <w:right w:val="none" w:sz="0" w:space="0" w:color="auto"/>
          </w:divBdr>
        </w:div>
        <w:div w:id="1981838494">
          <w:marLeft w:val="0"/>
          <w:marRight w:val="0"/>
          <w:marTop w:val="0"/>
          <w:marBottom w:val="0"/>
          <w:divBdr>
            <w:top w:val="none" w:sz="0" w:space="0" w:color="auto"/>
            <w:left w:val="none" w:sz="0" w:space="0" w:color="auto"/>
            <w:bottom w:val="none" w:sz="0" w:space="0" w:color="auto"/>
            <w:right w:val="none" w:sz="0" w:space="0" w:color="auto"/>
          </w:divBdr>
        </w:div>
        <w:div w:id="1866021589">
          <w:marLeft w:val="0"/>
          <w:marRight w:val="0"/>
          <w:marTop w:val="0"/>
          <w:marBottom w:val="0"/>
          <w:divBdr>
            <w:top w:val="none" w:sz="0" w:space="0" w:color="auto"/>
            <w:left w:val="none" w:sz="0" w:space="0" w:color="auto"/>
            <w:bottom w:val="none" w:sz="0" w:space="0" w:color="auto"/>
            <w:right w:val="none" w:sz="0" w:space="0" w:color="auto"/>
          </w:divBdr>
        </w:div>
        <w:div w:id="206339848">
          <w:marLeft w:val="0"/>
          <w:marRight w:val="0"/>
          <w:marTop w:val="0"/>
          <w:marBottom w:val="0"/>
          <w:divBdr>
            <w:top w:val="none" w:sz="0" w:space="0" w:color="auto"/>
            <w:left w:val="none" w:sz="0" w:space="0" w:color="auto"/>
            <w:bottom w:val="none" w:sz="0" w:space="0" w:color="auto"/>
            <w:right w:val="none" w:sz="0" w:space="0" w:color="auto"/>
          </w:divBdr>
        </w:div>
        <w:div w:id="16584571">
          <w:marLeft w:val="0"/>
          <w:marRight w:val="0"/>
          <w:marTop w:val="0"/>
          <w:marBottom w:val="0"/>
          <w:divBdr>
            <w:top w:val="none" w:sz="0" w:space="0" w:color="auto"/>
            <w:left w:val="none" w:sz="0" w:space="0" w:color="auto"/>
            <w:bottom w:val="none" w:sz="0" w:space="0" w:color="auto"/>
            <w:right w:val="none" w:sz="0" w:space="0" w:color="auto"/>
          </w:divBdr>
        </w:div>
        <w:div w:id="2031565038">
          <w:marLeft w:val="0"/>
          <w:marRight w:val="0"/>
          <w:marTop w:val="0"/>
          <w:marBottom w:val="0"/>
          <w:divBdr>
            <w:top w:val="none" w:sz="0" w:space="0" w:color="auto"/>
            <w:left w:val="none" w:sz="0" w:space="0" w:color="auto"/>
            <w:bottom w:val="none" w:sz="0" w:space="0" w:color="auto"/>
            <w:right w:val="none" w:sz="0" w:space="0" w:color="auto"/>
          </w:divBdr>
        </w:div>
        <w:div w:id="452216786">
          <w:marLeft w:val="0"/>
          <w:marRight w:val="0"/>
          <w:marTop w:val="0"/>
          <w:marBottom w:val="0"/>
          <w:divBdr>
            <w:top w:val="none" w:sz="0" w:space="0" w:color="auto"/>
            <w:left w:val="none" w:sz="0" w:space="0" w:color="auto"/>
            <w:bottom w:val="none" w:sz="0" w:space="0" w:color="auto"/>
            <w:right w:val="none" w:sz="0" w:space="0" w:color="auto"/>
          </w:divBdr>
        </w:div>
        <w:div w:id="1418212116">
          <w:marLeft w:val="0"/>
          <w:marRight w:val="0"/>
          <w:marTop w:val="0"/>
          <w:marBottom w:val="0"/>
          <w:divBdr>
            <w:top w:val="none" w:sz="0" w:space="0" w:color="auto"/>
            <w:left w:val="none" w:sz="0" w:space="0" w:color="auto"/>
            <w:bottom w:val="none" w:sz="0" w:space="0" w:color="auto"/>
            <w:right w:val="none" w:sz="0" w:space="0" w:color="auto"/>
          </w:divBdr>
        </w:div>
        <w:div w:id="275530626">
          <w:marLeft w:val="0"/>
          <w:marRight w:val="0"/>
          <w:marTop w:val="0"/>
          <w:marBottom w:val="0"/>
          <w:divBdr>
            <w:top w:val="none" w:sz="0" w:space="0" w:color="auto"/>
            <w:left w:val="none" w:sz="0" w:space="0" w:color="auto"/>
            <w:bottom w:val="none" w:sz="0" w:space="0" w:color="auto"/>
            <w:right w:val="none" w:sz="0" w:space="0" w:color="auto"/>
          </w:divBdr>
        </w:div>
        <w:div w:id="1632517143">
          <w:marLeft w:val="0"/>
          <w:marRight w:val="0"/>
          <w:marTop w:val="0"/>
          <w:marBottom w:val="0"/>
          <w:divBdr>
            <w:top w:val="none" w:sz="0" w:space="0" w:color="auto"/>
            <w:left w:val="none" w:sz="0" w:space="0" w:color="auto"/>
            <w:bottom w:val="none" w:sz="0" w:space="0" w:color="auto"/>
            <w:right w:val="none" w:sz="0" w:space="0" w:color="auto"/>
          </w:divBdr>
        </w:div>
        <w:div w:id="1636566682">
          <w:marLeft w:val="0"/>
          <w:marRight w:val="0"/>
          <w:marTop w:val="0"/>
          <w:marBottom w:val="0"/>
          <w:divBdr>
            <w:top w:val="none" w:sz="0" w:space="0" w:color="auto"/>
            <w:left w:val="none" w:sz="0" w:space="0" w:color="auto"/>
            <w:bottom w:val="none" w:sz="0" w:space="0" w:color="auto"/>
            <w:right w:val="none" w:sz="0" w:space="0" w:color="auto"/>
          </w:divBdr>
        </w:div>
        <w:div w:id="1439832408">
          <w:marLeft w:val="0"/>
          <w:marRight w:val="0"/>
          <w:marTop w:val="0"/>
          <w:marBottom w:val="0"/>
          <w:divBdr>
            <w:top w:val="none" w:sz="0" w:space="0" w:color="auto"/>
            <w:left w:val="none" w:sz="0" w:space="0" w:color="auto"/>
            <w:bottom w:val="none" w:sz="0" w:space="0" w:color="auto"/>
            <w:right w:val="none" w:sz="0" w:space="0" w:color="auto"/>
          </w:divBdr>
        </w:div>
        <w:div w:id="1515267539">
          <w:marLeft w:val="0"/>
          <w:marRight w:val="0"/>
          <w:marTop w:val="0"/>
          <w:marBottom w:val="0"/>
          <w:divBdr>
            <w:top w:val="none" w:sz="0" w:space="0" w:color="auto"/>
            <w:left w:val="none" w:sz="0" w:space="0" w:color="auto"/>
            <w:bottom w:val="none" w:sz="0" w:space="0" w:color="auto"/>
            <w:right w:val="none" w:sz="0" w:space="0" w:color="auto"/>
          </w:divBdr>
        </w:div>
        <w:div w:id="823162243">
          <w:marLeft w:val="0"/>
          <w:marRight w:val="0"/>
          <w:marTop w:val="0"/>
          <w:marBottom w:val="0"/>
          <w:divBdr>
            <w:top w:val="none" w:sz="0" w:space="0" w:color="auto"/>
            <w:left w:val="none" w:sz="0" w:space="0" w:color="auto"/>
            <w:bottom w:val="none" w:sz="0" w:space="0" w:color="auto"/>
            <w:right w:val="none" w:sz="0" w:space="0" w:color="auto"/>
          </w:divBdr>
        </w:div>
        <w:div w:id="1457986889">
          <w:marLeft w:val="0"/>
          <w:marRight w:val="0"/>
          <w:marTop w:val="0"/>
          <w:marBottom w:val="0"/>
          <w:divBdr>
            <w:top w:val="none" w:sz="0" w:space="0" w:color="auto"/>
            <w:left w:val="none" w:sz="0" w:space="0" w:color="auto"/>
            <w:bottom w:val="none" w:sz="0" w:space="0" w:color="auto"/>
            <w:right w:val="none" w:sz="0" w:space="0" w:color="auto"/>
          </w:divBdr>
        </w:div>
        <w:div w:id="2092000005">
          <w:marLeft w:val="0"/>
          <w:marRight w:val="0"/>
          <w:marTop w:val="0"/>
          <w:marBottom w:val="0"/>
          <w:divBdr>
            <w:top w:val="none" w:sz="0" w:space="0" w:color="auto"/>
            <w:left w:val="none" w:sz="0" w:space="0" w:color="auto"/>
            <w:bottom w:val="none" w:sz="0" w:space="0" w:color="auto"/>
            <w:right w:val="none" w:sz="0" w:space="0" w:color="auto"/>
          </w:divBdr>
        </w:div>
      </w:divsChild>
    </w:div>
    <w:div w:id="1279528136">
      <w:bodyDiv w:val="1"/>
      <w:marLeft w:val="0"/>
      <w:marRight w:val="0"/>
      <w:marTop w:val="0"/>
      <w:marBottom w:val="0"/>
      <w:divBdr>
        <w:top w:val="none" w:sz="0" w:space="0" w:color="auto"/>
        <w:left w:val="none" w:sz="0" w:space="0" w:color="auto"/>
        <w:bottom w:val="none" w:sz="0" w:space="0" w:color="auto"/>
        <w:right w:val="none" w:sz="0" w:space="0" w:color="auto"/>
      </w:divBdr>
      <w:divsChild>
        <w:div w:id="16785381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978787">
              <w:blockQuote w:val="1"/>
              <w:marLeft w:val="0"/>
              <w:marRight w:val="0"/>
              <w:marTop w:val="120"/>
              <w:marBottom w:val="120"/>
              <w:divBdr>
                <w:top w:val="none" w:sz="0" w:space="0" w:color="auto"/>
                <w:left w:val="none" w:sz="0" w:space="0" w:color="auto"/>
                <w:bottom w:val="none" w:sz="0" w:space="0" w:color="auto"/>
                <w:right w:val="none" w:sz="0" w:space="0" w:color="auto"/>
              </w:divBdr>
            </w:div>
            <w:div w:id="1315059989">
              <w:blockQuote w:val="1"/>
              <w:marLeft w:val="0"/>
              <w:marRight w:val="0"/>
              <w:marTop w:val="120"/>
              <w:marBottom w:val="120"/>
              <w:divBdr>
                <w:top w:val="none" w:sz="0" w:space="0" w:color="auto"/>
                <w:left w:val="none" w:sz="0" w:space="0" w:color="auto"/>
                <w:bottom w:val="none" w:sz="0" w:space="0" w:color="auto"/>
                <w:right w:val="none" w:sz="0" w:space="0" w:color="auto"/>
              </w:divBdr>
            </w:div>
            <w:div w:id="1883862111">
              <w:blockQuote w:val="1"/>
              <w:marLeft w:val="0"/>
              <w:marRight w:val="0"/>
              <w:marTop w:val="120"/>
              <w:marBottom w:val="120"/>
              <w:divBdr>
                <w:top w:val="none" w:sz="0" w:space="0" w:color="auto"/>
                <w:left w:val="none" w:sz="0" w:space="0" w:color="auto"/>
                <w:bottom w:val="none" w:sz="0" w:space="0" w:color="auto"/>
                <w:right w:val="none" w:sz="0" w:space="0" w:color="auto"/>
              </w:divBdr>
            </w:div>
            <w:div w:id="1069677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4463944">
      <w:bodyDiv w:val="1"/>
      <w:marLeft w:val="0"/>
      <w:marRight w:val="0"/>
      <w:marTop w:val="0"/>
      <w:marBottom w:val="0"/>
      <w:divBdr>
        <w:top w:val="none" w:sz="0" w:space="0" w:color="auto"/>
        <w:left w:val="none" w:sz="0" w:space="0" w:color="auto"/>
        <w:bottom w:val="none" w:sz="0" w:space="0" w:color="auto"/>
        <w:right w:val="none" w:sz="0" w:space="0" w:color="auto"/>
      </w:divBdr>
    </w:div>
    <w:div w:id="1353455330">
      <w:bodyDiv w:val="1"/>
      <w:marLeft w:val="0"/>
      <w:marRight w:val="0"/>
      <w:marTop w:val="0"/>
      <w:marBottom w:val="0"/>
      <w:divBdr>
        <w:top w:val="none" w:sz="0" w:space="0" w:color="auto"/>
        <w:left w:val="none" w:sz="0" w:space="0" w:color="auto"/>
        <w:bottom w:val="none" w:sz="0" w:space="0" w:color="auto"/>
        <w:right w:val="none" w:sz="0" w:space="0" w:color="auto"/>
      </w:divBdr>
    </w:div>
    <w:div w:id="1396389613">
      <w:bodyDiv w:val="1"/>
      <w:marLeft w:val="0"/>
      <w:marRight w:val="0"/>
      <w:marTop w:val="0"/>
      <w:marBottom w:val="0"/>
      <w:divBdr>
        <w:top w:val="none" w:sz="0" w:space="0" w:color="auto"/>
        <w:left w:val="none" w:sz="0" w:space="0" w:color="auto"/>
        <w:bottom w:val="none" w:sz="0" w:space="0" w:color="auto"/>
        <w:right w:val="none" w:sz="0" w:space="0" w:color="auto"/>
      </w:divBdr>
    </w:div>
    <w:div w:id="1419325829">
      <w:bodyDiv w:val="1"/>
      <w:marLeft w:val="0"/>
      <w:marRight w:val="0"/>
      <w:marTop w:val="0"/>
      <w:marBottom w:val="0"/>
      <w:divBdr>
        <w:top w:val="none" w:sz="0" w:space="0" w:color="auto"/>
        <w:left w:val="none" w:sz="0" w:space="0" w:color="auto"/>
        <w:bottom w:val="none" w:sz="0" w:space="0" w:color="auto"/>
        <w:right w:val="none" w:sz="0" w:space="0" w:color="auto"/>
      </w:divBdr>
    </w:div>
    <w:div w:id="1424105119">
      <w:bodyDiv w:val="1"/>
      <w:marLeft w:val="0"/>
      <w:marRight w:val="0"/>
      <w:marTop w:val="0"/>
      <w:marBottom w:val="0"/>
      <w:divBdr>
        <w:top w:val="none" w:sz="0" w:space="0" w:color="auto"/>
        <w:left w:val="none" w:sz="0" w:space="0" w:color="auto"/>
        <w:bottom w:val="none" w:sz="0" w:space="0" w:color="auto"/>
        <w:right w:val="none" w:sz="0" w:space="0" w:color="auto"/>
      </w:divBdr>
    </w:div>
    <w:div w:id="1439565506">
      <w:bodyDiv w:val="1"/>
      <w:marLeft w:val="0"/>
      <w:marRight w:val="0"/>
      <w:marTop w:val="0"/>
      <w:marBottom w:val="0"/>
      <w:divBdr>
        <w:top w:val="none" w:sz="0" w:space="0" w:color="auto"/>
        <w:left w:val="none" w:sz="0" w:space="0" w:color="auto"/>
        <w:bottom w:val="none" w:sz="0" w:space="0" w:color="auto"/>
        <w:right w:val="none" w:sz="0" w:space="0" w:color="auto"/>
      </w:divBdr>
    </w:div>
    <w:div w:id="1447314562">
      <w:bodyDiv w:val="1"/>
      <w:marLeft w:val="0"/>
      <w:marRight w:val="0"/>
      <w:marTop w:val="0"/>
      <w:marBottom w:val="0"/>
      <w:divBdr>
        <w:top w:val="none" w:sz="0" w:space="0" w:color="auto"/>
        <w:left w:val="none" w:sz="0" w:space="0" w:color="auto"/>
        <w:bottom w:val="none" w:sz="0" w:space="0" w:color="auto"/>
        <w:right w:val="none" w:sz="0" w:space="0" w:color="auto"/>
      </w:divBdr>
    </w:div>
    <w:div w:id="1449349374">
      <w:bodyDiv w:val="1"/>
      <w:marLeft w:val="0"/>
      <w:marRight w:val="0"/>
      <w:marTop w:val="0"/>
      <w:marBottom w:val="0"/>
      <w:divBdr>
        <w:top w:val="none" w:sz="0" w:space="0" w:color="auto"/>
        <w:left w:val="none" w:sz="0" w:space="0" w:color="auto"/>
        <w:bottom w:val="none" w:sz="0" w:space="0" w:color="auto"/>
        <w:right w:val="none" w:sz="0" w:space="0" w:color="auto"/>
      </w:divBdr>
    </w:div>
    <w:div w:id="1479422830">
      <w:bodyDiv w:val="1"/>
      <w:marLeft w:val="0"/>
      <w:marRight w:val="0"/>
      <w:marTop w:val="0"/>
      <w:marBottom w:val="0"/>
      <w:divBdr>
        <w:top w:val="none" w:sz="0" w:space="0" w:color="auto"/>
        <w:left w:val="none" w:sz="0" w:space="0" w:color="auto"/>
        <w:bottom w:val="none" w:sz="0" w:space="0" w:color="auto"/>
        <w:right w:val="none" w:sz="0" w:space="0" w:color="auto"/>
      </w:divBdr>
    </w:div>
    <w:div w:id="1497069842">
      <w:bodyDiv w:val="1"/>
      <w:marLeft w:val="0"/>
      <w:marRight w:val="0"/>
      <w:marTop w:val="0"/>
      <w:marBottom w:val="0"/>
      <w:divBdr>
        <w:top w:val="none" w:sz="0" w:space="0" w:color="auto"/>
        <w:left w:val="none" w:sz="0" w:space="0" w:color="auto"/>
        <w:bottom w:val="none" w:sz="0" w:space="0" w:color="auto"/>
        <w:right w:val="none" w:sz="0" w:space="0" w:color="auto"/>
      </w:divBdr>
      <w:divsChild>
        <w:div w:id="285501957">
          <w:marLeft w:val="0"/>
          <w:marRight w:val="0"/>
          <w:marTop w:val="0"/>
          <w:marBottom w:val="0"/>
          <w:divBdr>
            <w:top w:val="none" w:sz="0" w:space="0" w:color="auto"/>
            <w:left w:val="none" w:sz="0" w:space="0" w:color="auto"/>
            <w:bottom w:val="none" w:sz="0" w:space="0" w:color="auto"/>
            <w:right w:val="none" w:sz="0" w:space="0" w:color="auto"/>
          </w:divBdr>
        </w:div>
        <w:div w:id="2000428039">
          <w:marLeft w:val="0"/>
          <w:marRight w:val="0"/>
          <w:marTop w:val="0"/>
          <w:marBottom w:val="0"/>
          <w:divBdr>
            <w:top w:val="none" w:sz="0" w:space="0" w:color="auto"/>
            <w:left w:val="none" w:sz="0" w:space="0" w:color="auto"/>
            <w:bottom w:val="none" w:sz="0" w:space="0" w:color="auto"/>
            <w:right w:val="none" w:sz="0" w:space="0" w:color="auto"/>
          </w:divBdr>
        </w:div>
      </w:divsChild>
    </w:div>
    <w:div w:id="1560241814">
      <w:bodyDiv w:val="1"/>
      <w:marLeft w:val="0"/>
      <w:marRight w:val="0"/>
      <w:marTop w:val="0"/>
      <w:marBottom w:val="0"/>
      <w:divBdr>
        <w:top w:val="none" w:sz="0" w:space="0" w:color="auto"/>
        <w:left w:val="none" w:sz="0" w:space="0" w:color="auto"/>
        <w:bottom w:val="none" w:sz="0" w:space="0" w:color="auto"/>
        <w:right w:val="none" w:sz="0" w:space="0" w:color="auto"/>
      </w:divBdr>
      <w:divsChild>
        <w:div w:id="193419574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4865578">
              <w:blockQuote w:val="1"/>
              <w:marLeft w:val="0"/>
              <w:marRight w:val="0"/>
              <w:marTop w:val="120"/>
              <w:marBottom w:val="120"/>
              <w:divBdr>
                <w:top w:val="none" w:sz="0" w:space="0" w:color="auto"/>
                <w:left w:val="none" w:sz="0" w:space="0" w:color="auto"/>
                <w:bottom w:val="none" w:sz="0" w:space="0" w:color="auto"/>
                <w:right w:val="none" w:sz="0" w:space="0" w:color="auto"/>
              </w:divBdr>
            </w:div>
            <w:div w:id="350184117">
              <w:blockQuote w:val="1"/>
              <w:marLeft w:val="0"/>
              <w:marRight w:val="0"/>
              <w:marTop w:val="120"/>
              <w:marBottom w:val="120"/>
              <w:divBdr>
                <w:top w:val="none" w:sz="0" w:space="0" w:color="auto"/>
                <w:left w:val="none" w:sz="0" w:space="0" w:color="auto"/>
                <w:bottom w:val="none" w:sz="0" w:space="0" w:color="auto"/>
                <w:right w:val="none" w:sz="0" w:space="0" w:color="auto"/>
              </w:divBdr>
            </w:div>
            <w:div w:id="716855589">
              <w:blockQuote w:val="1"/>
              <w:marLeft w:val="0"/>
              <w:marRight w:val="0"/>
              <w:marTop w:val="120"/>
              <w:marBottom w:val="120"/>
              <w:divBdr>
                <w:top w:val="none" w:sz="0" w:space="0" w:color="auto"/>
                <w:left w:val="none" w:sz="0" w:space="0" w:color="auto"/>
                <w:bottom w:val="none" w:sz="0" w:space="0" w:color="auto"/>
                <w:right w:val="none" w:sz="0" w:space="0" w:color="auto"/>
              </w:divBdr>
            </w:div>
            <w:div w:id="749036542">
              <w:blockQuote w:val="1"/>
              <w:marLeft w:val="0"/>
              <w:marRight w:val="0"/>
              <w:marTop w:val="120"/>
              <w:marBottom w:val="120"/>
              <w:divBdr>
                <w:top w:val="none" w:sz="0" w:space="0" w:color="auto"/>
                <w:left w:val="none" w:sz="0" w:space="0" w:color="auto"/>
                <w:bottom w:val="none" w:sz="0" w:space="0" w:color="auto"/>
                <w:right w:val="none" w:sz="0" w:space="0" w:color="auto"/>
              </w:divBdr>
            </w:div>
            <w:div w:id="872427235">
              <w:blockQuote w:val="1"/>
              <w:marLeft w:val="0"/>
              <w:marRight w:val="0"/>
              <w:marTop w:val="120"/>
              <w:marBottom w:val="120"/>
              <w:divBdr>
                <w:top w:val="none" w:sz="0" w:space="0" w:color="auto"/>
                <w:left w:val="none" w:sz="0" w:space="0" w:color="auto"/>
                <w:bottom w:val="none" w:sz="0" w:space="0" w:color="auto"/>
                <w:right w:val="none" w:sz="0" w:space="0" w:color="auto"/>
              </w:divBdr>
            </w:div>
            <w:div w:id="1105806365">
              <w:blockQuote w:val="1"/>
              <w:marLeft w:val="0"/>
              <w:marRight w:val="0"/>
              <w:marTop w:val="120"/>
              <w:marBottom w:val="120"/>
              <w:divBdr>
                <w:top w:val="none" w:sz="0" w:space="0" w:color="auto"/>
                <w:left w:val="none" w:sz="0" w:space="0" w:color="auto"/>
                <w:bottom w:val="none" w:sz="0" w:space="0" w:color="auto"/>
                <w:right w:val="none" w:sz="0" w:space="0" w:color="auto"/>
              </w:divBdr>
            </w:div>
            <w:div w:id="1201240086">
              <w:blockQuote w:val="1"/>
              <w:marLeft w:val="0"/>
              <w:marRight w:val="0"/>
              <w:marTop w:val="120"/>
              <w:marBottom w:val="120"/>
              <w:divBdr>
                <w:top w:val="none" w:sz="0" w:space="0" w:color="auto"/>
                <w:left w:val="none" w:sz="0" w:space="0" w:color="auto"/>
                <w:bottom w:val="none" w:sz="0" w:space="0" w:color="auto"/>
                <w:right w:val="none" w:sz="0" w:space="0" w:color="auto"/>
              </w:divBdr>
            </w:div>
            <w:div w:id="1595091609">
              <w:blockQuote w:val="1"/>
              <w:marLeft w:val="0"/>
              <w:marRight w:val="0"/>
              <w:marTop w:val="120"/>
              <w:marBottom w:val="120"/>
              <w:divBdr>
                <w:top w:val="none" w:sz="0" w:space="0" w:color="auto"/>
                <w:left w:val="none" w:sz="0" w:space="0" w:color="auto"/>
                <w:bottom w:val="none" w:sz="0" w:space="0" w:color="auto"/>
                <w:right w:val="none" w:sz="0" w:space="0" w:color="auto"/>
              </w:divBdr>
            </w:div>
            <w:div w:id="21288162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67492600">
      <w:bodyDiv w:val="1"/>
      <w:marLeft w:val="0"/>
      <w:marRight w:val="0"/>
      <w:marTop w:val="0"/>
      <w:marBottom w:val="0"/>
      <w:divBdr>
        <w:top w:val="none" w:sz="0" w:space="0" w:color="auto"/>
        <w:left w:val="none" w:sz="0" w:space="0" w:color="auto"/>
        <w:bottom w:val="none" w:sz="0" w:space="0" w:color="auto"/>
        <w:right w:val="none" w:sz="0" w:space="0" w:color="auto"/>
      </w:divBdr>
    </w:div>
    <w:div w:id="1602178286">
      <w:bodyDiv w:val="1"/>
      <w:marLeft w:val="0"/>
      <w:marRight w:val="0"/>
      <w:marTop w:val="0"/>
      <w:marBottom w:val="0"/>
      <w:divBdr>
        <w:top w:val="none" w:sz="0" w:space="0" w:color="auto"/>
        <w:left w:val="none" w:sz="0" w:space="0" w:color="auto"/>
        <w:bottom w:val="none" w:sz="0" w:space="0" w:color="auto"/>
        <w:right w:val="none" w:sz="0" w:space="0" w:color="auto"/>
      </w:divBdr>
    </w:div>
    <w:div w:id="1624768978">
      <w:bodyDiv w:val="1"/>
      <w:marLeft w:val="0"/>
      <w:marRight w:val="0"/>
      <w:marTop w:val="0"/>
      <w:marBottom w:val="0"/>
      <w:divBdr>
        <w:top w:val="none" w:sz="0" w:space="0" w:color="auto"/>
        <w:left w:val="none" w:sz="0" w:space="0" w:color="auto"/>
        <w:bottom w:val="none" w:sz="0" w:space="0" w:color="auto"/>
        <w:right w:val="none" w:sz="0" w:space="0" w:color="auto"/>
      </w:divBdr>
      <w:divsChild>
        <w:div w:id="15016953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41424194">
              <w:blockQuote w:val="1"/>
              <w:marLeft w:val="0"/>
              <w:marRight w:val="0"/>
              <w:marTop w:val="120"/>
              <w:marBottom w:val="120"/>
              <w:divBdr>
                <w:top w:val="none" w:sz="0" w:space="0" w:color="auto"/>
                <w:left w:val="none" w:sz="0" w:space="0" w:color="auto"/>
                <w:bottom w:val="none" w:sz="0" w:space="0" w:color="auto"/>
                <w:right w:val="none" w:sz="0" w:space="0" w:color="auto"/>
              </w:divBdr>
            </w:div>
            <w:div w:id="18859450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6639728">
      <w:bodyDiv w:val="1"/>
      <w:marLeft w:val="0"/>
      <w:marRight w:val="0"/>
      <w:marTop w:val="0"/>
      <w:marBottom w:val="0"/>
      <w:divBdr>
        <w:top w:val="none" w:sz="0" w:space="0" w:color="auto"/>
        <w:left w:val="none" w:sz="0" w:space="0" w:color="auto"/>
        <w:bottom w:val="none" w:sz="0" w:space="0" w:color="auto"/>
        <w:right w:val="none" w:sz="0" w:space="0" w:color="auto"/>
      </w:divBdr>
      <w:divsChild>
        <w:div w:id="5802567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98261440">
              <w:blockQuote w:val="1"/>
              <w:marLeft w:val="0"/>
              <w:marRight w:val="0"/>
              <w:marTop w:val="120"/>
              <w:marBottom w:val="120"/>
              <w:divBdr>
                <w:top w:val="none" w:sz="0" w:space="0" w:color="auto"/>
                <w:left w:val="none" w:sz="0" w:space="0" w:color="auto"/>
                <w:bottom w:val="none" w:sz="0" w:space="0" w:color="auto"/>
                <w:right w:val="none" w:sz="0" w:space="0" w:color="auto"/>
              </w:divBdr>
            </w:div>
            <w:div w:id="12894347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124622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3683793">
                      <w:blockQuote w:val="1"/>
                      <w:marLeft w:val="0"/>
                      <w:marRight w:val="0"/>
                      <w:marTop w:val="120"/>
                      <w:marBottom w:val="120"/>
                      <w:divBdr>
                        <w:top w:val="none" w:sz="0" w:space="0" w:color="auto"/>
                        <w:left w:val="none" w:sz="0" w:space="0" w:color="auto"/>
                        <w:bottom w:val="none" w:sz="0" w:space="0" w:color="auto"/>
                        <w:right w:val="none" w:sz="0" w:space="0" w:color="auto"/>
                      </w:divBdr>
                    </w:div>
                    <w:div w:id="70807109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4889768">
      <w:bodyDiv w:val="1"/>
      <w:marLeft w:val="0"/>
      <w:marRight w:val="0"/>
      <w:marTop w:val="0"/>
      <w:marBottom w:val="0"/>
      <w:divBdr>
        <w:top w:val="none" w:sz="0" w:space="0" w:color="auto"/>
        <w:left w:val="none" w:sz="0" w:space="0" w:color="auto"/>
        <w:bottom w:val="none" w:sz="0" w:space="0" w:color="auto"/>
        <w:right w:val="none" w:sz="0" w:space="0" w:color="auto"/>
      </w:divBdr>
    </w:div>
    <w:div w:id="1748500817">
      <w:bodyDiv w:val="1"/>
      <w:marLeft w:val="0"/>
      <w:marRight w:val="0"/>
      <w:marTop w:val="0"/>
      <w:marBottom w:val="0"/>
      <w:divBdr>
        <w:top w:val="none" w:sz="0" w:space="0" w:color="auto"/>
        <w:left w:val="none" w:sz="0" w:space="0" w:color="auto"/>
        <w:bottom w:val="none" w:sz="0" w:space="0" w:color="auto"/>
        <w:right w:val="none" w:sz="0" w:space="0" w:color="auto"/>
      </w:divBdr>
    </w:div>
    <w:div w:id="1755977369">
      <w:bodyDiv w:val="1"/>
      <w:marLeft w:val="0"/>
      <w:marRight w:val="0"/>
      <w:marTop w:val="0"/>
      <w:marBottom w:val="0"/>
      <w:divBdr>
        <w:top w:val="none" w:sz="0" w:space="0" w:color="auto"/>
        <w:left w:val="none" w:sz="0" w:space="0" w:color="auto"/>
        <w:bottom w:val="none" w:sz="0" w:space="0" w:color="auto"/>
        <w:right w:val="none" w:sz="0" w:space="0" w:color="auto"/>
      </w:divBdr>
    </w:div>
    <w:div w:id="1756778676">
      <w:bodyDiv w:val="1"/>
      <w:marLeft w:val="0"/>
      <w:marRight w:val="0"/>
      <w:marTop w:val="0"/>
      <w:marBottom w:val="0"/>
      <w:divBdr>
        <w:top w:val="none" w:sz="0" w:space="0" w:color="auto"/>
        <w:left w:val="none" w:sz="0" w:space="0" w:color="auto"/>
        <w:bottom w:val="none" w:sz="0" w:space="0" w:color="auto"/>
        <w:right w:val="none" w:sz="0" w:space="0" w:color="auto"/>
      </w:divBdr>
      <w:divsChild>
        <w:div w:id="2014259284">
          <w:marLeft w:val="0"/>
          <w:marRight w:val="0"/>
          <w:marTop w:val="0"/>
          <w:marBottom w:val="0"/>
          <w:divBdr>
            <w:top w:val="none" w:sz="0" w:space="0" w:color="auto"/>
            <w:left w:val="none" w:sz="0" w:space="0" w:color="auto"/>
            <w:bottom w:val="none" w:sz="0" w:space="0" w:color="auto"/>
            <w:right w:val="none" w:sz="0" w:space="0" w:color="auto"/>
          </w:divBdr>
        </w:div>
        <w:div w:id="601960473">
          <w:marLeft w:val="0"/>
          <w:marRight w:val="0"/>
          <w:marTop w:val="0"/>
          <w:marBottom w:val="0"/>
          <w:divBdr>
            <w:top w:val="none" w:sz="0" w:space="0" w:color="auto"/>
            <w:left w:val="none" w:sz="0" w:space="0" w:color="auto"/>
            <w:bottom w:val="none" w:sz="0" w:space="0" w:color="auto"/>
            <w:right w:val="none" w:sz="0" w:space="0" w:color="auto"/>
          </w:divBdr>
        </w:div>
        <w:div w:id="1317950361">
          <w:marLeft w:val="0"/>
          <w:marRight w:val="0"/>
          <w:marTop w:val="0"/>
          <w:marBottom w:val="0"/>
          <w:divBdr>
            <w:top w:val="none" w:sz="0" w:space="0" w:color="auto"/>
            <w:left w:val="none" w:sz="0" w:space="0" w:color="auto"/>
            <w:bottom w:val="none" w:sz="0" w:space="0" w:color="auto"/>
            <w:right w:val="none" w:sz="0" w:space="0" w:color="auto"/>
          </w:divBdr>
        </w:div>
        <w:div w:id="685329721">
          <w:marLeft w:val="0"/>
          <w:marRight w:val="0"/>
          <w:marTop w:val="0"/>
          <w:marBottom w:val="0"/>
          <w:divBdr>
            <w:top w:val="none" w:sz="0" w:space="0" w:color="auto"/>
            <w:left w:val="none" w:sz="0" w:space="0" w:color="auto"/>
            <w:bottom w:val="none" w:sz="0" w:space="0" w:color="auto"/>
            <w:right w:val="none" w:sz="0" w:space="0" w:color="auto"/>
          </w:divBdr>
        </w:div>
        <w:div w:id="507521635">
          <w:marLeft w:val="0"/>
          <w:marRight w:val="0"/>
          <w:marTop w:val="0"/>
          <w:marBottom w:val="0"/>
          <w:divBdr>
            <w:top w:val="none" w:sz="0" w:space="0" w:color="auto"/>
            <w:left w:val="none" w:sz="0" w:space="0" w:color="auto"/>
            <w:bottom w:val="none" w:sz="0" w:space="0" w:color="auto"/>
            <w:right w:val="none" w:sz="0" w:space="0" w:color="auto"/>
          </w:divBdr>
        </w:div>
        <w:div w:id="809903453">
          <w:marLeft w:val="0"/>
          <w:marRight w:val="0"/>
          <w:marTop w:val="0"/>
          <w:marBottom w:val="0"/>
          <w:divBdr>
            <w:top w:val="none" w:sz="0" w:space="0" w:color="auto"/>
            <w:left w:val="none" w:sz="0" w:space="0" w:color="auto"/>
            <w:bottom w:val="none" w:sz="0" w:space="0" w:color="auto"/>
            <w:right w:val="none" w:sz="0" w:space="0" w:color="auto"/>
          </w:divBdr>
        </w:div>
        <w:div w:id="1731422754">
          <w:marLeft w:val="0"/>
          <w:marRight w:val="0"/>
          <w:marTop w:val="0"/>
          <w:marBottom w:val="0"/>
          <w:divBdr>
            <w:top w:val="none" w:sz="0" w:space="0" w:color="auto"/>
            <w:left w:val="none" w:sz="0" w:space="0" w:color="auto"/>
            <w:bottom w:val="none" w:sz="0" w:space="0" w:color="auto"/>
            <w:right w:val="none" w:sz="0" w:space="0" w:color="auto"/>
          </w:divBdr>
        </w:div>
        <w:div w:id="1176993674">
          <w:marLeft w:val="0"/>
          <w:marRight w:val="0"/>
          <w:marTop w:val="0"/>
          <w:marBottom w:val="0"/>
          <w:divBdr>
            <w:top w:val="none" w:sz="0" w:space="0" w:color="auto"/>
            <w:left w:val="none" w:sz="0" w:space="0" w:color="auto"/>
            <w:bottom w:val="none" w:sz="0" w:space="0" w:color="auto"/>
            <w:right w:val="none" w:sz="0" w:space="0" w:color="auto"/>
          </w:divBdr>
        </w:div>
        <w:div w:id="1931312570">
          <w:marLeft w:val="0"/>
          <w:marRight w:val="0"/>
          <w:marTop w:val="0"/>
          <w:marBottom w:val="0"/>
          <w:divBdr>
            <w:top w:val="none" w:sz="0" w:space="0" w:color="auto"/>
            <w:left w:val="none" w:sz="0" w:space="0" w:color="auto"/>
            <w:bottom w:val="none" w:sz="0" w:space="0" w:color="auto"/>
            <w:right w:val="none" w:sz="0" w:space="0" w:color="auto"/>
          </w:divBdr>
        </w:div>
        <w:div w:id="1945921421">
          <w:marLeft w:val="0"/>
          <w:marRight w:val="0"/>
          <w:marTop w:val="0"/>
          <w:marBottom w:val="0"/>
          <w:divBdr>
            <w:top w:val="none" w:sz="0" w:space="0" w:color="auto"/>
            <w:left w:val="none" w:sz="0" w:space="0" w:color="auto"/>
            <w:bottom w:val="none" w:sz="0" w:space="0" w:color="auto"/>
            <w:right w:val="none" w:sz="0" w:space="0" w:color="auto"/>
          </w:divBdr>
        </w:div>
        <w:div w:id="788548901">
          <w:marLeft w:val="0"/>
          <w:marRight w:val="0"/>
          <w:marTop w:val="0"/>
          <w:marBottom w:val="0"/>
          <w:divBdr>
            <w:top w:val="none" w:sz="0" w:space="0" w:color="auto"/>
            <w:left w:val="none" w:sz="0" w:space="0" w:color="auto"/>
            <w:bottom w:val="none" w:sz="0" w:space="0" w:color="auto"/>
            <w:right w:val="none" w:sz="0" w:space="0" w:color="auto"/>
          </w:divBdr>
        </w:div>
        <w:div w:id="493037186">
          <w:marLeft w:val="0"/>
          <w:marRight w:val="0"/>
          <w:marTop w:val="0"/>
          <w:marBottom w:val="0"/>
          <w:divBdr>
            <w:top w:val="none" w:sz="0" w:space="0" w:color="auto"/>
            <w:left w:val="none" w:sz="0" w:space="0" w:color="auto"/>
            <w:bottom w:val="none" w:sz="0" w:space="0" w:color="auto"/>
            <w:right w:val="none" w:sz="0" w:space="0" w:color="auto"/>
          </w:divBdr>
        </w:div>
        <w:div w:id="1310817250">
          <w:marLeft w:val="0"/>
          <w:marRight w:val="0"/>
          <w:marTop w:val="0"/>
          <w:marBottom w:val="0"/>
          <w:divBdr>
            <w:top w:val="none" w:sz="0" w:space="0" w:color="auto"/>
            <w:left w:val="none" w:sz="0" w:space="0" w:color="auto"/>
            <w:bottom w:val="none" w:sz="0" w:space="0" w:color="auto"/>
            <w:right w:val="none" w:sz="0" w:space="0" w:color="auto"/>
          </w:divBdr>
        </w:div>
        <w:div w:id="762801284">
          <w:marLeft w:val="0"/>
          <w:marRight w:val="0"/>
          <w:marTop w:val="0"/>
          <w:marBottom w:val="0"/>
          <w:divBdr>
            <w:top w:val="none" w:sz="0" w:space="0" w:color="auto"/>
            <w:left w:val="none" w:sz="0" w:space="0" w:color="auto"/>
            <w:bottom w:val="none" w:sz="0" w:space="0" w:color="auto"/>
            <w:right w:val="none" w:sz="0" w:space="0" w:color="auto"/>
          </w:divBdr>
        </w:div>
        <w:div w:id="954091977">
          <w:marLeft w:val="0"/>
          <w:marRight w:val="0"/>
          <w:marTop w:val="0"/>
          <w:marBottom w:val="0"/>
          <w:divBdr>
            <w:top w:val="none" w:sz="0" w:space="0" w:color="auto"/>
            <w:left w:val="none" w:sz="0" w:space="0" w:color="auto"/>
            <w:bottom w:val="none" w:sz="0" w:space="0" w:color="auto"/>
            <w:right w:val="none" w:sz="0" w:space="0" w:color="auto"/>
          </w:divBdr>
        </w:div>
        <w:div w:id="1128742581">
          <w:marLeft w:val="0"/>
          <w:marRight w:val="0"/>
          <w:marTop w:val="0"/>
          <w:marBottom w:val="0"/>
          <w:divBdr>
            <w:top w:val="none" w:sz="0" w:space="0" w:color="auto"/>
            <w:left w:val="none" w:sz="0" w:space="0" w:color="auto"/>
            <w:bottom w:val="none" w:sz="0" w:space="0" w:color="auto"/>
            <w:right w:val="none" w:sz="0" w:space="0" w:color="auto"/>
          </w:divBdr>
        </w:div>
        <w:div w:id="767040849">
          <w:marLeft w:val="0"/>
          <w:marRight w:val="0"/>
          <w:marTop w:val="0"/>
          <w:marBottom w:val="0"/>
          <w:divBdr>
            <w:top w:val="none" w:sz="0" w:space="0" w:color="auto"/>
            <w:left w:val="none" w:sz="0" w:space="0" w:color="auto"/>
            <w:bottom w:val="none" w:sz="0" w:space="0" w:color="auto"/>
            <w:right w:val="none" w:sz="0" w:space="0" w:color="auto"/>
          </w:divBdr>
        </w:div>
        <w:div w:id="1322781613">
          <w:marLeft w:val="0"/>
          <w:marRight w:val="0"/>
          <w:marTop w:val="0"/>
          <w:marBottom w:val="0"/>
          <w:divBdr>
            <w:top w:val="none" w:sz="0" w:space="0" w:color="auto"/>
            <w:left w:val="none" w:sz="0" w:space="0" w:color="auto"/>
            <w:bottom w:val="none" w:sz="0" w:space="0" w:color="auto"/>
            <w:right w:val="none" w:sz="0" w:space="0" w:color="auto"/>
          </w:divBdr>
        </w:div>
        <w:div w:id="2137142656">
          <w:marLeft w:val="0"/>
          <w:marRight w:val="0"/>
          <w:marTop w:val="0"/>
          <w:marBottom w:val="0"/>
          <w:divBdr>
            <w:top w:val="none" w:sz="0" w:space="0" w:color="auto"/>
            <w:left w:val="none" w:sz="0" w:space="0" w:color="auto"/>
            <w:bottom w:val="none" w:sz="0" w:space="0" w:color="auto"/>
            <w:right w:val="none" w:sz="0" w:space="0" w:color="auto"/>
          </w:divBdr>
        </w:div>
        <w:div w:id="222328133">
          <w:marLeft w:val="0"/>
          <w:marRight w:val="0"/>
          <w:marTop w:val="0"/>
          <w:marBottom w:val="0"/>
          <w:divBdr>
            <w:top w:val="none" w:sz="0" w:space="0" w:color="auto"/>
            <w:left w:val="none" w:sz="0" w:space="0" w:color="auto"/>
            <w:bottom w:val="none" w:sz="0" w:space="0" w:color="auto"/>
            <w:right w:val="none" w:sz="0" w:space="0" w:color="auto"/>
          </w:divBdr>
        </w:div>
        <w:div w:id="1932347026">
          <w:marLeft w:val="0"/>
          <w:marRight w:val="0"/>
          <w:marTop w:val="0"/>
          <w:marBottom w:val="0"/>
          <w:divBdr>
            <w:top w:val="none" w:sz="0" w:space="0" w:color="auto"/>
            <w:left w:val="none" w:sz="0" w:space="0" w:color="auto"/>
            <w:bottom w:val="none" w:sz="0" w:space="0" w:color="auto"/>
            <w:right w:val="none" w:sz="0" w:space="0" w:color="auto"/>
          </w:divBdr>
        </w:div>
        <w:div w:id="1944457978">
          <w:marLeft w:val="0"/>
          <w:marRight w:val="0"/>
          <w:marTop w:val="0"/>
          <w:marBottom w:val="0"/>
          <w:divBdr>
            <w:top w:val="none" w:sz="0" w:space="0" w:color="auto"/>
            <w:left w:val="none" w:sz="0" w:space="0" w:color="auto"/>
            <w:bottom w:val="none" w:sz="0" w:space="0" w:color="auto"/>
            <w:right w:val="none" w:sz="0" w:space="0" w:color="auto"/>
          </w:divBdr>
        </w:div>
        <w:div w:id="21909083">
          <w:marLeft w:val="0"/>
          <w:marRight w:val="0"/>
          <w:marTop w:val="0"/>
          <w:marBottom w:val="0"/>
          <w:divBdr>
            <w:top w:val="none" w:sz="0" w:space="0" w:color="auto"/>
            <w:left w:val="none" w:sz="0" w:space="0" w:color="auto"/>
            <w:bottom w:val="none" w:sz="0" w:space="0" w:color="auto"/>
            <w:right w:val="none" w:sz="0" w:space="0" w:color="auto"/>
          </w:divBdr>
        </w:div>
        <w:div w:id="593978123">
          <w:marLeft w:val="0"/>
          <w:marRight w:val="0"/>
          <w:marTop w:val="0"/>
          <w:marBottom w:val="0"/>
          <w:divBdr>
            <w:top w:val="none" w:sz="0" w:space="0" w:color="auto"/>
            <w:left w:val="none" w:sz="0" w:space="0" w:color="auto"/>
            <w:bottom w:val="none" w:sz="0" w:space="0" w:color="auto"/>
            <w:right w:val="none" w:sz="0" w:space="0" w:color="auto"/>
          </w:divBdr>
        </w:div>
        <w:div w:id="1342776595">
          <w:marLeft w:val="0"/>
          <w:marRight w:val="0"/>
          <w:marTop w:val="0"/>
          <w:marBottom w:val="0"/>
          <w:divBdr>
            <w:top w:val="none" w:sz="0" w:space="0" w:color="auto"/>
            <w:left w:val="none" w:sz="0" w:space="0" w:color="auto"/>
            <w:bottom w:val="none" w:sz="0" w:space="0" w:color="auto"/>
            <w:right w:val="none" w:sz="0" w:space="0" w:color="auto"/>
          </w:divBdr>
        </w:div>
        <w:div w:id="1485849139">
          <w:marLeft w:val="0"/>
          <w:marRight w:val="0"/>
          <w:marTop w:val="0"/>
          <w:marBottom w:val="0"/>
          <w:divBdr>
            <w:top w:val="none" w:sz="0" w:space="0" w:color="auto"/>
            <w:left w:val="none" w:sz="0" w:space="0" w:color="auto"/>
            <w:bottom w:val="none" w:sz="0" w:space="0" w:color="auto"/>
            <w:right w:val="none" w:sz="0" w:space="0" w:color="auto"/>
          </w:divBdr>
        </w:div>
        <w:div w:id="893661677">
          <w:marLeft w:val="0"/>
          <w:marRight w:val="0"/>
          <w:marTop w:val="0"/>
          <w:marBottom w:val="0"/>
          <w:divBdr>
            <w:top w:val="none" w:sz="0" w:space="0" w:color="auto"/>
            <w:left w:val="none" w:sz="0" w:space="0" w:color="auto"/>
            <w:bottom w:val="none" w:sz="0" w:space="0" w:color="auto"/>
            <w:right w:val="none" w:sz="0" w:space="0" w:color="auto"/>
          </w:divBdr>
        </w:div>
        <w:div w:id="1694913355">
          <w:marLeft w:val="0"/>
          <w:marRight w:val="0"/>
          <w:marTop w:val="0"/>
          <w:marBottom w:val="0"/>
          <w:divBdr>
            <w:top w:val="none" w:sz="0" w:space="0" w:color="auto"/>
            <w:left w:val="none" w:sz="0" w:space="0" w:color="auto"/>
            <w:bottom w:val="none" w:sz="0" w:space="0" w:color="auto"/>
            <w:right w:val="none" w:sz="0" w:space="0" w:color="auto"/>
          </w:divBdr>
        </w:div>
        <w:div w:id="287972432">
          <w:marLeft w:val="0"/>
          <w:marRight w:val="0"/>
          <w:marTop w:val="0"/>
          <w:marBottom w:val="0"/>
          <w:divBdr>
            <w:top w:val="none" w:sz="0" w:space="0" w:color="auto"/>
            <w:left w:val="none" w:sz="0" w:space="0" w:color="auto"/>
            <w:bottom w:val="none" w:sz="0" w:space="0" w:color="auto"/>
            <w:right w:val="none" w:sz="0" w:space="0" w:color="auto"/>
          </w:divBdr>
        </w:div>
        <w:div w:id="743844545">
          <w:marLeft w:val="0"/>
          <w:marRight w:val="0"/>
          <w:marTop w:val="0"/>
          <w:marBottom w:val="0"/>
          <w:divBdr>
            <w:top w:val="none" w:sz="0" w:space="0" w:color="auto"/>
            <w:left w:val="none" w:sz="0" w:space="0" w:color="auto"/>
            <w:bottom w:val="none" w:sz="0" w:space="0" w:color="auto"/>
            <w:right w:val="none" w:sz="0" w:space="0" w:color="auto"/>
          </w:divBdr>
        </w:div>
        <w:div w:id="1350375856">
          <w:marLeft w:val="0"/>
          <w:marRight w:val="0"/>
          <w:marTop w:val="0"/>
          <w:marBottom w:val="0"/>
          <w:divBdr>
            <w:top w:val="none" w:sz="0" w:space="0" w:color="auto"/>
            <w:left w:val="none" w:sz="0" w:space="0" w:color="auto"/>
            <w:bottom w:val="none" w:sz="0" w:space="0" w:color="auto"/>
            <w:right w:val="none" w:sz="0" w:space="0" w:color="auto"/>
          </w:divBdr>
        </w:div>
        <w:div w:id="2056540032">
          <w:marLeft w:val="0"/>
          <w:marRight w:val="0"/>
          <w:marTop w:val="0"/>
          <w:marBottom w:val="0"/>
          <w:divBdr>
            <w:top w:val="none" w:sz="0" w:space="0" w:color="auto"/>
            <w:left w:val="none" w:sz="0" w:space="0" w:color="auto"/>
            <w:bottom w:val="none" w:sz="0" w:space="0" w:color="auto"/>
            <w:right w:val="none" w:sz="0" w:space="0" w:color="auto"/>
          </w:divBdr>
        </w:div>
        <w:div w:id="294720203">
          <w:marLeft w:val="0"/>
          <w:marRight w:val="0"/>
          <w:marTop w:val="0"/>
          <w:marBottom w:val="0"/>
          <w:divBdr>
            <w:top w:val="none" w:sz="0" w:space="0" w:color="auto"/>
            <w:left w:val="none" w:sz="0" w:space="0" w:color="auto"/>
            <w:bottom w:val="none" w:sz="0" w:space="0" w:color="auto"/>
            <w:right w:val="none" w:sz="0" w:space="0" w:color="auto"/>
          </w:divBdr>
        </w:div>
        <w:div w:id="143621640">
          <w:marLeft w:val="0"/>
          <w:marRight w:val="0"/>
          <w:marTop w:val="0"/>
          <w:marBottom w:val="0"/>
          <w:divBdr>
            <w:top w:val="none" w:sz="0" w:space="0" w:color="auto"/>
            <w:left w:val="none" w:sz="0" w:space="0" w:color="auto"/>
            <w:bottom w:val="none" w:sz="0" w:space="0" w:color="auto"/>
            <w:right w:val="none" w:sz="0" w:space="0" w:color="auto"/>
          </w:divBdr>
        </w:div>
        <w:div w:id="753550004">
          <w:marLeft w:val="0"/>
          <w:marRight w:val="0"/>
          <w:marTop w:val="0"/>
          <w:marBottom w:val="0"/>
          <w:divBdr>
            <w:top w:val="none" w:sz="0" w:space="0" w:color="auto"/>
            <w:left w:val="none" w:sz="0" w:space="0" w:color="auto"/>
            <w:bottom w:val="none" w:sz="0" w:space="0" w:color="auto"/>
            <w:right w:val="none" w:sz="0" w:space="0" w:color="auto"/>
          </w:divBdr>
        </w:div>
        <w:div w:id="422652170">
          <w:marLeft w:val="0"/>
          <w:marRight w:val="0"/>
          <w:marTop w:val="0"/>
          <w:marBottom w:val="0"/>
          <w:divBdr>
            <w:top w:val="none" w:sz="0" w:space="0" w:color="auto"/>
            <w:left w:val="none" w:sz="0" w:space="0" w:color="auto"/>
            <w:bottom w:val="none" w:sz="0" w:space="0" w:color="auto"/>
            <w:right w:val="none" w:sz="0" w:space="0" w:color="auto"/>
          </w:divBdr>
        </w:div>
        <w:div w:id="1856118236">
          <w:marLeft w:val="0"/>
          <w:marRight w:val="0"/>
          <w:marTop w:val="0"/>
          <w:marBottom w:val="0"/>
          <w:divBdr>
            <w:top w:val="none" w:sz="0" w:space="0" w:color="auto"/>
            <w:left w:val="none" w:sz="0" w:space="0" w:color="auto"/>
            <w:bottom w:val="none" w:sz="0" w:space="0" w:color="auto"/>
            <w:right w:val="none" w:sz="0" w:space="0" w:color="auto"/>
          </w:divBdr>
        </w:div>
        <w:div w:id="186142822">
          <w:marLeft w:val="0"/>
          <w:marRight w:val="0"/>
          <w:marTop w:val="0"/>
          <w:marBottom w:val="0"/>
          <w:divBdr>
            <w:top w:val="none" w:sz="0" w:space="0" w:color="auto"/>
            <w:left w:val="none" w:sz="0" w:space="0" w:color="auto"/>
            <w:bottom w:val="none" w:sz="0" w:space="0" w:color="auto"/>
            <w:right w:val="none" w:sz="0" w:space="0" w:color="auto"/>
          </w:divBdr>
        </w:div>
        <w:div w:id="1983653262">
          <w:marLeft w:val="0"/>
          <w:marRight w:val="0"/>
          <w:marTop w:val="0"/>
          <w:marBottom w:val="0"/>
          <w:divBdr>
            <w:top w:val="none" w:sz="0" w:space="0" w:color="auto"/>
            <w:left w:val="none" w:sz="0" w:space="0" w:color="auto"/>
            <w:bottom w:val="none" w:sz="0" w:space="0" w:color="auto"/>
            <w:right w:val="none" w:sz="0" w:space="0" w:color="auto"/>
          </w:divBdr>
        </w:div>
        <w:div w:id="981039849">
          <w:marLeft w:val="0"/>
          <w:marRight w:val="0"/>
          <w:marTop w:val="0"/>
          <w:marBottom w:val="0"/>
          <w:divBdr>
            <w:top w:val="none" w:sz="0" w:space="0" w:color="auto"/>
            <w:left w:val="none" w:sz="0" w:space="0" w:color="auto"/>
            <w:bottom w:val="none" w:sz="0" w:space="0" w:color="auto"/>
            <w:right w:val="none" w:sz="0" w:space="0" w:color="auto"/>
          </w:divBdr>
        </w:div>
        <w:div w:id="1792699220">
          <w:marLeft w:val="0"/>
          <w:marRight w:val="0"/>
          <w:marTop w:val="0"/>
          <w:marBottom w:val="0"/>
          <w:divBdr>
            <w:top w:val="none" w:sz="0" w:space="0" w:color="auto"/>
            <w:left w:val="none" w:sz="0" w:space="0" w:color="auto"/>
            <w:bottom w:val="none" w:sz="0" w:space="0" w:color="auto"/>
            <w:right w:val="none" w:sz="0" w:space="0" w:color="auto"/>
          </w:divBdr>
        </w:div>
        <w:div w:id="602109530">
          <w:marLeft w:val="0"/>
          <w:marRight w:val="0"/>
          <w:marTop w:val="0"/>
          <w:marBottom w:val="0"/>
          <w:divBdr>
            <w:top w:val="none" w:sz="0" w:space="0" w:color="auto"/>
            <w:left w:val="none" w:sz="0" w:space="0" w:color="auto"/>
            <w:bottom w:val="none" w:sz="0" w:space="0" w:color="auto"/>
            <w:right w:val="none" w:sz="0" w:space="0" w:color="auto"/>
          </w:divBdr>
        </w:div>
        <w:div w:id="2077050068">
          <w:marLeft w:val="0"/>
          <w:marRight w:val="0"/>
          <w:marTop w:val="0"/>
          <w:marBottom w:val="0"/>
          <w:divBdr>
            <w:top w:val="none" w:sz="0" w:space="0" w:color="auto"/>
            <w:left w:val="none" w:sz="0" w:space="0" w:color="auto"/>
            <w:bottom w:val="none" w:sz="0" w:space="0" w:color="auto"/>
            <w:right w:val="none" w:sz="0" w:space="0" w:color="auto"/>
          </w:divBdr>
        </w:div>
        <w:div w:id="473068379">
          <w:marLeft w:val="0"/>
          <w:marRight w:val="0"/>
          <w:marTop w:val="0"/>
          <w:marBottom w:val="0"/>
          <w:divBdr>
            <w:top w:val="none" w:sz="0" w:space="0" w:color="auto"/>
            <w:left w:val="none" w:sz="0" w:space="0" w:color="auto"/>
            <w:bottom w:val="none" w:sz="0" w:space="0" w:color="auto"/>
            <w:right w:val="none" w:sz="0" w:space="0" w:color="auto"/>
          </w:divBdr>
        </w:div>
        <w:div w:id="240606175">
          <w:marLeft w:val="0"/>
          <w:marRight w:val="0"/>
          <w:marTop w:val="0"/>
          <w:marBottom w:val="0"/>
          <w:divBdr>
            <w:top w:val="none" w:sz="0" w:space="0" w:color="auto"/>
            <w:left w:val="none" w:sz="0" w:space="0" w:color="auto"/>
            <w:bottom w:val="none" w:sz="0" w:space="0" w:color="auto"/>
            <w:right w:val="none" w:sz="0" w:space="0" w:color="auto"/>
          </w:divBdr>
        </w:div>
        <w:div w:id="251624134">
          <w:marLeft w:val="0"/>
          <w:marRight w:val="0"/>
          <w:marTop w:val="0"/>
          <w:marBottom w:val="0"/>
          <w:divBdr>
            <w:top w:val="none" w:sz="0" w:space="0" w:color="auto"/>
            <w:left w:val="none" w:sz="0" w:space="0" w:color="auto"/>
            <w:bottom w:val="none" w:sz="0" w:space="0" w:color="auto"/>
            <w:right w:val="none" w:sz="0" w:space="0" w:color="auto"/>
          </w:divBdr>
        </w:div>
        <w:div w:id="805124384">
          <w:marLeft w:val="0"/>
          <w:marRight w:val="0"/>
          <w:marTop w:val="0"/>
          <w:marBottom w:val="0"/>
          <w:divBdr>
            <w:top w:val="none" w:sz="0" w:space="0" w:color="auto"/>
            <w:left w:val="none" w:sz="0" w:space="0" w:color="auto"/>
            <w:bottom w:val="none" w:sz="0" w:space="0" w:color="auto"/>
            <w:right w:val="none" w:sz="0" w:space="0" w:color="auto"/>
          </w:divBdr>
        </w:div>
        <w:div w:id="550502594">
          <w:marLeft w:val="0"/>
          <w:marRight w:val="0"/>
          <w:marTop w:val="0"/>
          <w:marBottom w:val="0"/>
          <w:divBdr>
            <w:top w:val="none" w:sz="0" w:space="0" w:color="auto"/>
            <w:left w:val="none" w:sz="0" w:space="0" w:color="auto"/>
            <w:bottom w:val="none" w:sz="0" w:space="0" w:color="auto"/>
            <w:right w:val="none" w:sz="0" w:space="0" w:color="auto"/>
          </w:divBdr>
        </w:div>
        <w:div w:id="363404511">
          <w:marLeft w:val="0"/>
          <w:marRight w:val="0"/>
          <w:marTop w:val="0"/>
          <w:marBottom w:val="0"/>
          <w:divBdr>
            <w:top w:val="none" w:sz="0" w:space="0" w:color="auto"/>
            <w:left w:val="none" w:sz="0" w:space="0" w:color="auto"/>
            <w:bottom w:val="none" w:sz="0" w:space="0" w:color="auto"/>
            <w:right w:val="none" w:sz="0" w:space="0" w:color="auto"/>
          </w:divBdr>
        </w:div>
        <w:div w:id="978412854">
          <w:marLeft w:val="0"/>
          <w:marRight w:val="0"/>
          <w:marTop w:val="0"/>
          <w:marBottom w:val="0"/>
          <w:divBdr>
            <w:top w:val="none" w:sz="0" w:space="0" w:color="auto"/>
            <w:left w:val="none" w:sz="0" w:space="0" w:color="auto"/>
            <w:bottom w:val="none" w:sz="0" w:space="0" w:color="auto"/>
            <w:right w:val="none" w:sz="0" w:space="0" w:color="auto"/>
          </w:divBdr>
        </w:div>
        <w:div w:id="1729645657">
          <w:marLeft w:val="0"/>
          <w:marRight w:val="0"/>
          <w:marTop w:val="0"/>
          <w:marBottom w:val="0"/>
          <w:divBdr>
            <w:top w:val="none" w:sz="0" w:space="0" w:color="auto"/>
            <w:left w:val="none" w:sz="0" w:space="0" w:color="auto"/>
            <w:bottom w:val="none" w:sz="0" w:space="0" w:color="auto"/>
            <w:right w:val="none" w:sz="0" w:space="0" w:color="auto"/>
          </w:divBdr>
        </w:div>
        <w:div w:id="217672867">
          <w:marLeft w:val="0"/>
          <w:marRight w:val="0"/>
          <w:marTop w:val="0"/>
          <w:marBottom w:val="0"/>
          <w:divBdr>
            <w:top w:val="none" w:sz="0" w:space="0" w:color="auto"/>
            <w:left w:val="none" w:sz="0" w:space="0" w:color="auto"/>
            <w:bottom w:val="none" w:sz="0" w:space="0" w:color="auto"/>
            <w:right w:val="none" w:sz="0" w:space="0" w:color="auto"/>
          </w:divBdr>
        </w:div>
        <w:div w:id="1175458604">
          <w:marLeft w:val="0"/>
          <w:marRight w:val="0"/>
          <w:marTop w:val="0"/>
          <w:marBottom w:val="0"/>
          <w:divBdr>
            <w:top w:val="none" w:sz="0" w:space="0" w:color="auto"/>
            <w:left w:val="none" w:sz="0" w:space="0" w:color="auto"/>
            <w:bottom w:val="none" w:sz="0" w:space="0" w:color="auto"/>
            <w:right w:val="none" w:sz="0" w:space="0" w:color="auto"/>
          </w:divBdr>
        </w:div>
        <w:div w:id="209655304">
          <w:marLeft w:val="0"/>
          <w:marRight w:val="0"/>
          <w:marTop w:val="0"/>
          <w:marBottom w:val="0"/>
          <w:divBdr>
            <w:top w:val="none" w:sz="0" w:space="0" w:color="auto"/>
            <w:left w:val="none" w:sz="0" w:space="0" w:color="auto"/>
            <w:bottom w:val="none" w:sz="0" w:space="0" w:color="auto"/>
            <w:right w:val="none" w:sz="0" w:space="0" w:color="auto"/>
          </w:divBdr>
        </w:div>
        <w:div w:id="1280647919">
          <w:marLeft w:val="0"/>
          <w:marRight w:val="0"/>
          <w:marTop w:val="0"/>
          <w:marBottom w:val="0"/>
          <w:divBdr>
            <w:top w:val="none" w:sz="0" w:space="0" w:color="auto"/>
            <w:left w:val="none" w:sz="0" w:space="0" w:color="auto"/>
            <w:bottom w:val="none" w:sz="0" w:space="0" w:color="auto"/>
            <w:right w:val="none" w:sz="0" w:space="0" w:color="auto"/>
          </w:divBdr>
        </w:div>
        <w:div w:id="964777355">
          <w:marLeft w:val="0"/>
          <w:marRight w:val="0"/>
          <w:marTop w:val="0"/>
          <w:marBottom w:val="0"/>
          <w:divBdr>
            <w:top w:val="none" w:sz="0" w:space="0" w:color="auto"/>
            <w:left w:val="none" w:sz="0" w:space="0" w:color="auto"/>
            <w:bottom w:val="none" w:sz="0" w:space="0" w:color="auto"/>
            <w:right w:val="none" w:sz="0" w:space="0" w:color="auto"/>
          </w:divBdr>
        </w:div>
        <w:div w:id="1529679249">
          <w:marLeft w:val="0"/>
          <w:marRight w:val="0"/>
          <w:marTop w:val="0"/>
          <w:marBottom w:val="0"/>
          <w:divBdr>
            <w:top w:val="none" w:sz="0" w:space="0" w:color="auto"/>
            <w:left w:val="none" w:sz="0" w:space="0" w:color="auto"/>
            <w:bottom w:val="none" w:sz="0" w:space="0" w:color="auto"/>
            <w:right w:val="none" w:sz="0" w:space="0" w:color="auto"/>
          </w:divBdr>
        </w:div>
        <w:div w:id="171379988">
          <w:marLeft w:val="0"/>
          <w:marRight w:val="0"/>
          <w:marTop w:val="0"/>
          <w:marBottom w:val="0"/>
          <w:divBdr>
            <w:top w:val="none" w:sz="0" w:space="0" w:color="auto"/>
            <w:left w:val="none" w:sz="0" w:space="0" w:color="auto"/>
            <w:bottom w:val="none" w:sz="0" w:space="0" w:color="auto"/>
            <w:right w:val="none" w:sz="0" w:space="0" w:color="auto"/>
          </w:divBdr>
        </w:div>
        <w:div w:id="1044209805">
          <w:marLeft w:val="0"/>
          <w:marRight w:val="0"/>
          <w:marTop w:val="0"/>
          <w:marBottom w:val="0"/>
          <w:divBdr>
            <w:top w:val="none" w:sz="0" w:space="0" w:color="auto"/>
            <w:left w:val="none" w:sz="0" w:space="0" w:color="auto"/>
            <w:bottom w:val="none" w:sz="0" w:space="0" w:color="auto"/>
            <w:right w:val="none" w:sz="0" w:space="0" w:color="auto"/>
          </w:divBdr>
        </w:div>
        <w:div w:id="943152072">
          <w:marLeft w:val="0"/>
          <w:marRight w:val="0"/>
          <w:marTop w:val="0"/>
          <w:marBottom w:val="0"/>
          <w:divBdr>
            <w:top w:val="none" w:sz="0" w:space="0" w:color="auto"/>
            <w:left w:val="none" w:sz="0" w:space="0" w:color="auto"/>
            <w:bottom w:val="none" w:sz="0" w:space="0" w:color="auto"/>
            <w:right w:val="none" w:sz="0" w:space="0" w:color="auto"/>
          </w:divBdr>
        </w:div>
        <w:div w:id="756052234">
          <w:marLeft w:val="0"/>
          <w:marRight w:val="0"/>
          <w:marTop w:val="0"/>
          <w:marBottom w:val="0"/>
          <w:divBdr>
            <w:top w:val="none" w:sz="0" w:space="0" w:color="auto"/>
            <w:left w:val="none" w:sz="0" w:space="0" w:color="auto"/>
            <w:bottom w:val="none" w:sz="0" w:space="0" w:color="auto"/>
            <w:right w:val="none" w:sz="0" w:space="0" w:color="auto"/>
          </w:divBdr>
        </w:div>
        <w:div w:id="879130250">
          <w:marLeft w:val="0"/>
          <w:marRight w:val="0"/>
          <w:marTop w:val="0"/>
          <w:marBottom w:val="0"/>
          <w:divBdr>
            <w:top w:val="none" w:sz="0" w:space="0" w:color="auto"/>
            <w:left w:val="none" w:sz="0" w:space="0" w:color="auto"/>
            <w:bottom w:val="none" w:sz="0" w:space="0" w:color="auto"/>
            <w:right w:val="none" w:sz="0" w:space="0" w:color="auto"/>
          </w:divBdr>
        </w:div>
        <w:div w:id="1001392145">
          <w:marLeft w:val="0"/>
          <w:marRight w:val="0"/>
          <w:marTop w:val="0"/>
          <w:marBottom w:val="0"/>
          <w:divBdr>
            <w:top w:val="none" w:sz="0" w:space="0" w:color="auto"/>
            <w:left w:val="none" w:sz="0" w:space="0" w:color="auto"/>
            <w:bottom w:val="none" w:sz="0" w:space="0" w:color="auto"/>
            <w:right w:val="none" w:sz="0" w:space="0" w:color="auto"/>
          </w:divBdr>
        </w:div>
        <w:div w:id="1846747445">
          <w:marLeft w:val="0"/>
          <w:marRight w:val="0"/>
          <w:marTop w:val="0"/>
          <w:marBottom w:val="0"/>
          <w:divBdr>
            <w:top w:val="none" w:sz="0" w:space="0" w:color="auto"/>
            <w:left w:val="none" w:sz="0" w:space="0" w:color="auto"/>
            <w:bottom w:val="none" w:sz="0" w:space="0" w:color="auto"/>
            <w:right w:val="none" w:sz="0" w:space="0" w:color="auto"/>
          </w:divBdr>
        </w:div>
        <w:div w:id="10835680">
          <w:marLeft w:val="0"/>
          <w:marRight w:val="0"/>
          <w:marTop w:val="0"/>
          <w:marBottom w:val="0"/>
          <w:divBdr>
            <w:top w:val="none" w:sz="0" w:space="0" w:color="auto"/>
            <w:left w:val="none" w:sz="0" w:space="0" w:color="auto"/>
            <w:bottom w:val="none" w:sz="0" w:space="0" w:color="auto"/>
            <w:right w:val="none" w:sz="0" w:space="0" w:color="auto"/>
          </w:divBdr>
        </w:div>
        <w:div w:id="1663046365">
          <w:marLeft w:val="0"/>
          <w:marRight w:val="0"/>
          <w:marTop w:val="0"/>
          <w:marBottom w:val="0"/>
          <w:divBdr>
            <w:top w:val="none" w:sz="0" w:space="0" w:color="auto"/>
            <w:left w:val="none" w:sz="0" w:space="0" w:color="auto"/>
            <w:bottom w:val="none" w:sz="0" w:space="0" w:color="auto"/>
            <w:right w:val="none" w:sz="0" w:space="0" w:color="auto"/>
          </w:divBdr>
        </w:div>
        <w:div w:id="904415533">
          <w:marLeft w:val="0"/>
          <w:marRight w:val="0"/>
          <w:marTop w:val="0"/>
          <w:marBottom w:val="0"/>
          <w:divBdr>
            <w:top w:val="none" w:sz="0" w:space="0" w:color="auto"/>
            <w:left w:val="none" w:sz="0" w:space="0" w:color="auto"/>
            <w:bottom w:val="none" w:sz="0" w:space="0" w:color="auto"/>
            <w:right w:val="none" w:sz="0" w:space="0" w:color="auto"/>
          </w:divBdr>
        </w:div>
        <w:div w:id="1823160553">
          <w:marLeft w:val="0"/>
          <w:marRight w:val="0"/>
          <w:marTop w:val="0"/>
          <w:marBottom w:val="0"/>
          <w:divBdr>
            <w:top w:val="none" w:sz="0" w:space="0" w:color="auto"/>
            <w:left w:val="none" w:sz="0" w:space="0" w:color="auto"/>
            <w:bottom w:val="none" w:sz="0" w:space="0" w:color="auto"/>
            <w:right w:val="none" w:sz="0" w:space="0" w:color="auto"/>
          </w:divBdr>
        </w:div>
        <w:div w:id="1552155741">
          <w:marLeft w:val="0"/>
          <w:marRight w:val="0"/>
          <w:marTop w:val="0"/>
          <w:marBottom w:val="0"/>
          <w:divBdr>
            <w:top w:val="none" w:sz="0" w:space="0" w:color="auto"/>
            <w:left w:val="none" w:sz="0" w:space="0" w:color="auto"/>
            <w:bottom w:val="none" w:sz="0" w:space="0" w:color="auto"/>
            <w:right w:val="none" w:sz="0" w:space="0" w:color="auto"/>
          </w:divBdr>
        </w:div>
        <w:div w:id="1782216480">
          <w:marLeft w:val="0"/>
          <w:marRight w:val="0"/>
          <w:marTop w:val="0"/>
          <w:marBottom w:val="0"/>
          <w:divBdr>
            <w:top w:val="none" w:sz="0" w:space="0" w:color="auto"/>
            <w:left w:val="none" w:sz="0" w:space="0" w:color="auto"/>
            <w:bottom w:val="none" w:sz="0" w:space="0" w:color="auto"/>
            <w:right w:val="none" w:sz="0" w:space="0" w:color="auto"/>
          </w:divBdr>
        </w:div>
        <w:div w:id="1124420938">
          <w:marLeft w:val="0"/>
          <w:marRight w:val="0"/>
          <w:marTop w:val="0"/>
          <w:marBottom w:val="0"/>
          <w:divBdr>
            <w:top w:val="none" w:sz="0" w:space="0" w:color="auto"/>
            <w:left w:val="none" w:sz="0" w:space="0" w:color="auto"/>
            <w:bottom w:val="none" w:sz="0" w:space="0" w:color="auto"/>
            <w:right w:val="none" w:sz="0" w:space="0" w:color="auto"/>
          </w:divBdr>
        </w:div>
        <w:div w:id="580911703">
          <w:marLeft w:val="0"/>
          <w:marRight w:val="0"/>
          <w:marTop w:val="0"/>
          <w:marBottom w:val="0"/>
          <w:divBdr>
            <w:top w:val="none" w:sz="0" w:space="0" w:color="auto"/>
            <w:left w:val="none" w:sz="0" w:space="0" w:color="auto"/>
            <w:bottom w:val="none" w:sz="0" w:space="0" w:color="auto"/>
            <w:right w:val="none" w:sz="0" w:space="0" w:color="auto"/>
          </w:divBdr>
        </w:div>
        <w:div w:id="1309825119">
          <w:marLeft w:val="0"/>
          <w:marRight w:val="0"/>
          <w:marTop w:val="0"/>
          <w:marBottom w:val="0"/>
          <w:divBdr>
            <w:top w:val="none" w:sz="0" w:space="0" w:color="auto"/>
            <w:left w:val="none" w:sz="0" w:space="0" w:color="auto"/>
            <w:bottom w:val="none" w:sz="0" w:space="0" w:color="auto"/>
            <w:right w:val="none" w:sz="0" w:space="0" w:color="auto"/>
          </w:divBdr>
        </w:div>
        <w:div w:id="1456603245">
          <w:marLeft w:val="0"/>
          <w:marRight w:val="0"/>
          <w:marTop w:val="0"/>
          <w:marBottom w:val="0"/>
          <w:divBdr>
            <w:top w:val="none" w:sz="0" w:space="0" w:color="auto"/>
            <w:left w:val="none" w:sz="0" w:space="0" w:color="auto"/>
            <w:bottom w:val="none" w:sz="0" w:space="0" w:color="auto"/>
            <w:right w:val="none" w:sz="0" w:space="0" w:color="auto"/>
          </w:divBdr>
        </w:div>
        <w:div w:id="1468470867">
          <w:marLeft w:val="0"/>
          <w:marRight w:val="0"/>
          <w:marTop w:val="0"/>
          <w:marBottom w:val="0"/>
          <w:divBdr>
            <w:top w:val="none" w:sz="0" w:space="0" w:color="auto"/>
            <w:left w:val="none" w:sz="0" w:space="0" w:color="auto"/>
            <w:bottom w:val="none" w:sz="0" w:space="0" w:color="auto"/>
            <w:right w:val="none" w:sz="0" w:space="0" w:color="auto"/>
          </w:divBdr>
        </w:div>
        <w:div w:id="1860197423">
          <w:marLeft w:val="0"/>
          <w:marRight w:val="0"/>
          <w:marTop w:val="0"/>
          <w:marBottom w:val="0"/>
          <w:divBdr>
            <w:top w:val="none" w:sz="0" w:space="0" w:color="auto"/>
            <w:left w:val="none" w:sz="0" w:space="0" w:color="auto"/>
            <w:bottom w:val="none" w:sz="0" w:space="0" w:color="auto"/>
            <w:right w:val="none" w:sz="0" w:space="0" w:color="auto"/>
          </w:divBdr>
        </w:div>
        <w:div w:id="527837090">
          <w:marLeft w:val="0"/>
          <w:marRight w:val="0"/>
          <w:marTop w:val="0"/>
          <w:marBottom w:val="0"/>
          <w:divBdr>
            <w:top w:val="none" w:sz="0" w:space="0" w:color="auto"/>
            <w:left w:val="none" w:sz="0" w:space="0" w:color="auto"/>
            <w:bottom w:val="none" w:sz="0" w:space="0" w:color="auto"/>
            <w:right w:val="none" w:sz="0" w:space="0" w:color="auto"/>
          </w:divBdr>
        </w:div>
        <w:div w:id="2114785319">
          <w:marLeft w:val="0"/>
          <w:marRight w:val="0"/>
          <w:marTop w:val="0"/>
          <w:marBottom w:val="0"/>
          <w:divBdr>
            <w:top w:val="none" w:sz="0" w:space="0" w:color="auto"/>
            <w:left w:val="none" w:sz="0" w:space="0" w:color="auto"/>
            <w:bottom w:val="none" w:sz="0" w:space="0" w:color="auto"/>
            <w:right w:val="none" w:sz="0" w:space="0" w:color="auto"/>
          </w:divBdr>
        </w:div>
        <w:div w:id="889995769">
          <w:marLeft w:val="0"/>
          <w:marRight w:val="0"/>
          <w:marTop w:val="0"/>
          <w:marBottom w:val="0"/>
          <w:divBdr>
            <w:top w:val="none" w:sz="0" w:space="0" w:color="auto"/>
            <w:left w:val="none" w:sz="0" w:space="0" w:color="auto"/>
            <w:bottom w:val="none" w:sz="0" w:space="0" w:color="auto"/>
            <w:right w:val="none" w:sz="0" w:space="0" w:color="auto"/>
          </w:divBdr>
        </w:div>
        <w:div w:id="383259030">
          <w:marLeft w:val="0"/>
          <w:marRight w:val="0"/>
          <w:marTop w:val="0"/>
          <w:marBottom w:val="0"/>
          <w:divBdr>
            <w:top w:val="none" w:sz="0" w:space="0" w:color="auto"/>
            <w:left w:val="none" w:sz="0" w:space="0" w:color="auto"/>
            <w:bottom w:val="none" w:sz="0" w:space="0" w:color="auto"/>
            <w:right w:val="none" w:sz="0" w:space="0" w:color="auto"/>
          </w:divBdr>
        </w:div>
        <w:div w:id="979532515">
          <w:marLeft w:val="0"/>
          <w:marRight w:val="0"/>
          <w:marTop w:val="0"/>
          <w:marBottom w:val="0"/>
          <w:divBdr>
            <w:top w:val="none" w:sz="0" w:space="0" w:color="auto"/>
            <w:left w:val="none" w:sz="0" w:space="0" w:color="auto"/>
            <w:bottom w:val="none" w:sz="0" w:space="0" w:color="auto"/>
            <w:right w:val="none" w:sz="0" w:space="0" w:color="auto"/>
          </w:divBdr>
        </w:div>
        <w:div w:id="2133984720">
          <w:marLeft w:val="0"/>
          <w:marRight w:val="0"/>
          <w:marTop w:val="0"/>
          <w:marBottom w:val="0"/>
          <w:divBdr>
            <w:top w:val="none" w:sz="0" w:space="0" w:color="auto"/>
            <w:left w:val="none" w:sz="0" w:space="0" w:color="auto"/>
            <w:bottom w:val="none" w:sz="0" w:space="0" w:color="auto"/>
            <w:right w:val="none" w:sz="0" w:space="0" w:color="auto"/>
          </w:divBdr>
        </w:div>
        <w:div w:id="1974943395">
          <w:marLeft w:val="0"/>
          <w:marRight w:val="0"/>
          <w:marTop w:val="0"/>
          <w:marBottom w:val="0"/>
          <w:divBdr>
            <w:top w:val="none" w:sz="0" w:space="0" w:color="auto"/>
            <w:left w:val="none" w:sz="0" w:space="0" w:color="auto"/>
            <w:bottom w:val="none" w:sz="0" w:space="0" w:color="auto"/>
            <w:right w:val="none" w:sz="0" w:space="0" w:color="auto"/>
          </w:divBdr>
        </w:div>
        <w:div w:id="2139641027">
          <w:marLeft w:val="0"/>
          <w:marRight w:val="0"/>
          <w:marTop w:val="0"/>
          <w:marBottom w:val="0"/>
          <w:divBdr>
            <w:top w:val="none" w:sz="0" w:space="0" w:color="auto"/>
            <w:left w:val="none" w:sz="0" w:space="0" w:color="auto"/>
            <w:bottom w:val="none" w:sz="0" w:space="0" w:color="auto"/>
            <w:right w:val="none" w:sz="0" w:space="0" w:color="auto"/>
          </w:divBdr>
        </w:div>
        <w:div w:id="1261523845">
          <w:marLeft w:val="0"/>
          <w:marRight w:val="0"/>
          <w:marTop w:val="0"/>
          <w:marBottom w:val="0"/>
          <w:divBdr>
            <w:top w:val="none" w:sz="0" w:space="0" w:color="auto"/>
            <w:left w:val="none" w:sz="0" w:space="0" w:color="auto"/>
            <w:bottom w:val="none" w:sz="0" w:space="0" w:color="auto"/>
            <w:right w:val="none" w:sz="0" w:space="0" w:color="auto"/>
          </w:divBdr>
        </w:div>
        <w:div w:id="688485558">
          <w:marLeft w:val="0"/>
          <w:marRight w:val="0"/>
          <w:marTop w:val="0"/>
          <w:marBottom w:val="0"/>
          <w:divBdr>
            <w:top w:val="none" w:sz="0" w:space="0" w:color="auto"/>
            <w:left w:val="none" w:sz="0" w:space="0" w:color="auto"/>
            <w:bottom w:val="none" w:sz="0" w:space="0" w:color="auto"/>
            <w:right w:val="none" w:sz="0" w:space="0" w:color="auto"/>
          </w:divBdr>
        </w:div>
        <w:div w:id="295062562">
          <w:marLeft w:val="0"/>
          <w:marRight w:val="0"/>
          <w:marTop w:val="0"/>
          <w:marBottom w:val="0"/>
          <w:divBdr>
            <w:top w:val="none" w:sz="0" w:space="0" w:color="auto"/>
            <w:left w:val="none" w:sz="0" w:space="0" w:color="auto"/>
            <w:bottom w:val="none" w:sz="0" w:space="0" w:color="auto"/>
            <w:right w:val="none" w:sz="0" w:space="0" w:color="auto"/>
          </w:divBdr>
        </w:div>
        <w:div w:id="1488208184">
          <w:marLeft w:val="0"/>
          <w:marRight w:val="0"/>
          <w:marTop w:val="0"/>
          <w:marBottom w:val="0"/>
          <w:divBdr>
            <w:top w:val="none" w:sz="0" w:space="0" w:color="auto"/>
            <w:left w:val="none" w:sz="0" w:space="0" w:color="auto"/>
            <w:bottom w:val="none" w:sz="0" w:space="0" w:color="auto"/>
            <w:right w:val="none" w:sz="0" w:space="0" w:color="auto"/>
          </w:divBdr>
        </w:div>
        <w:div w:id="327440136">
          <w:marLeft w:val="0"/>
          <w:marRight w:val="0"/>
          <w:marTop w:val="0"/>
          <w:marBottom w:val="0"/>
          <w:divBdr>
            <w:top w:val="none" w:sz="0" w:space="0" w:color="auto"/>
            <w:left w:val="none" w:sz="0" w:space="0" w:color="auto"/>
            <w:bottom w:val="none" w:sz="0" w:space="0" w:color="auto"/>
            <w:right w:val="none" w:sz="0" w:space="0" w:color="auto"/>
          </w:divBdr>
        </w:div>
        <w:div w:id="1818182677">
          <w:marLeft w:val="0"/>
          <w:marRight w:val="0"/>
          <w:marTop w:val="0"/>
          <w:marBottom w:val="0"/>
          <w:divBdr>
            <w:top w:val="none" w:sz="0" w:space="0" w:color="auto"/>
            <w:left w:val="none" w:sz="0" w:space="0" w:color="auto"/>
            <w:bottom w:val="none" w:sz="0" w:space="0" w:color="auto"/>
            <w:right w:val="none" w:sz="0" w:space="0" w:color="auto"/>
          </w:divBdr>
        </w:div>
        <w:div w:id="1658268079">
          <w:marLeft w:val="0"/>
          <w:marRight w:val="0"/>
          <w:marTop w:val="0"/>
          <w:marBottom w:val="0"/>
          <w:divBdr>
            <w:top w:val="none" w:sz="0" w:space="0" w:color="auto"/>
            <w:left w:val="none" w:sz="0" w:space="0" w:color="auto"/>
            <w:bottom w:val="none" w:sz="0" w:space="0" w:color="auto"/>
            <w:right w:val="none" w:sz="0" w:space="0" w:color="auto"/>
          </w:divBdr>
        </w:div>
        <w:div w:id="812523056">
          <w:marLeft w:val="0"/>
          <w:marRight w:val="0"/>
          <w:marTop w:val="0"/>
          <w:marBottom w:val="0"/>
          <w:divBdr>
            <w:top w:val="none" w:sz="0" w:space="0" w:color="auto"/>
            <w:left w:val="none" w:sz="0" w:space="0" w:color="auto"/>
            <w:bottom w:val="none" w:sz="0" w:space="0" w:color="auto"/>
            <w:right w:val="none" w:sz="0" w:space="0" w:color="auto"/>
          </w:divBdr>
        </w:div>
        <w:div w:id="565917533">
          <w:marLeft w:val="0"/>
          <w:marRight w:val="0"/>
          <w:marTop w:val="0"/>
          <w:marBottom w:val="0"/>
          <w:divBdr>
            <w:top w:val="none" w:sz="0" w:space="0" w:color="auto"/>
            <w:left w:val="none" w:sz="0" w:space="0" w:color="auto"/>
            <w:bottom w:val="none" w:sz="0" w:space="0" w:color="auto"/>
            <w:right w:val="none" w:sz="0" w:space="0" w:color="auto"/>
          </w:divBdr>
        </w:div>
        <w:div w:id="2078628425">
          <w:marLeft w:val="0"/>
          <w:marRight w:val="0"/>
          <w:marTop w:val="0"/>
          <w:marBottom w:val="0"/>
          <w:divBdr>
            <w:top w:val="none" w:sz="0" w:space="0" w:color="auto"/>
            <w:left w:val="none" w:sz="0" w:space="0" w:color="auto"/>
            <w:bottom w:val="none" w:sz="0" w:space="0" w:color="auto"/>
            <w:right w:val="none" w:sz="0" w:space="0" w:color="auto"/>
          </w:divBdr>
        </w:div>
        <w:div w:id="990867547">
          <w:marLeft w:val="0"/>
          <w:marRight w:val="0"/>
          <w:marTop w:val="0"/>
          <w:marBottom w:val="0"/>
          <w:divBdr>
            <w:top w:val="none" w:sz="0" w:space="0" w:color="auto"/>
            <w:left w:val="none" w:sz="0" w:space="0" w:color="auto"/>
            <w:bottom w:val="none" w:sz="0" w:space="0" w:color="auto"/>
            <w:right w:val="none" w:sz="0" w:space="0" w:color="auto"/>
          </w:divBdr>
        </w:div>
        <w:div w:id="137264736">
          <w:marLeft w:val="0"/>
          <w:marRight w:val="0"/>
          <w:marTop w:val="0"/>
          <w:marBottom w:val="0"/>
          <w:divBdr>
            <w:top w:val="none" w:sz="0" w:space="0" w:color="auto"/>
            <w:left w:val="none" w:sz="0" w:space="0" w:color="auto"/>
            <w:bottom w:val="none" w:sz="0" w:space="0" w:color="auto"/>
            <w:right w:val="none" w:sz="0" w:space="0" w:color="auto"/>
          </w:divBdr>
        </w:div>
        <w:div w:id="1173686483">
          <w:marLeft w:val="0"/>
          <w:marRight w:val="0"/>
          <w:marTop w:val="0"/>
          <w:marBottom w:val="0"/>
          <w:divBdr>
            <w:top w:val="none" w:sz="0" w:space="0" w:color="auto"/>
            <w:left w:val="none" w:sz="0" w:space="0" w:color="auto"/>
            <w:bottom w:val="none" w:sz="0" w:space="0" w:color="auto"/>
            <w:right w:val="none" w:sz="0" w:space="0" w:color="auto"/>
          </w:divBdr>
        </w:div>
        <w:div w:id="96365976">
          <w:marLeft w:val="0"/>
          <w:marRight w:val="0"/>
          <w:marTop w:val="0"/>
          <w:marBottom w:val="0"/>
          <w:divBdr>
            <w:top w:val="none" w:sz="0" w:space="0" w:color="auto"/>
            <w:left w:val="none" w:sz="0" w:space="0" w:color="auto"/>
            <w:bottom w:val="none" w:sz="0" w:space="0" w:color="auto"/>
            <w:right w:val="none" w:sz="0" w:space="0" w:color="auto"/>
          </w:divBdr>
        </w:div>
        <w:div w:id="261039217">
          <w:marLeft w:val="0"/>
          <w:marRight w:val="0"/>
          <w:marTop w:val="0"/>
          <w:marBottom w:val="0"/>
          <w:divBdr>
            <w:top w:val="none" w:sz="0" w:space="0" w:color="auto"/>
            <w:left w:val="none" w:sz="0" w:space="0" w:color="auto"/>
            <w:bottom w:val="none" w:sz="0" w:space="0" w:color="auto"/>
            <w:right w:val="none" w:sz="0" w:space="0" w:color="auto"/>
          </w:divBdr>
        </w:div>
        <w:div w:id="85856664">
          <w:marLeft w:val="0"/>
          <w:marRight w:val="0"/>
          <w:marTop w:val="0"/>
          <w:marBottom w:val="0"/>
          <w:divBdr>
            <w:top w:val="none" w:sz="0" w:space="0" w:color="auto"/>
            <w:left w:val="none" w:sz="0" w:space="0" w:color="auto"/>
            <w:bottom w:val="none" w:sz="0" w:space="0" w:color="auto"/>
            <w:right w:val="none" w:sz="0" w:space="0" w:color="auto"/>
          </w:divBdr>
        </w:div>
        <w:div w:id="2059473727">
          <w:marLeft w:val="0"/>
          <w:marRight w:val="0"/>
          <w:marTop w:val="0"/>
          <w:marBottom w:val="0"/>
          <w:divBdr>
            <w:top w:val="none" w:sz="0" w:space="0" w:color="auto"/>
            <w:left w:val="none" w:sz="0" w:space="0" w:color="auto"/>
            <w:bottom w:val="none" w:sz="0" w:space="0" w:color="auto"/>
            <w:right w:val="none" w:sz="0" w:space="0" w:color="auto"/>
          </w:divBdr>
        </w:div>
        <w:div w:id="1800951137">
          <w:marLeft w:val="0"/>
          <w:marRight w:val="0"/>
          <w:marTop w:val="0"/>
          <w:marBottom w:val="0"/>
          <w:divBdr>
            <w:top w:val="none" w:sz="0" w:space="0" w:color="auto"/>
            <w:left w:val="none" w:sz="0" w:space="0" w:color="auto"/>
            <w:bottom w:val="none" w:sz="0" w:space="0" w:color="auto"/>
            <w:right w:val="none" w:sz="0" w:space="0" w:color="auto"/>
          </w:divBdr>
        </w:div>
        <w:div w:id="408575107">
          <w:marLeft w:val="0"/>
          <w:marRight w:val="0"/>
          <w:marTop w:val="0"/>
          <w:marBottom w:val="0"/>
          <w:divBdr>
            <w:top w:val="none" w:sz="0" w:space="0" w:color="auto"/>
            <w:left w:val="none" w:sz="0" w:space="0" w:color="auto"/>
            <w:bottom w:val="none" w:sz="0" w:space="0" w:color="auto"/>
            <w:right w:val="none" w:sz="0" w:space="0" w:color="auto"/>
          </w:divBdr>
        </w:div>
        <w:div w:id="798566889">
          <w:marLeft w:val="0"/>
          <w:marRight w:val="0"/>
          <w:marTop w:val="0"/>
          <w:marBottom w:val="0"/>
          <w:divBdr>
            <w:top w:val="none" w:sz="0" w:space="0" w:color="auto"/>
            <w:left w:val="none" w:sz="0" w:space="0" w:color="auto"/>
            <w:bottom w:val="none" w:sz="0" w:space="0" w:color="auto"/>
            <w:right w:val="none" w:sz="0" w:space="0" w:color="auto"/>
          </w:divBdr>
        </w:div>
        <w:div w:id="1611662703">
          <w:marLeft w:val="0"/>
          <w:marRight w:val="0"/>
          <w:marTop w:val="0"/>
          <w:marBottom w:val="0"/>
          <w:divBdr>
            <w:top w:val="none" w:sz="0" w:space="0" w:color="auto"/>
            <w:left w:val="none" w:sz="0" w:space="0" w:color="auto"/>
            <w:bottom w:val="none" w:sz="0" w:space="0" w:color="auto"/>
            <w:right w:val="none" w:sz="0" w:space="0" w:color="auto"/>
          </w:divBdr>
        </w:div>
        <w:div w:id="1012235">
          <w:marLeft w:val="0"/>
          <w:marRight w:val="0"/>
          <w:marTop w:val="0"/>
          <w:marBottom w:val="0"/>
          <w:divBdr>
            <w:top w:val="none" w:sz="0" w:space="0" w:color="auto"/>
            <w:left w:val="none" w:sz="0" w:space="0" w:color="auto"/>
            <w:bottom w:val="none" w:sz="0" w:space="0" w:color="auto"/>
            <w:right w:val="none" w:sz="0" w:space="0" w:color="auto"/>
          </w:divBdr>
        </w:div>
        <w:div w:id="1093163481">
          <w:marLeft w:val="0"/>
          <w:marRight w:val="0"/>
          <w:marTop w:val="0"/>
          <w:marBottom w:val="0"/>
          <w:divBdr>
            <w:top w:val="none" w:sz="0" w:space="0" w:color="auto"/>
            <w:left w:val="none" w:sz="0" w:space="0" w:color="auto"/>
            <w:bottom w:val="none" w:sz="0" w:space="0" w:color="auto"/>
            <w:right w:val="none" w:sz="0" w:space="0" w:color="auto"/>
          </w:divBdr>
        </w:div>
        <w:div w:id="1926375991">
          <w:marLeft w:val="0"/>
          <w:marRight w:val="0"/>
          <w:marTop w:val="0"/>
          <w:marBottom w:val="0"/>
          <w:divBdr>
            <w:top w:val="none" w:sz="0" w:space="0" w:color="auto"/>
            <w:left w:val="none" w:sz="0" w:space="0" w:color="auto"/>
            <w:bottom w:val="none" w:sz="0" w:space="0" w:color="auto"/>
            <w:right w:val="none" w:sz="0" w:space="0" w:color="auto"/>
          </w:divBdr>
        </w:div>
        <w:div w:id="643000174">
          <w:marLeft w:val="0"/>
          <w:marRight w:val="0"/>
          <w:marTop w:val="0"/>
          <w:marBottom w:val="0"/>
          <w:divBdr>
            <w:top w:val="none" w:sz="0" w:space="0" w:color="auto"/>
            <w:left w:val="none" w:sz="0" w:space="0" w:color="auto"/>
            <w:bottom w:val="none" w:sz="0" w:space="0" w:color="auto"/>
            <w:right w:val="none" w:sz="0" w:space="0" w:color="auto"/>
          </w:divBdr>
        </w:div>
        <w:div w:id="111175634">
          <w:marLeft w:val="0"/>
          <w:marRight w:val="0"/>
          <w:marTop w:val="0"/>
          <w:marBottom w:val="0"/>
          <w:divBdr>
            <w:top w:val="none" w:sz="0" w:space="0" w:color="auto"/>
            <w:left w:val="none" w:sz="0" w:space="0" w:color="auto"/>
            <w:bottom w:val="none" w:sz="0" w:space="0" w:color="auto"/>
            <w:right w:val="none" w:sz="0" w:space="0" w:color="auto"/>
          </w:divBdr>
        </w:div>
        <w:div w:id="174005118">
          <w:marLeft w:val="0"/>
          <w:marRight w:val="0"/>
          <w:marTop w:val="0"/>
          <w:marBottom w:val="0"/>
          <w:divBdr>
            <w:top w:val="none" w:sz="0" w:space="0" w:color="auto"/>
            <w:left w:val="none" w:sz="0" w:space="0" w:color="auto"/>
            <w:bottom w:val="none" w:sz="0" w:space="0" w:color="auto"/>
            <w:right w:val="none" w:sz="0" w:space="0" w:color="auto"/>
          </w:divBdr>
        </w:div>
        <w:div w:id="963728627">
          <w:marLeft w:val="0"/>
          <w:marRight w:val="0"/>
          <w:marTop w:val="0"/>
          <w:marBottom w:val="0"/>
          <w:divBdr>
            <w:top w:val="none" w:sz="0" w:space="0" w:color="auto"/>
            <w:left w:val="none" w:sz="0" w:space="0" w:color="auto"/>
            <w:bottom w:val="none" w:sz="0" w:space="0" w:color="auto"/>
            <w:right w:val="none" w:sz="0" w:space="0" w:color="auto"/>
          </w:divBdr>
        </w:div>
        <w:div w:id="422839745">
          <w:marLeft w:val="0"/>
          <w:marRight w:val="0"/>
          <w:marTop w:val="0"/>
          <w:marBottom w:val="0"/>
          <w:divBdr>
            <w:top w:val="none" w:sz="0" w:space="0" w:color="auto"/>
            <w:left w:val="none" w:sz="0" w:space="0" w:color="auto"/>
            <w:bottom w:val="none" w:sz="0" w:space="0" w:color="auto"/>
            <w:right w:val="none" w:sz="0" w:space="0" w:color="auto"/>
          </w:divBdr>
        </w:div>
        <w:div w:id="1274095331">
          <w:marLeft w:val="0"/>
          <w:marRight w:val="0"/>
          <w:marTop w:val="0"/>
          <w:marBottom w:val="0"/>
          <w:divBdr>
            <w:top w:val="none" w:sz="0" w:space="0" w:color="auto"/>
            <w:left w:val="none" w:sz="0" w:space="0" w:color="auto"/>
            <w:bottom w:val="none" w:sz="0" w:space="0" w:color="auto"/>
            <w:right w:val="none" w:sz="0" w:space="0" w:color="auto"/>
          </w:divBdr>
        </w:div>
      </w:divsChild>
    </w:div>
    <w:div w:id="1800953257">
      <w:bodyDiv w:val="1"/>
      <w:marLeft w:val="0"/>
      <w:marRight w:val="0"/>
      <w:marTop w:val="0"/>
      <w:marBottom w:val="0"/>
      <w:divBdr>
        <w:top w:val="none" w:sz="0" w:space="0" w:color="auto"/>
        <w:left w:val="none" w:sz="0" w:space="0" w:color="auto"/>
        <w:bottom w:val="none" w:sz="0" w:space="0" w:color="auto"/>
        <w:right w:val="none" w:sz="0" w:space="0" w:color="auto"/>
      </w:divBdr>
    </w:div>
    <w:div w:id="1809589070">
      <w:bodyDiv w:val="1"/>
      <w:marLeft w:val="0"/>
      <w:marRight w:val="0"/>
      <w:marTop w:val="0"/>
      <w:marBottom w:val="0"/>
      <w:divBdr>
        <w:top w:val="none" w:sz="0" w:space="0" w:color="auto"/>
        <w:left w:val="none" w:sz="0" w:space="0" w:color="auto"/>
        <w:bottom w:val="none" w:sz="0" w:space="0" w:color="auto"/>
        <w:right w:val="none" w:sz="0" w:space="0" w:color="auto"/>
      </w:divBdr>
    </w:div>
    <w:div w:id="1816022402">
      <w:bodyDiv w:val="1"/>
      <w:marLeft w:val="0"/>
      <w:marRight w:val="0"/>
      <w:marTop w:val="0"/>
      <w:marBottom w:val="0"/>
      <w:divBdr>
        <w:top w:val="none" w:sz="0" w:space="0" w:color="auto"/>
        <w:left w:val="none" w:sz="0" w:space="0" w:color="auto"/>
        <w:bottom w:val="none" w:sz="0" w:space="0" w:color="auto"/>
        <w:right w:val="none" w:sz="0" w:space="0" w:color="auto"/>
      </w:divBdr>
    </w:div>
    <w:div w:id="1841701485">
      <w:bodyDiv w:val="1"/>
      <w:marLeft w:val="0"/>
      <w:marRight w:val="0"/>
      <w:marTop w:val="0"/>
      <w:marBottom w:val="0"/>
      <w:divBdr>
        <w:top w:val="none" w:sz="0" w:space="0" w:color="auto"/>
        <w:left w:val="none" w:sz="0" w:space="0" w:color="auto"/>
        <w:bottom w:val="none" w:sz="0" w:space="0" w:color="auto"/>
        <w:right w:val="none" w:sz="0" w:space="0" w:color="auto"/>
      </w:divBdr>
      <w:divsChild>
        <w:div w:id="156220629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1842155477">
      <w:bodyDiv w:val="1"/>
      <w:marLeft w:val="0"/>
      <w:marRight w:val="0"/>
      <w:marTop w:val="0"/>
      <w:marBottom w:val="0"/>
      <w:divBdr>
        <w:top w:val="none" w:sz="0" w:space="0" w:color="auto"/>
        <w:left w:val="none" w:sz="0" w:space="0" w:color="auto"/>
        <w:bottom w:val="none" w:sz="0" w:space="0" w:color="auto"/>
        <w:right w:val="none" w:sz="0" w:space="0" w:color="auto"/>
      </w:divBdr>
    </w:div>
    <w:div w:id="1866212639">
      <w:bodyDiv w:val="1"/>
      <w:marLeft w:val="0"/>
      <w:marRight w:val="0"/>
      <w:marTop w:val="0"/>
      <w:marBottom w:val="0"/>
      <w:divBdr>
        <w:top w:val="none" w:sz="0" w:space="0" w:color="auto"/>
        <w:left w:val="none" w:sz="0" w:space="0" w:color="auto"/>
        <w:bottom w:val="none" w:sz="0" w:space="0" w:color="auto"/>
        <w:right w:val="none" w:sz="0" w:space="0" w:color="auto"/>
      </w:divBdr>
      <w:divsChild>
        <w:div w:id="6525598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41784775">
              <w:blockQuote w:val="1"/>
              <w:marLeft w:val="0"/>
              <w:marRight w:val="0"/>
              <w:marTop w:val="120"/>
              <w:marBottom w:val="120"/>
              <w:divBdr>
                <w:top w:val="none" w:sz="0" w:space="0" w:color="auto"/>
                <w:left w:val="none" w:sz="0" w:space="0" w:color="auto"/>
                <w:bottom w:val="none" w:sz="0" w:space="0" w:color="auto"/>
                <w:right w:val="none" w:sz="0" w:space="0" w:color="auto"/>
              </w:divBdr>
            </w:div>
            <w:div w:id="10391611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75844344">
      <w:bodyDiv w:val="1"/>
      <w:marLeft w:val="0"/>
      <w:marRight w:val="0"/>
      <w:marTop w:val="0"/>
      <w:marBottom w:val="0"/>
      <w:divBdr>
        <w:top w:val="none" w:sz="0" w:space="0" w:color="auto"/>
        <w:left w:val="none" w:sz="0" w:space="0" w:color="auto"/>
        <w:bottom w:val="none" w:sz="0" w:space="0" w:color="auto"/>
        <w:right w:val="none" w:sz="0" w:space="0" w:color="auto"/>
      </w:divBdr>
    </w:div>
    <w:div w:id="1892812821">
      <w:bodyDiv w:val="1"/>
      <w:marLeft w:val="0"/>
      <w:marRight w:val="0"/>
      <w:marTop w:val="0"/>
      <w:marBottom w:val="0"/>
      <w:divBdr>
        <w:top w:val="none" w:sz="0" w:space="0" w:color="auto"/>
        <w:left w:val="none" w:sz="0" w:space="0" w:color="auto"/>
        <w:bottom w:val="none" w:sz="0" w:space="0" w:color="auto"/>
        <w:right w:val="none" w:sz="0" w:space="0" w:color="auto"/>
      </w:divBdr>
    </w:div>
    <w:div w:id="1920402530">
      <w:bodyDiv w:val="1"/>
      <w:marLeft w:val="0"/>
      <w:marRight w:val="0"/>
      <w:marTop w:val="0"/>
      <w:marBottom w:val="0"/>
      <w:divBdr>
        <w:top w:val="none" w:sz="0" w:space="0" w:color="auto"/>
        <w:left w:val="none" w:sz="0" w:space="0" w:color="auto"/>
        <w:bottom w:val="none" w:sz="0" w:space="0" w:color="auto"/>
        <w:right w:val="none" w:sz="0" w:space="0" w:color="auto"/>
      </w:divBdr>
    </w:div>
    <w:div w:id="1937323880">
      <w:bodyDiv w:val="1"/>
      <w:marLeft w:val="0"/>
      <w:marRight w:val="0"/>
      <w:marTop w:val="0"/>
      <w:marBottom w:val="0"/>
      <w:divBdr>
        <w:top w:val="none" w:sz="0" w:space="0" w:color="auto"/>
        <w:left w:val="none" w:sz="0" w:space="0" w:color="auto"/>
        <w:bottom w:val="none" w:sz="0" w:space="0" w:color="auto"/>
        <w:right w:val="none" w:sz="0" w:space="0" w:color="auto"/>
      </w:divBdr>
      <w:divsChild>
        <w:div w:id="20277504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49460304">
              <w:blockQuote w:val="1"/>
              <w:marLeft w:val="0"/>
              <w:marRight w:val="0"/>
              <w:marTop w:val="120"/>
              <w:marBottom w:val="120"/>
              <w:divBdr>
                <w:top w:val="none" w:sz="0" w:space="0" w:color="auto"/>
                <w:left w:val="none" w:sz="0" w:space="0" w:color="auto"/>
                <w:bottom w:val="none" w:sz="0" w:space="0" w:color="auto"/>
                <w:right w:val="none" w:sz="0" w:space="0" w:color="auto"/>
              </w:divBdr>
            </w:div>
            <w:div w:id="1475828897">
              <w:blockQuote w:val="1"/>
              <w:marLeft w:val="0"/>
              <w:marRight w:val="0"/>
              <w:marTop w:val="120"/>
              <w:marBottom w:val="120"/>
              <w:divBdr>
                <w:top w:val="none" w:sz="0" w:space="0" w:color="auto"/>
                <w:left w:val="none" w:sz="0" w:space="0" w:color="auto"/>
                <w:bottom w:val="none" w:sz="0" w:space="0" w:color="auto"/>
                <w:right w:val="none" w:sz="0" w:space="0" w:color="auto"/>
              </w:divBdr>
            </w:div>
            <w:div w:id="58793208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1665641">
      <w:bodyDiv w:val="1"/>
      <w:marLeft w:val="0"/>
      <w:marRight w:val="0"/>
      <w:marTop w:val="0"/>
      <w:marBottom w:val="0"/>
      <w:divBdr>
        <w:top w:val="none" w:sz="0" w:space="0" w:color="auto"/>
        <w:left w:val="none" w:sz="0" w:space="0" w:color="auto"/>
        <w:bottom w:val="none" w:sz="0" w:space="0" w:color="auto"/>
        <w:right w:val="none" w:sz="0" w:space="0" w:color="auto"/>
      </w:divBdr>
      <w:divsChild>
        <w:div w:id="1711101234">
          <w:blockQuote w:val="1"/>
          <w:marLeft w:val="0"/>
          <w:marRight w:val="0"/>
          <w:marTop w:val="180"/>
          <w:marBottom w:val="180"/>
          <w:divBdr>
            <w:top w:val="none" w:sz="0" w:space="0" w:color="auto"/>
            <w:left w:val="single" w:sz="12" w:space="15" w:color="005F92"/>
            <w:bottom w:val="none" w:sz="0" w:space="0" w:color="auto"/>
            <w:right w:val="none" w:sz="0" w:space="0" w:color="auto"/>
          </w:divBdr>
        </w:div>
      </w:divsChild>
    </w:div>
    <w:div w:id="1988702400">
      <w:bodyDiv w:val="1"/>
      <w:marLeft w:val="0"/>
      <w:marRight w:val="0"/>
      <w:marTop w:val="0"/>
      <w:marBottom w:val="0"/>
      <w:divBdr>
        <w:top w:val="none" w:sz="0" w:space="0" w:color="auto"/>
        <w:left w:val="none" w:sz="0" w:space="0" w:color="auto"/>
        <w:bottom w:val="none" w:sz="0" w:space="0" w:color="auto"/>
        <w:right w:val="none" w:sz="0" w:space="0" w:color="auto"/>
      </w:divBdr>
    </w:div>
    <w:div w:id="2010982085">
      <w:bodyDiv w:val="1"/>
      <w:marLeft w:val="0"/>
      <w:marRight w:val="0"/>
      <w:marTop w:val="0"/>
      <w:marBottom w:val="0"/>
      <w:divBdr>
        <w:top w:val="none" w:sz="0" w:space="0" w:color="auto"/>
        <w:left w:val="none" w:sz="0" w:space="0" w:color="auto"/>
        <w:bottom w:val="none" w:sz="0" w:space="0" w:color="auto"/>
        <w:right w:val="none" w:sz="0" w:space="0" w:color="auto"/>
      </w:divBdr>
    </w:div>
    <w:div w:id="2041008745">
      <w:bodyDiv w:val="1"/>
      <w:marLeft w:val="0"/>
      <w:marRight w:val="0"/>
      <w:marTop w:val="0"/>
      <w:marBottom w:val="0"/>
      <w:divBdr>
        <w:top w:val="none" w:sz="0" w:space="0" w:color="auto"/>
        <w:left w:val="none" w:sz="0" w:space="0" w:color="auto"/>
        <w:bottom w:val="none" w:sz="0" w:space="0" w:color="auto"/>
        <w:right w:val="none" w:sz="0" w:space="0" w:color="auto"/>
      </w:divBdr>
    </w:div>
    <w:div w:id="2075471787">
      <w:bodyDiv w:val="1"/>
      <w:marLeft w:val="0"/>
      <w:marRight w:val="0"/>
      <w:marTop w:val="0"/>
      <w:marBottom w:val="0"/>
      <w:divBdr>
        <w:top w:val="none" w:sz="0" w:space="0" w:color="auto"/>
        <w:left w:val="none" w:sz="0" w:space="0" w:color="auto"/>
        <w:bottom w:val="none" w:sz="0" w:space="0" w:color="auto"/>
        <w:right w:val="none" w:sz="0" w:space="0" w:color="auto"/>
      </w:divBdr>
    </w:div>
    <w:div w:id="2077781008">
      <w:bodyDiv w:val="1"/>
      <w:marLeft w:val="0"/>
      <w:marRight w:val="0"/>
      <w:marTop w:val="0"/>
      <w:marBottom w:val="0"/>
      <w:divBdr>
        <w:top w:val="none" w:sz="0" w:space="0" w:color="auto"/>
        <w:left w:val="none" w:sz="0" w:space="0" w:color="auto"/>
        <w:bottom w:val="none" w:sz="0" w:space="0" w:color="auto"/>
        <w:right w:val="none" w:sz="0" w:space="0" w:color="auto"/>
      </w:divBdr>
    </w:div>
    <w:div w:id="2078893689">
      <w:bodyDiv w:val="1"/>
      <w:marLeft w:val="0"/>
      <w:marRight w:val="0"/>
      <w:marTop w:val="0"/>
      <w:marBottom w:val="0"/>
      <w:divBdr>
        <w:top w:val="none" w:sz="0" w:space="0" w:color="auto"/>
        <w:left w:val="none" w:sz="0" w:space="0" w:color="auto"/>
        <w:bottom w:val="none" w:sz="0" w:space="0" w:color="auto"/>
        <w:right w:val="none" w:sz="0" w:space="0" w:color="auto"/>
      </w:divBdr>
    </w:div>
    <w:div w:id="2121290579">
      <w:bodyDiv w:val="1"/>
      <w:marLeft w:val="0"/>
      <w:marRight w:val="0"/>
      <w:marTop w:val="0"/>
      <w:marBottom w:val="0"/>
      <w:divBdr>
        <w:top w:val="none" w:sz="0" w:space="0" w:color="auto"/>
        <w:left w:val="none" w:sz="0" w:space="0" w:color="auto"/>
        <w:bottom w:val="none" w:sz="0" w:space="0" w:color="auto"/>
        <w:right w:val="none" w:sz="0" w:space="0" w:color="auto"/>
      </w:divBdr>
      <w:divsChild>
        <w:div w:id="83522321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54252439">
              <w:blockQuote w:val="1"/>
              <w:marLeft w:val="0"/>
              <w:marRight w:val="0"/>
              <w:marTop w:val="120"/>
              <w:marBottom w:val="120"/>
              <w:divBdr>
                <w:top w:val="none" w:sz="0" w:space="0" w:color="auto"/>
                <w:left w:val="none" w:sz="0" w:space="0" w:color="auto"/>
                <w:bottom w:val="none" w:sz="0" w:space="0" w:color="auto"/>
                <w:right w:val="none" w:sz="0" w:space="0" w:color="auto"/>
              </w:divBdr>
            </w:div>
            <w:div w:id="2123914529">
              <w:blockQuote w:val="1"/>
              <w:marLeft w:val="0"/>
              <w:marRight w:val="0"/>
              <w:marTop w:val="120"/>
              <w:marBottom w:val="120"/>
              <w:divBdr>
                <w:top w:val="none" w:sz="0" w:space="0" w:color="auto"/>
                <w:left w:val="none" w:sz="0" w:space="0" w:color="auto"/>
                <w:bottom w:val="none" w:sz="0" w:space="0" w:color="auto"/>
                <w:right w:val="none" w:sz="0" w:space="0" w:color="auto"/>
              </w:divBdr>
              <w:divsChild>
                <w:div w:id="7910946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24420968">
                      <w:blockQuote w:val="1"/>
                      <w:marLeft w:val="0"/>
                      <w:marRight w:val="0"/>
                      <w:marTop w:val="120"/>
                      <w:marBottom w:val="120"/>
                      <w:divBdr>
                        <w:top w:val="none" w:sz="0" w:space="0" w:color="auto"/>
                        <w:left w:val="none" w:sz="0" w:space="0" w:color="auto"/>
                        <w:bottom w:val="none" w:sz="0" w:space="0" w:color="auto"/>
                        <w:right w:val="none" w:sz="0" w:space="0" w:color="auto"/>
                      </w:divBdr>
                    </w:div>
                    <w:div w:id="14485500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01878530">
              <w:blockQuote w:val="1"/>
              <w:marLeft w:val="0"/>
              <w:marRight w:val="0"/>
              <w:marTop w:val="120"/>
              <w:marBottom w:val="120"/>
              <w:divBdr>
                <w:top w:val="none" w:sz="0" w:space="0" w:color="auto"/>
                <w:left w:val="none" w:sz="0" w:space="0" w:color="auto"/>
                <w:bottom w:val="none" w:sz="0" w:space="0" w:color="auto"/>
                <w:right w:val="none" w:sz="0" w:space="0" w:color="auto"/>
              </w:divBdr>
            </w:div>
            <w:div w:id="3164227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3111459">
      <w:bodyDiv w:val="1"/>
      <w:marLeft w:val="0"/>
      <w:marRight w:val="0"/>
      <w:marTop w:val="0"/>
      <w:marBottom w:val="0"/>
      <w:divBdr>
        <w:top w:val="none" w:sz="0" w:space="0" w:color="auto"/>
        <w:left w:val="none" w:sz="0" w:space="0" w:color="auto"/>
        <w:bottom w:val="none" w:sz="0" w:space="0" w:color="auto"/>
        <w:right w:val="none" w:sz="0" w:space="0" w:color="auto"/>
      </w:divBdr>
      <w:divsChild>
        <w:div w:id="1199930853">
          <w:blockQuote w:val="1"/>
          <w:marLeft w:val="0"/>
          <w:marRight w:val="0"/>
          <w:marTop w:val="120"/>
          <w:marBottom w:val="120"/>
          <w:divBdr>
            <w:top w:val="none" w:sz="0" w:space="0" w:color="auto"/>
            <w:left w:val="none" w:sz="0" w:space="0" w:color="auto"/>
            <w:bottom w:val="none" w:sz="0" w:space="0" w:color="auto"/>
            <w:right w:val="none" w:sz="0" w:space="0" w:color="auto"/>
          </w:divBdr>
        </w:div>
        <w:div w:id="17304170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human.ethics@utas.edu.au" TargetMode="External"/><Relationship Id="rId26" Type="http://schemas.microsoft.com/office/2007/relationships/diagramDrawing" Target="diagrams/drawing1.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aw.Reform@utas.edu.au" TargetMode="External"/><Relationship Id="rId25" Type="http://schemas.openxmlformats.org/officeDocument/2006/relationships/diagramColors" Target="diagrams/colors1.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mailto:Law.Reform@utas.edu.au"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tas.edu.au/law-reform/publications/ongoing-law-reform-projects" TargetMode="External"/><Relationship Id="rId23" Type="http://schemas.openxmlformats.org/officeDocument/2006/relationships/diagramLayout" Target="diagrams/layout1.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gazette.tas.gov.au/editions" TargetMode="External"/><Relationship Id="rId13" Type="http://schemas.openxmlformats.org/officeDocument/2006/relationships/hyperlink" Target="https://www.oaic.gov.au/privacy/guidance-and-advice/guide-to-undertaking-privacy-impact-assessments" TargetMode="External"/><Relationship Id="rId18" Type="http://schemas.openxmlformats.org/officeDocument/2006/relationships/hyperlink" Target="https://federation.gov.au/about/agreements/intergovernmental-agreement-data-sharing" TargetMode="External"/><Relationship Id="rId3" Type="http://schemas.openxmlformats.org/officeDocument/2006/relationships/hyperlink" Target="https://www.wa.gov.au/government/privacy-and-responsible-information-sharing" TargetMode="External"/><Relationship Id="rId21" Type="http://schemas.openxmlformats.org/officeDocument/2006/relationships/hyperlink" Target="https://www.dpc.sa.gov.au/resources-and-publications/premier-and-cabinet-circulars/DPC-Circular-Information-Privacy-Principles-IPPS-Instruction.pdf" TargetMode="External"/><Relationship Id="rId7" Type="http://schemas.openxmlformats.org/officeDocument/2006/relationships/hyperlink" Target="https://ministers.ag.gov.au/media-centre/meeting-attorneys-general-communique-12-08-2022" TargetMode="External"/><Relationship Id="rId12" Type="http://schemas.openxmlformats.org/officeDocument/2006/relationships/hyperlink" Target="https://www.law.cornell.edu/uscode/text/15/6506" TargetMode="External"/><Relationship Id="rId17" Type="http://schemas.openxmlformats.org/officeDocument/2006/relationships/hyperlink" Target="https://www.pc.gov.au/inquiries/completed/data-access/report" TargetMode="External"/><Relationship Id="rId2" Type="http://schemas.openxmlformats.org/officeDocument/2006/relationships/hyperlink" Target="https://www.ag.gov.au/integrity/consultations/review-privacy-act-1988" TargetMode="External"/><Relationship Id="rId16" Type="http://schemas.openxmlformats.org/officeDocument/2006/relationships/hyperlink" Target="http://www.dpac.tas.gov.au/divisions/digital_strategy_and_services/policies/digital_data_privacy/adept" TargetMode="External"/><Relationship Id="rId20" Type="http://schemas.openxmlformats.org/officeDocument/2006/relationships/hyperlink" Target="https://archives.sa.gov.au/general-information/privacy-committee/privacy-committee-sa" TargetMode="External"/><Relationship Id="rId1" Type="http://schemas.openxmlformats.org/officeDocument/2006/relationships/hyperlink" Target="https://www.ag.gov.au/integrity/publications/review-privacy-act-1988-terms-reference" TargetMode="External"/><Relationship Id="rId6" Type="http://schemas.openxmlformats.org/officeDocument/2006/relationships/hyperlink" Target="https://www.ag.gov.au/about-us/who-we-are/committees-and-councils/meeting-attorneys-general" TargetMode="External"/><Relationship Id="rId11" Type="http://schemas.openxmlformats.org/officeDocument/2006/relationships/hyperlink" Target="https://www.law.cornell.edu/uscode/text/15/6501" TargetMode="External"/><Relationship Id="rId5" Type="http://schemas.openxmlformats.org/officeDocument/2006/relationships/hyperlink" Target="https://www.ag.gov.au/sites/default/files/2020-07/Council%20of%20Attorneys-General%20communiqu&#233;%20&#8211;%20July%202020.pdf" TargetMode="External"/><Relationship Id="rId15" Type="http://schemas.openxmlformats.org/officeDocument/2006/relationships/hyperlink" Target="https://www.justice.nsw.gov.au/justicepolicy/Pages/lpclrd/lpclrd_consultation/mandatory-data-breach-notification.aspx" TargetMode="External"/><Relationship Id="rId10" Type="http://schemas.openxmlformats.org/officeDocument/2006/relationships/hyperlink" Target="https://www.oaic.gov.au/privacy/privacy-registers/privacy-codes-register/australian-government-agencies-privacy-code/" TargetMode="External"/><Relationship Id="rId19" Type="http://schemas.openxmlformats.org/officeDocument/2006/relationships/hyperlink" Target="https://www.parliament.tas.gov.au/Bills/Bills2017/62_of_2017.html" TargetMode="External"/><Relationship Id="rId4" Type="http://schemas.openxmlformats.org/officeDocument/2006/relationships/hyperlink" Target="https://www.oaic.gov.au/privacy/guidance-and-advice/what-is-personal-information/" TargetMode="External"/><Relationship Id="rId9" Type="http://schemas.openxmlformats.org/officeDocument/2006/relationships/hyperlink" Target="http://www.gazette.tas.gov.au/editions/2020/november_2020/22037_-_Gazette_25_November_2020.pdf" TargetMode="External"/><Relationship Id="rId14" Type="http://schemas.openxmlformats.org/officeDocument/2006/relationships/hyperlink" Target="https://www.oaic.gov.au/privacy/privacy-registers/privacy-codes-register/" TargetMode="External"/><Relationship Id="rId22" Type="http://schemas.openxmlformats.org/officeDocument/2006/relationships/hyperlink" Target="https://www.hcscc.sa.gov.au/hcscc-charter-of-righ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262095-E7B3-E444-948E-1CF8117186E7}"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GB"/>
        </a:p>
      </dgm:t>
    </dgm:pt>
    <dgm:pt modelId="{DE783939-9B87-6649-909D-CE8258F5931D}">
      <dgm:prSet phldrT="[Text]" custT="1"/>
      <dgm:spPr>
        <a:solidFill>
          <a:schemeClr val="bg2">
            <a:lumMod val="90000"/>
          </a:schemeClr>
        </a:solidFill>
      </dgm:spPr>
      <dgm:t>
        <a:bodyPr/>
        <a:lstStyle/>
        <a:p>
          <a:r>
            <a:rPr lang="en-GB" sz="1100">
              <a:solidFill>
                <a:schemeClr val="tx1"/>
              </a:solidFill>
            </a:rPr>
            <a:t>Suspicion of data breach</a:t>
          </a:r>
        </a:p>
      </dgm:t>
    </dgm:pt>
    <dgm:pt modelId="{194A1E0C-B870-1C46-ABA8-0B7CB9F9FFA8}" type="parTrans" cxnId="{4FC6D260-3A76-DC40-B099-BEA5EBCA0C6B}">
      <dgm:prSet/>
      <dgm:spPr/>
      <dgm:t>
        <a:bodyPr/>
        <a:lstStyle/>
        <a:p>
          <a:endParaRPr lang="en-GB"/>
        </a:p>
      </dgm:t>
    </dgm:pt>
    <dgm:pt modelId="{B97AF536-122D-7E42-A506-F15BCFB4EF9D}" type="sibTrans" cxnId="{4FC6D260-3A76-DC40-B099-BEA5EBCA0C6B}">
      <dgm:prSet/>
      <dgm:spPr/>
      <dgm:t>
        <a:bodyPr/>
        <a:lstStyle/>
        <a:p>
          <a:endParaRPr lang="en-GB"/>
        </a:p>
      </dgm:t>
    </dgm:pt>
    <dgm:pt modelId="{369BE168-1D3F-DB4A-8E20-6A9E69EC4D52}">
      <dgm:prSet phldrT="[Text]" custT="1"/>
      <dgm:spPr>
        <a:solidFill>
          <a:schemeClr val="bg2">
            <a:lumMod val="90000"/>
          </a:schemeClr>
        </a:solidFill>
      </dgm:spPr>
      <dgm:t>
        <a:bodyPr/>
        <a:lstStyle/>
        <a:p>
          <a:r>
            <a:rPr lang="en-GB" sz="1100">
              <a:solidFill>
                <a:schemeClr val="tx1"/>
              </a:solidFill>
            </a:rPr>
            <a:t>Entity conducts assessment </a:t>
          </a:r>
        </a:p>
        <a:p>
          <a:r>
            <a:rPr lang="en-GB" sz="1100">
              <a:solidFill>
                <a:schemeClr val="tx1"/>
              </a:solidFill>
            </a:rPr>
            <a:t>(&lt; 30 days)</a:t>
          </a:r>
        </a:p>
      </dgm:t>
    </dgm:pt>
    <dgm:pt modelId="{8D03E47B-459A-8643-97DD-EF9100DEA02B}" type="parTrans" cxnId="{3DFB15A9-2858-504A-865A-0E80E0E8E7A3}">
      <dgm:prSet/>
      <dgm:spPr>
        <a:ln>
          <a:solidFill>
            <a:schemeClr val="tx1"/>
          </a:solidFill>
        </a:ln>
      </dgm:spPr>
      <dgm:t>
        <a:bodyPr/>
        <a:lstStyle/>
        <a:p>
          <a:endParaRPr lang="en-GB"/>
        </a:p>
      </dgm:t>
    </dgm:pt>
    <dgm:pt modelId="{7D53EA1B-5B44-C349-A62A-5A37FDE5D333}" type="sibTrans" cxnId="{3DFB15A9-2858-504A-865A-0E80E0E8E7A3}">
      <dgm:prSet/>
      <dgm:spPr/>
      <dgm:t>
        <a:bodyPr/>
        <a:lstStyle/>
        <a:p>
          <a:endParaRPr lang="en-GB"/>
        </a:p>
      </dgm:t>
    </dgm:pt>
    <dgm:pt modelId="{FC66FDF9-C28A-E843-ABB2-7A6B70B08904}">
      <dgm:prSet phldrT="[Text]" custT="1"/>
      <dgm:spPr>
        <a:solidFill>
          <a:schemeClr val="bg2">
            <a:lumMod val="50000"/>
          </a:schemeClr>
        </a:solidFill>
      </dgm:spPr>
      <dgm:t>
        <a:bodyPr/>
        <a:lstStyle/>
        <a:p>
          <a:r>
            <a:rPr lang="en-GB" sz="1100"/>
            <a:t>No breach</a:t>
          </a:r>
        </a:p>
      </dgm:t>
    </dgm:pt>
    <dgm:pt modelId="{97B12AFC-1519-A149-8E83-1C7CB2BB24DC}" type="parTrans" cxnId="{2C77DA11-246B-DB49-95E4-3E0705078A75}">
      <dgm:prSet/>
      <dgm:spPr>
        <a:ln>
          <a:solidFill>
            <a:schemeClr val="tx1"/>
          </a:solidFill>
        </a:ln>
      </dgm:spPr>
      <dgm:t>
        <a:bodyPr/>
        <a:lstStyle/>
        <a:p>
          <a:endParaRPr lang="en-GB"/>
        </a:p>
      </dgm:t>
    </dgm:pt>
    <dgm:pt modelId="{BE44AB8A-CFE3-694D-9AAB-CE552547DE3D}" type="sibTrans" cxnId="{2C77DA11-246B-DB49-95E4-3E0705078A75}">
      <dgm:prSet/>
      <dgm:spPr/>
      <dgm:t>
        <a:bodyPr/>
        <a:lstStyle/>
        <a:p>
          <a:endParaRPr lang="en-GB"/>
        </a:p>
      </dgm:t>
    </dgm:pt>
    <dgm:pt modelId="{CF1AAF9F-D431-6F4D-8509-56110D3F37EF}">
      <dgm:prSet custT="1"/>
      <dgm:spPr>
        <a:solidFill>
          <a:schemeClr val="bg2">
            <a:lumMod val="25000"/>
          </a:schemeClr>
        </a:solidFill>
      </dgm:spPr>
      <dgm:t>
        <a:bodyPr/>
        <a:lstStyle/>
        <a:p>
          <a:r>
            <a:rPr lang="en-GB" sz="1100"/>
            <a:t>Belief that data breach occured</a:t>
          </a:r>
        </a:p>
      </dgm:t>
    </dgm:pt>
    <dgm:pt modelId="{8B5DAA77-1A61-134A-B24B-B472EF5DDE30}" type="parTrans" cxnId="{03CA2D66-C81F-8B4A-8DA8-C359133366B0}">
      <dgm:prSet/>
      <dgm:spPr>
        <a:ln>
          <a:solidFill>
            <a:schemeClr val="tx1"/>
          </a:solidFill>
        </a:ln>
      </dgm:spPr>
      <dgm:t>
        <a:bodyPr/>
        <a:lstStyle/>
        <a:p>
          <a:endParaRPr lang="en-GB"/>
        </a:p>
      </dgm:t>
    </dgm:pt>
    <dgm:pt modelId="{E00A4D23-3A38-A244-947B-CBF11BAB4B7D}" type="sibTrans" cxnId="{03CA2D66-C81F-8B4A-8DA8-C359133366B0}">
      <dgm:prSet/>
      <dgm:spPr/>
      <dgm:t>
        <a:bodyPr/>
        <a:lstStyle/>
        <a:p>
          <a:endParaRPr lang="en-GB"/>
        </a:p>
      </dgm:t>
    </dgm:pt>
    <dgm:pt modelId="{E86444C5-DE06-374F-90E4-D0A13AC957E9}">
      <dgm:prSet custT="1"/>
      <dgm:spPr>
        <a:solidFill>
          <a:schemeClr val="bg2">
            <a:lumMod val="25000"/>
          </a:schemeClr>
        </a:solidFill>
      </dgm:spPr>
      <dgm:t>
        <a:bodyPr/>
        <a:lstStyle/>
        <a:p>
          <a:r>
            <a:rPr lang="en-GB" sz="1100"/>
            <a:t>Notify Commissioner</a:t>
          </a:r>
        </a:p>
      </dgm:t>
    </dgm:pt>
    <dgm:pt modelId="{11BEA177-C1A5-CD44-9154-A03008BC330F}" type="parTrans" cxnId="{48404083-32CA-F34D-87E3-768AD14FA4A8}">
      <dgm:prSet/>
      <dgm:spPr/>
      <dgm:t>
        <a:bodyPr/>
        <a:lstStyle/>
        <a:p>
          <a:endParaRPr lang="en-GB"/>
        </a:p>
      </dgm:t>
    </dgm:pt>
    <dgm:pt modelId="{63C002F1-6FF1-1E48-A7AE-2B350CCA8F0E}" type="sibTrans" cxnId="{48404083-32CA-F34D-87E3-768AD14FA4A8}">
      <dgm:prSet/>
      <dgm:spPr/>
      <dgm:t>
        <a:bodyPr/>
        <a:lstStyle/>
        <a:p>
          <a:endParaRPr lang="en-GB"/>
        </a:p>
      </dgm:t>
    </dgm:pt>
    <dgm:pt modelId="{0434040B-5CA7-164E-97D0-861D608CEF26}">
      <dgm:prSet custT="1"/>
      <dgm:spPr>
        <a:solidFill>
          <a:schemeClr val="bg2">
            <a:lumMod val="25000"/>
          </a:schemeClr>
        </a:solidFill>
      </dgm:spPr>
      <dgm:t>
        <a:bodyPr/>
        <a:lstStyle/>
        <a:p>
          <a:r>
            <a:rPr lang="en-GB" sz="1100"/>
            <a:t>Notify individuals</a:t>
          </a:r>
        </a:p>
      </dgm:t>
    </dgm:pt>
    <dgm:pt modelId="{1374015F-C90C-904D-BA25-DEA0A80CCCE5}" type="parTrans" cxnId="{8272A824-F535-B547-9EBF-52EEDED06570}">
      <dgm:prSet/>
      <dgm:spPr>
        <a:ln>
          <a:solidFill>
            <a:schemeClr val="tx1"/>
          </a:solidFill>
        </a:ln>
      </dgm:spPr>
      <dgm:t>
        <a:bodyPr/>
        <a:lstStyle/>
        <a:p>
          <a:endParaRPr lang="en-GB"/>
        </a:p>
      </dgm:t>
    </dgm:pt>
    <dgm:pt modelId="{EABF9804-4C55-694E-9D21-5F53B0F2C32A}" type="sibTrans" cxnId="{8272A824-F535-B547-9EBF-52EEDED06570}">
      <dgm:prSet/>
      <dgm:spPr/>
      <dgm:t>
        <a:bodyPr/>
        <a:lstStyle/>
        <a:p>
          <a:endParaRPr lang="en-GB"/>
        </a:p>
      </dgm:t>
    </dgm:pt>
    <dgm:pt modelId="{3186FCDA-3866-3A45-8757-2C83D06CEFAB}" type="pres">
      <dgm:prSet presAssocID="{81262095-E7B3-E444-948E-1CF8117186E7}" presName="diagram" presStyleCnt="0">
        <dgm:presLayoutVars>
          <dgm:chPref val="1"/>
          <dgm:dir/>
          <dgm:animOne val="branch"/>
          <dgm:animLvl val="lvl"/>
          <dgm:resizeHandles val="exact"/>
        </dgm:presLayoutVars>
      </dgm:prSet>
      <dgm:spPr/>
    </dgm:pt>
    <dgm:pt modelId="{B7164933-355E-2444-9FE4-6029D3743AB0}" type="pres">
      <dgm:prSet presAssocID="{DE783939-9B87-6649-909D-CE8258F5931D}" presName="root1" presStyleCnt="0"/>
      <dgm:spPr/>
    </dgm:pt>
    <dgm:pt modelId="{EA182363-ECE5-D444-9F30-87CABFEFC282}" type="pres">
      <dgm:prSet presAssocID="{DE783939-9B87-6649-909D-CE8258F5931D}" presName="LevelOneTextNode" presStyleLbl="node0" presStyleIdx="0" presStyleCnt="1" custScaleY="167426">
        <dgm:presLayoutVars>
          <dgm:chPref val="3"/>
        </dgm:presLayoutVars>
      </dgm:prSet>
      <dgm:spPr/>
    </dgm:pt>
    <dgm:pt modelId="{87C18A2C-AC54-F244-99D0-029D98AA609D}" type="pres">
      <dgm:prSet presAssocID="{DE783939-9B87-6649-909D-CE8258F5931D}" presName="level2hierChild" presStyleCnt="0"/>
      <dgm:spPr/>
    </dgm:pt>
    <dgm:pt modelId="{21F50101-62FA-4641-B9C6-542F56DAD154}" type="pres">
      <dgm:prSet presAssocID="{8D03E47B-459A-8643-97DD-EF9100DEA02B}" presName="conn2-1" presStyleLbl="parChTrans1D2" presStyleIdx="0" presStyleCnt="1"/>
      <dgm:spPr/>
    </dgm:pt>
    <dgm:pt modelId="{E82D43BE-69E3-4E42-A0D8-47B2DBE01F84}" type="pres">
      <dgm:prSet presAssocID="{8D03E47B-459A-8643-97DD-EF9100DEA02B}" presName="connTx" presStyleLbl="parChTrans1D2" presStyleIdx="0" presStyleCnt="1"/>
      <dgm:spPr/>
    </dgm:pt>
    <dgm:pt modelId="{504C12F5-9D75-0942-B715-0E115E6BD94E}" type="pres">
      <dgm:prSet presAssocID="{369BE168-1D3F-DB4A-8E20-6A9E69EC4D52}" presName="root2" presStyleCnt="0"/>
      <dgm:spPr/>
    </dgm:pt>
    <dgm:pt modelId="{DA356EE7-DCAC-4042-921E-5D78770903D9}" type="pres">
      <dgm:prSet presAssocID="{369BE168-1D3F-DB4A-8E20-6A9E69EC4D52}" presName="LevelTwoTextNode" presStyleLbl="node2" presStyleIdx="0" presStyleCnt="1" custScaleY="173414">
        <dgm:presLayoutVars>
          <dgm:chPref val="3"/>
        </dgm:presLayoutVars>
      </dgm:prSet>
      <dgm:spPr/>
    </dgm:pt>
    <dgm:pt modelId="{1CBA4613-F71E-ED44-9395-4ADBAB2262B6}" type="pres">
      <dgm:prSet presAssocID="{369BE168-1D3F-DB4A-8E20-6A9E69EC4D52}" presName="level3hierChild" presStyleCnt="0"/>
      <dgm:spPr/>
    </dgm:pt>
    <dgm:pt modelId="{1FDF6499-7F4C-C84D-91F9-B1817915405A}" type="pres">
      <dgm:prSet presAssocID="{97B12AFC-1519-A149-8E83-1C7CB2BB24DC}" presName="conn2-1" presStyleLbl="parChTrans1D3" presStyleIdx="0" presStyleCnt="2"/>
      <dgm:spPr/>
    </dgm:pt>
    <dgm:pt modelId="{34EE3CF7-A82B-804D-9F2F-3847817A2C58}" type="pres">
      <dgm:prSet presAssocID="{97B12AFC-1519-A149-8E83-1C7CB2BB24DC}" presName="connTx" presStyleLbl="parChTrans1D3" presStyleIdx="0" presStyleCnt="2"/>
      <dgm:spPr/>
    </dgm:pt>
    <dgm:pt modelId="{D7B9DFAD-99E9-5F42-9A1E-E4FAA697712F}" type="pres">
      <dgm:prSet presAssocID="{FC66FDF9-C28A-E843-ABB2-7A6B70B08904}" presName="root2" presStyleCnt="0"/>
      <dgm:spPr/>
    </dgm:pt>
    <dgm:pt modelId="{D192FA64-133E-C449-A72C-2ABC3457F697}" type="pres">
      <dgm:prSet presAssocID="{FC66FDF9-C28A-E843-ABB2-7A6B70B08904}" presName="LevelTwoTextNode" presStyleLbl="node3" presStyleIdx="0" presStyleCnt="2" custScaleY="127811">
        <dgm:presLayoutVars>
          <dgm:chPref val="3"/>
        </dgm:presLayoutVars>
      </dgm:prSet>
      <dgm:spPr/>
    </dgm:pt>
    <dgm:pt modelId="{0830F59A-A6CF-B646-8E5D-1A781FDB47AD}" type="pres">
      <dgm:prSet presAssocID="{FC66FDF9-C28A-E843-ABB2-7A6B70B08904}" presName="level3hierChild" presStyleCnt="0"/>
      <dgm:spPr/>
    </dgm:pt>
    <dgm:pt modelId="{2B861FB2-4C03-3248-939C-B82ABC0425D3}" type="pres">
      <dgm:prSet presAssocID="{8B5DAA77-1A61-134A-B24B-B472EF5DDE30}" presName="conn2-1" presStyleLbl="parChTrans1D3" presStyleIdx="1" presStyleCnt="2"/>
      <dgm:spPr/>
    </dgm:pt>
    <dgm:pt modelId="{1B28D248-45B7-7443-AA24-59E887CAE399}" type="pres">
      <dgm:prSet presAssocID="{8B5DAA77-1A61-134A-B24B-B472EF5DDE30}" presName="connTx" presStyleLbl="parChTrans1D3" presStyleIdx="1" presStyleCnt="2"/>
      <dgm:spPr/>
    </dgm:pt>
    <dgm:pt modelId="{CBBA3D8E-583C-D646-98B6-827D52D654C3}" type="pres">
      <dgm:prSet presAssocID="{CF1AAF9F-D431-6F4D-8509-56110D3F37EF}" presName="root2" presStyleCnt="0"/>
      <dgm:spPr/>
    </dgm:pt>
    <dgm:pt modelId="{EC1D0A2A-BDA0-9741-B9AB-A1FD0801BD35}" type="pres">
      <dgm:prSet presAssocID="{CF1AAF9F-D431-6F4D-8509-56110D3F37EF}" presName="LevelTwoTextNode" presStyleLbl="node3" presStyleIdx="1" presStyleCnt="2" custScaleY="152183">
        <dgm:presLayoutVars>
          <dgm:chPref val="3"/>
        </dgm:presLayoutVars>
      </dgm:prSet>
      <dgm:spPr/>
    </dgm:pt>
    <dgm:pt modelId="{7B53082A-DAAC-1B4B-9A1B-B09DC38F4CD1}" type="pres">
      <dgm:prSet presAssocID="{CF1AAF9F-D431-6F4D-8509-56110D3F37EF}" presName="level3hierChild" presStyleCnt="0"/>
      <dgm:spPr/>
    </dgm:pt>
    <dgm:pt modelId="{978E157F-5E31-1C40-9792-A939B6F9A9F8}" type="pres">
      <dgm:prSet presAssocID="{11BEA177-C1A5-CD44-9154-A03008BC330F}" presName="conn2-1" presStyleLbl="parChTrans1D4" presStyleIdx="0" presStyleCnt="2"/>
      <dgm:spPr/>
    </dgm:pt>
    <dgm:pt modelId="{05D81B89-1627-8644-A30C-367C4391D612}" type="pres">
      <dgm:prSet presAssocID="{11BEA177-C1A5-CD44-9154-A03008BC330F}" presName="connTx" presStyleLbl="parChTrans1D4" presStyleIdx="0" presStyleCnt="2"/>
      <dgm:spPr/>
    </dgm:pt>
    <dgm:pt modelId="{1E58C473-090B-A841-B701-EBF156A9B468}" type="pres">
      <dgm:prSet presAssocID="{E86444C5-DE06-374F-90E4-D0A13AC957E9}" presName="root2" presStyleCnt="0"/>
      <dgm:spPr/>
    </dgm:pt>
    <dgm:pt modelId="{BBAB8C65-A2A9-9340-910F-0E4F87D66D73}" type="pres">
      <dgm:prSet presAssocID="{E86444C5-DE06-374F-90E4-D0A13AC957E9}" presName="LevelTwoTextNode" presStyleLbl="node4" presStyleIdx="0" presStyleCnt="2" custScaleY="127811">
        <dgm:presLayoutVars>
          <dgm:chPref val="3"/>
        </dgm:presLayoutVars>
      </dgm:prSet>
      <dgm:spPr/>
    </dgm:pt>
    <dgm:pt modelId="{59422E59-C787-A346-BDDE-42BB5AC944FF}" type="pres">
      <dgm:prSet presAssocID="{E86444C5-DE06-374F-90E4-D0A13AC957E9}" presName="level3hierChild" presStyleCnt="0"/>
      <dgm:spPr/>
    </dgm:pt>
    <dgm:pt modelId="{158DFB88-AFA9-8846-9762-065F92E00F55}" type="pres">
      <dgm:prSet presAssocID="{1374015F-C90C-904D-BA25-DEA0A80CCCE5}" presName="conn2-1" presStyleLbl="parChTrans1D4" presStyleIdx="1" presStyleCnt="2"/>
      <dgm:spPr/>
    </dgm:pt>
    <dgm:pt modelId="{F21DE7F1-751F-7647-950D-A4C9F0B622A3}" type="pres">
      <dgm:prSet presAssocID="{1374015F-C90C-904D-BA25-DEA0A80CCCE5}" presName="connTx" presStyleLbl="parChTrans1D4" presStyleIdx="1" presStyleCnt="2"/>
      <dgm:spPr/>
    </dgm:pt>
    <dgm:pt modelId="{A3CCCA02-0E83-674E-8991-CB8E9A9A88C8}" type="pres">
      <dgm:prSet presAssocID="{0434040B-5CA7-164E-97D0-861D608CEF26}" presName="root2" presStyleCnt="0"/>
      <dgm:spPr/>
    </dgm:pt>
    <dgm:pt modelId="{8451C620-4C46-D341-B613-888B545790D6}" type="pres">
      <dgm:prSet presAssocID="{0434040B-5CA7-164E-97D0-861D608CEF26}" presName="LevelTwoTextNode" presStyleLbl="node4" presStyleIdx="1" presStyleCnt="2" custScaleY="127811">
        <dgm:presLayoutVars>
          <dgm:chPref val="3"/>
        </dgm:presLayoutVars>
      </dgm:prSet>
      <dgm:spPr/>
    </dgm:pt>
    <dgm:pt modelId="{EF06D3AA-BB99-074E-9CB6-2A3A01C3C27D}" type="pres">
      <dgm:prSet presAssocID="{0434040B-5CA7-164E-97D0-861D608CEF26}" presName="level3hierChild" presStyleCnt="0"/>
      <dgm:spPr/>
    </dgm:pt>
  </dgm:ptLst>
  <dgm:cxnLst>
    <dgm:cxn modelId="{AC154802-9800-3D4D-AAA2-29A4EB9B595C}" type="presOf" srcId="{8D03E47B-459A-8643-97DD-EF9100DEA02B}" destId="{E82D43BE-69E3-4E42-A0D8-47B2DBE01F84}" srcOrd="1" destOrd="0" presId="urn:microsoft.com/office/officeart/2005/8/layout/hierarchy2"/>
    <dgm:cxn modelId="{C2E1D004-A7E7-584D-BF17-59AC79AEBD57}" type="presOf" srcId="{1374015F-C90C-904D-BA25-DEA0A80CCCE5}" destId="{F21DE7F1-751F-7647-950D-A4C9F0B622A3}" srcOrd="1" destOrd="0" presId="urn:microsoft.com/office/officeart/2005/8/layout/hierarchy2"/>
    <dgm:cxn modelId="{8CCCAB0D-C76F-7241-B4E4-3C01438B005C}" type="presOf" srcId="{FC66FDF9-C28A-E843-ABB2-7A6B70B08904}" destId="{D192FA64-133E-C449-A72C-2ABC3457F697}" srcOrd="0" destOrd="0" presId="urn:microsoft.com/office/officeart/2005/8/layout/hierarchy2"/>
    <dgm:cxn modelId="{2C77DA11-246B-DB49-95E4-3E0705078A75}" srcId="{369BE168-1D3F-DB4A-8E20-6A9E69EC4D52}" destId="{FC66FDF9-C28A-E843-ABB2-7A6B70B08904}" srcOrd="0" destOrd="0" parTransId="{97B12AFC-1519-A149-8E83-1C7CB2BB24DC}" sibTransId="{BE44AB8A-CFE3-694D-9AAB-CE552547DE3D}"/>
    <dgm:cxn modelId="{70BA7C1A-B5F6-1E45-8D0B-47CF481FF87B}" type="presOf" srcId="{E86444C5-DE06-374F-90E4-D0A13AC957E9}" destId="{BBAB8C65-A2A9-9340-910F-0E4F87D66D73}" srcOrd="0" destOrd="0" presId="urn:microsoft.com/office/officeart/2005/8/layout/hierarchy2"/>
    <dgm:cxn modelId="{8272A824-F535-B547-9EBF-52EEDED06570}" srcId="{E86444C5-DE06-374F-90E4-D0A13AC957E9}" destId="{0434040B-5CA7-164E-97D0-861D608CEF26}" srcOrd="0" destOrd="0" parTransId="{1374015F-C90C-904D-BA25-DEA0A80CCCE5}" sibTransId="{EABF9804-4C55-694E-9D21-5F53B0F2C32A}"/>
    <dgm:cxn modelId="{4FC6D260-3A76-DC40-B099-BEA5EBCA0C6B}" srcId="{81262095-E7B3-E444-948E-1CF8117186E7}" destId="{DE783939-9B87-6649-909D-CE8258F5931D}" srcOrd="0" destOrd="0" parTransId="{194A1E0C-B870-1C46-ABA8-0B7CB9F9FFA8}" sibTransId="{B97AF536-122D-7E42-A506-F15BCFB4EF9D}"/>
    <dgm:cxn modelId="{EE0E2D62-B93E-2F42-B575-DF7A8F6DA670}" type="presOf" srcId="{0434040B-5CA7-164E-97D0-861D608CEF26}" destId="{8451C620-4C46-D341-B613-888B545790D6}" srcOrd="0" destOrd="0" presId="urn:microsoft.com/office/officeart/2005/8/layout/hierarchy2"/>
    <dgm:cxn modelId="{03CA2D66-C81F-8B4A-8DA8-C359133366B0}" srcId="{369BE168-1D3F-DB4A-8E20-6A9E69EC4D52}" destId="{CF1AAF9F-D431-6F4D-8509-56110D3F37EF}" srcOrd="1" destOrd="0" parTransId="{8B5DAA77-1A61-134A-B24B-B472EF5DDE30}" sibTransId="{E00A4D23-3A38-A244-947B-CBF11BAB4B7D}"/>
    <dgm:cxn modelId="{D4FFC16C-E91B-9144-81C0-68D4301695DC}" type="presOf" srcId="{97B12AFC-1519-A149-8E83-1C7CB2BB24DC}" destId="{34EE3CF7-A82B-804D-9F2F-3847817A2C58}" srcOrd="1" destOrd="0" presId="urn:microsoft.com/office/officeart/2005/8/layout/hierarchy2"/>
    <dgm:cxn modelId="{AA7DA071-4066-5547-89E3-43713841C112}" type="presOf" srcId="{1374015F-C90C-904D-BA25-DEA0A80CCCE5}" destId="{158DFB88-AFA9-8846-9762-065F92E00F55}" srcOrd="0" destOrd="0" presId="urn:microsoft.com/office/officeart/2005/8/layout/hierarchy2"/>
    <dgm:cxn modelId="{846AE15A-BFA1-4E48-9F63-D913BDB74AF3}" type="presOf" srcId="{81262095-E7B3-E444-948E-1CF8117186E7}" destId="{3186FCDA-3866-3A45-8757-2C83D06CEFAB}" srcOrd="0" destOrd="0" presId="urn:microsoft.com/office/officeart/2005/8/layout/hierarchy2"/>
    <dgm:cxn modelId="{48404083-32CA-F34D-87E3-768AD14FA4A8}" srcId="{CF1AAF9F-D431-6F4D-8509-56110D3F37EF}" destId="{E86444C5-DE06-374F-90E4-D0A13AC957E9}" srcOrd="0" destOrd="0" parTransId="{11BEA177-C1A5-CD44-9154-A03008BC330F}" sibTransId="{63C002F1-6FF1-1E48-A7AE-2B350CCA8F0E}"/>
    <dgm:cxn modelId="{A5EBE596-0130-7F4D-970B-3AB8F880DA1D}" type="presOf" srcId="{8D03E47B-459A-8643-97DD-EF9100DEA02B}" destId="{21F50101-62FA-4641-B9C6-542F56DAD154}" srcOrd="0" destOrd="0" presId="urn:microsoft.com/office/officeart/2005/8/layout/hierarchy2"/>
    <dgm:cxn modelId="{2D578899-0175-FE4D-B127-49EEC510AED2}" type="presOf" srcId="{CF1AAF9F-D431-6F4D-8509-56110D3F37EF}" destId="{EC1D0A2A-BDA0-9741-B9AB-A1FD0801BD35}" srcOrd="0" destOrd="0" presId="urn:microsoft.com/office/officeart/2005/8/layout/hierarchy2"/>
    <dgm:cxn modelId="{0274FBA6-D7F5-2E45-AD51-B2BF2B94EC1F}" type="presOf" srcId="{11BEA177-C1A5-CD44-9154-A03008BC330F}" destId="{978E157F-5E31-1C40-9792-A939B6F9A9F8}" srcOrd="0" destOrd="0" presId="urn:microsoft.com/office/officeart/2005/8/layout/hierarchy2"/>
    <dgm:cxn modelId="{3DFB15A9-2858-504A-865A-0E80E0E8E7A3}" srcId="{DE783939-9B87-6649-909D-CE8258F5931D}" destId="{369BE168-1D3F-DB4A-8E20-6A9E69EC4D52}" srcOrd="0" destOrd="0" parTransId="{8D03E47B-459A-8643-97DD-EF9100DEA02B}" sibTransId="{7D53EA1B-5B44-C349-A62A-5A37FDE5D333}"/>
    <dgm:cxn modelId="{E7948FC1-5B57-2443-9446-4952E3EFB5CD}" type="presOf" srcId="{369BE168-1D3F-DB4A-8E20-6A9E69EC4D52}" destId="{DA356EE7-DCAC-4042-921E-5D78770903D9}" srcOrd="0" destOrd="0" presId="urn:microsoft.com/office/officeart/2005/8/layout/hierarchy2"/>
    <dgm:cxn modelId="{F23F64C5-DE0B-A446-BBB1-31693D1F19C6}" type="presOf" srcId="{11BEA177-C1A5-CD44-9154-A03008BC330F}" destId="{05D81B89-1627-8644-A30C-367C4391D612}" srcOrd="1" destOrd="0" presId="urn:microsoft.com/office/officeart/2005/8/layout/hierarchy2"/>
    <dgm:cxn modelId="{9132ABC6-CAF8-C846-837B-06EA3885D344}" type="presOf" srcId="{97B12AFC-1519-A149-8E83-1C7CB2BB24DC}" destId="{1FDF6499-7F4C-C84D-91F9-B1817915405A}" srcOrd="0" destOrd="0" presId="urn:microsoft.com/office/officeart/2005/8/layout/hierarchy2"/>
    <dgm:cxn modelId="{B8FADFCC-8364-E748-B911-2FCF842CCF96}" type="presOf" srcId="{DE783939-9B87-6649-909D-CE8258F5931D}" destId="{EA182363-ECE5-D444-9F30-87CABFEFC282}" srcOrd="0" destOrd="0" presId="urn:microsoft.com/office/officeart/2005/8/layout/hierarchy2"/>
    <dgm:cxn modelId="{D72269E2-DA66-434F-B11C-74BD51E15E17}" type="presOf" srcId="{8B5DAA77-1A61-134A-B24B-B472EF5DDE30}" destId="{1B28D248-45B7-7443-AA24-59E887CAE399}" srcOrd="1" destOrd="0" presId="urn:microsoft.com/office/officeart/2005/8/layout/hierarchy2"/>
    <dgm:cxn modelId="{1E5854EE-C819-9B40-9AD8-E062EC998A7F}" type="presOf" srcId="{8B5DAA77-1A61-134A-B24B-B472EF5DDE30}" destId="{2B861FB2-4C03-3248-939C-B82ABC0425D3}" srcOrd="0" destOrd="0" presId="urn:microsoft.com/office/officeart/2005/8/layout/hierarchy2"/>
    <dgm:cxn modelId="{B05C5045-846C-5247-AFBB-3EB93B37FD40}" type="presParOf" srcId="{3186FCDA-3866-3A45-8757-2C83D06CEFAB}" destId="{B7164933-355E-2444-9FE4-6029D3743AB0}" srcOrd="0" destOrd="0" presId="urn:microsoft.com/office/officeart/2005/8/layout/hierarchy2"/>
    <dgm:cxn modelId="{AE221F6A-682B-BF47-AEBB-7C5AC81C4DF2}" type="presParOf" srcId="{B7164933-355E-2444-9FE4-6029D3743AB0}" destId="{EA182363-ECE5-D444-9F30-87CABFEFC282}" srcOrd="0" destOrd="0" presId="urn:microsoft.com/office/officeart/2005/8/layout/hierarchy2"/>
    <dgm:cxn modelId="{05EA16B7-5ED5-4244-AE0F-E554847C16E3}" type="presParOf" srcId="{B7164933-355E-2444-9FE4-6029D3743AB0}" destId="{87C18A2C-AC54-F244-99D0-029D98AA609D}" srcOrd="1" destOrd="0" presId="urn:microsoft.com/office/officeart/2005/8/layout/hierarchy2"/>
    <dgm:cxn modelId="{C35FAA25-5804-CF46-9ED4-1719432A2E33}" type="presParOf" srcId="{87C18A2C-AC54-F244-99D0-029D98AA609D}" destId="{21F50101-62FA-4641-B9C6-542F56DAD154}" srcOrd="0" destOrd="0" presId="urn:microsoft.com/office/officeart/2005/8/layout/hierarchy2"/>
    <dgm:cxn modelId="{40CD80FC-7D3F-484E-9B3C-1E05762A34B3}" type="presParOf" srcId="{21F50101-62FA-4641-B9C6-542F56DAD154}" destId="{E82D43BE-69E3-4E42-A0D8-47B2DBE01F84}" srcOrd="0" destOrd="0" presId="urn:microsoft.com/office/officeart/2005/8/layout/hierarchy2"/>
    <dgm:cxn modelId="{9B60C9C5-BE97-994D-A5ED-FDB7B730B5F6}" type="presParOf" srcId="{87C18A2C-AC54-F244-99D0-029D98AA609D}" destId="{504C12F5-9D75-0942-B715-0E115E6BD94E}" srcOrd="1" destOrd="0" presId="urn:microsoft.com/office/officeart/2005/8/layout/hierarchy2"/>
    <dgm:cxn modelId="{9550FA53-3C70-2841-8E6E-C4EA592959B5}" type="presParOf" srcId="{504C12F5-9D75-0942-B715-0E115E6BD94E}" destId="{DA356EE7-DCAC-4042-921E-5D78770903D9}" srcOrd="0" destOrd="0" presId="urn:microsoft.com/office/officeart/2005/8/layout/hierarchy2"/>
    <dgm:cxn modelId="{460510FD-295E-624F-BFE6-B404D1D6CAD8}" type="presParOf" srcId="{504C12F5-9D75-0942-B715-0E115E6BD94E}" destId="{1CBA4613-F71E-ED44-9395-4ADBAB2262B6}" srcOrd="1" destOrd="0" presId="urn:microsoft.com/office/officeart/2005/8/layout/hierarchy2"/>
    <dgm:cxn modelId="{7DE9D71E-3CDC-A94B-83FC-C2A2D88B346B}" type="presParOf" srcId="{1CBA4613-F71E-ED44-9395-4ADBAB2262B6}" destId="{1FDF6499-7F4C-C84D-91F9-B1817915405A}" srcOrd="0" destOrd="0" presId="urn:microsoft.com/office/officeart/2005/8/layout/hierarchy2"/>
    <dgm:cxn modelId="{244647CD-A3ED-534C-947C-F01AA5B29490}" type="presParOf" srcId="{1FDF6499-7F4C-C84D-91F9-B1817915405A}" destId="{34EE3CF7-A82B-804D-9F2F-3847817A2C58}" srcOrd="0" destOrd="0" presId="urn:microsoft.com/office/officeart/2005/8/layout/hierarchy2"/>
    <dgm:cxn modelId="{ED81E899-0CFE-584B-A6B1-E63EADEFA35E}" type="presParOf" srcId="{1CBA4613-F71E-ED44-9395-4ADBAB2262B6}" destId="{D7B9DFAD-99E9-5F42-9A1E-E4FAA697712F}" srcOrd="1" destOrd="0" presId="urn:microsoft.com/office/officeart/2005/8/layout/hierarchy2"/>
    <dgm:cxn modelId="{AE13FDF0-D703-C04F-BECD-42A4AF3C25BF}" type="presParOf" srcId="{D7B9DFAD-99E9-5F42-9A1E-E4FAA697712F}" destId="{D192FA64-133E-C449-A72C-2ABC3457F697}" srcOrd="0" destOrd="0" presId="urn:microsoft.com/office/officeart/2005/8/layout/hierarchy2"/>
    <dgm:cxn modelId="{F5A38696-4CC3-6A48-A84C-DD6D299B5A25}" type="presParOf" srcId="{D7B9DFAD-99E9-5F42-9A1E-E4FAA697712F}" destId="{0830F59A-A6CF-B646-8E5D-1A781FDB47AD}" srcOrd="1" destOrd="0" presId="urn:microsoft.com/office/officeart/2005/8/layout/hierarchy2"/>
    <dgm:cxn modelId="{342574EC-0C4A-2C4B-934D-E5CB2706B802}" type="presParOf" srcId="{1CBA4613-F71E-ED44-9395-4ADBAB2262B6}" destId="{2B861FB2-4C03-3248-939C-B82ABC0425D3}" srcOrd="2" destOrd="0" presId="urn:microsoft.com/office/officeart/2005/8/layout/hierarchy2"/>
    <dgm:cxn modelId="{EC32C0EF-D562-9446-A3F1-F081B2DED8DF}" type="presParOf" srcId="{2B861FB2-4C03-3248-939C-B82ABC0425D3}" destId="{1B28D248-45B7-7443-AA24-59E887CAE399}" srcOrd="0" destOrd="0" presId="urn:microsoft.com/office/officeart/2005/8/layout/hierarchy2"/>
    <dgm:cxn modelId="{6997EC05-8DDD-3841-9406-468A1E911C0A}" type="presParOf" srcId="{1CBA4613-F71E-ED44-9395-4ADBAB2262B6}" destId="{CBBA3D8E-583C-D646-98B6-827D52D654C3}" srcOrd="3" destOrd="0" presId="urn:microsoft.com/office/officeart/2005/8/layout/hierarchy2"/>
    <dgm:cxn modelId="{C97645E5-9480-814F-BC52-367B96DD5ABF}" type="presParOf" srcId="{CBBA3D8E-583C-D646-98B6-827D52D654C3}" destId="{EC1D0A2A-BDA0-9741-B9AB-A1FD0801BD35}" srcOrd="0" destOrd="0" presId="urn:microsoft.com/office/officeart/2005/8/layout/hierarchy2"/>
    <dgm:cxn modelId="{F669060F-35D7-9F42-8728-7C6DE32C0E5A}" type="presParOf" srcId="{CBBA3D8E-583C-D646-98B6-827D52D654C3}" destId="{7B53082A-DAAC-1B4B-9A1B-B09DC38F4CD1}" srcOrd="1" destOrd="0" presId="urn:microsoft.com/office/officeart/2005/8/layout/hierarchy2"/>
    <dgm:cxn modelId="{1D45A3E1-5948-F74D-8DB3-592C5550263D}" type="presParOf" srcId="{7B53082A-DAAC-1B4B-9A1B-B09DC38F4CD1}" destId="{978E157F-5E31-1C40-9792-A939B6F9A9F8}" srcOrd="0" destOrd="0" presId="urn:microsoft.com/office/officeart/2005/8/layout/hierarchy2"/>
    <dgm:cxn modelId="{56354D47-C6BC-4D4F-8FEB-B473F9E7F059}" type="presParOf" srcId="{978E157F-5E31-1C40-9792-A939B6F9A9F8}" destId="{05D81B89-1627-8644-A30C-367C4391D612}" srcOrd="0" destOrd="0" presId="urn:microsoft.com/office/officeart/2005/8/layout/hierarchy2"/>
    <dgm:cxn modelId="{E0EFBD18-D6FC-B644-8003-BE4B4A16FC88}" type="presParOf" srcId="{7B53082A-DAAC-1B4B-9A1B-B09DC38F4CD1}" destId="{1E58C473-090B-A841-B701-EBF156A9B468}" srcOrd="1" destOrd="0" presId="urn:microsoft.com/office/officeart/2005/8/layout/hierarchy2"/>
    <dgm:cxn modelId="{D45F7EDB-85A2-A641-808A-C38364CF6DFD}" type="presParOf" srcId="{1E58C473-090B-A841-B701-EBF156A9B468}" destId="{BBAB8C65-A2A9-9340-910F-0E4F87D66D73}" srcOrd="0" destOrd="0" presId="urn:microsoft.com/office/officeart/2005/8/layout/hierarchy2"/>
    <dgm:cxn modelId="{8DE1311A-5120-704F-B1E5-293A75E2E4C4}" type="presParOf" srcId="{1E58C473-090B-A841-B701-EBF156A9B468}" destId="{59422E59-C787-A346-BDDE-42BB5AC944FF}" srcOrd="1" destOrd="0" presId="urn:microsoft.com/office/officeart/2005/8/layout/hierarchy2"/>
    <dgm:cxn modelId="{AB160B4D-4159-554B-8AEF-F755D0B6E2D4}" type="presParOf" srcId="{59422E59-C787-A346-BDDE-42BB5AC944FF}" destId="{158DFB88-AFA9-8846-9762-065F92E00F55}" srcOrd="0" destOrd="0" presId="urn:microsoft.com/office/officeart/2005/8/layout/hierarchy2"/>
    <dgm:cxn modelId="{91DBB380-F96A-6446-9D47-4C102002D21B}" type="presParOf" srcId="{158DFB88-AFA9-8846-9762-065F92E00F55}" destId="{F21DE7F1-751F-7647-950D-A4C9F0B622A3}" srcOrd="0" destOrd="0" presId="urn:microsoft.com/office/officeart/2005/8/layout/hierarchy2"/>
    <dgm:cxn modelId="{68D8BE2F-EC8C-0E42-964C-0E2447517864}" type="presParOf" srcId="{59422E59-C787-A346-BDDE-42BB5AC944FF}" destId="{A3CCCA02-0E83-674E-8991-CB8E9A9A88C8}" srcOrd="1" destOrd="0" presId="urn:microsoft.com/office/officeart/2005/8/layout/hierarchy2"/>
    <dgm:cxn modelId="{809E0347-96F6-2041-AF6B-10970E5F305E}" type="presParOf" srcId="{A3CCCA02-0E83-674E-8991-CB8E9A9A88C8}" destId="{8451C620-4C46-D341-B613-888B545790D6}" srcOrd="0" destOrd="0" presId="urn:microsoft.com/office/officeart/2005/8/layout/hierarchy2"/>
    <dgm:cxn modelId="{87825C3E-D1AC-F543-BB88-E5AA673BD966}" type="presParOf" srcId="{A3CCCA02-0E83-674E-8991-CB8E9A9A88C8}" destId="{EF06D3AA-BB99-074E-9CB6-2A3A01C3C27D}"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82363-ECE5-D444-9F30-87CABFEFC282}">
      <dsp:nvSpPr>
        <dsp:cNvPr id="0" name=""/>
        <dsp:cNvSpPr/>
      </dsp:nvSpPr>
      <dsp:spPr>
        <a:xfrm>
          <a:off x="4114" y="564628"/>
          <a:ext cx="916985" cy="767636"/>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rPr>
            <a:t>Suspicion of data breach</a:t>
          </a:r>
        </a:p>
      </dsp:txBody>
      <dsp:txXfrm>
        <a:off x="26597" y="587111"/>
        <a:ext cx="872019" cy="722670"/>
      </dsp:txXfrm>
    </dsp:sp>
    <dsp:sp modelId="{21F50101-62FA-4641-B9C6-542F56DAD154}">
      <dsp:nvSpPr>
        <dsp:cNvPr id="0" name=""/>
        <dsp:cNvSpPr/>
      </dsp:nvSpPr>
      <dsp:spPr>
        <a:xfrm>
          <a:off x="921099" y="926693"/>
          <a:ext cx="366794" cy="43507"/>
        </a:xfrm>
        <a:custGeom>
          <a:avLst/>
          <a:gdLst/>
          <a:ahLst/>
          <a:cxnLst/>
          <a:rect l="0" t="0" r="0" b="0"/>
          <a:pathLst>
            <a:path>
              <a:moveTo>
                <a:pt x="0" y="21753"/>
              </a:moveTo>
              <a:lnTo>
                <a:pt x="366794" y="217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095326" y="939277"/>
        <a:ext cx="18339" cy="18339"/>
      </dsp:txXfrm>
    </dsp:sp>
    <dsp:sp modelId="{DA356EE7-DCAC-4042-921E-5D78770903D9}">
      <dsp:nvSpPr>
        <dsp:cNvPr id="0" name=""/>
        <dsp:cNvSpPr/>
      </dsp:nvSpPr>
      <dsp:spPr>
        <a:xfrm>
          <a:off x="1287893" y="550901"/>
          <a:ext cx="916985" cy="795090"/>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rPr>
            <a:t>Entity conducts assessment </a:t>
          </a:r>
        </a:p>
        <a:p>
          <a:pPr marL="0" lvl="0" indent="0" algn="ctr" defTabSz="488950">
            <a:lnSpc>
              <a:spcPct val="90000"/>
            </a:lnSpc>
            <a:spcBef>
              <a:spcPct val="0"/>
            </a:spcBef>
            <a:spcAft>
              <a:spcPct val="35000"/>
            </a:spcAft>
            <a:buNone/>
          </a:pPr>
          <a:r>
            <a:rPr lang="en-GB" sz="1100" kern="1200">
              <a:solidFill>
                <a:schemeClr val="tx1"/>
              </a:solidFill>
            </a:rPr>
            <a:t>(&lt; 30 days)</a:t>
          </a:r>
        </a:p>
      </dsp:txBody>
      <dsp:txXfrm>
        <a:off x="1311180" y="574188"/>
        <a:ext cx="870411" cy="748516"/>
      </dsp:txXfrm>
    </dsp:sp>
    <dsp:sp modelId="{1FDF6499-7F4C-C84D-91F9-B1817915405A}">
      <dsp:nvSpPr>
        <dsp:cNvPr id="0" name=""/>
        <dsp:cNvSpPr/>
      </dsp:nvSpPr>
      <dsp:spPr>
        <a:xfrm rot="18824540">
          <a:off x="2123027" y="735062"/>
          <a:ext cx="530496" cy="43507"/>
        </a:xfrm>
        <a:custGeom>
          <a:avLst/>
          <a:gdLst/>
          <a:ahLst/>
          <a:cxnLst/>
          <a:rect l="0" t="0" r="0" b="0"/>
          <a:pathLst>
            <a:path>
              <a:moveTo>
                <a:pt x="0" y="21753"/>
              </a:moveTo>
              <a:lnTo>
                <a:pt x="530496" y="217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75013" y="743554"/>
        <a:ext cx="26524" cy="26524"/>
      </dsp:txXfrm>
    </dsp:sp>
    <dsp:sp modelId="{D192FA64-133E-C449-A72C-2ABC3457F697}">
      <dsp:nvSpPr>
        <dsp:cNvPr id="0" name=""/>
        <dsp:cNvSpPr/>
      </dsp:nvSpPr>
      <dsp:spPr>
        <a:xfrm>
          <a:off x="2571673" y="272183"/>
          <a:ext cx="916985" cy="586004"/>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 breach</a:t>
          </a:r>
        </a:p>
      </dsp:txBody>
      <dsp:txXfrm>
        <a:off x="2588836" y="289346"/>
        <a:ext cx="882659" cy="551678"/>
      </dsp:txXfrm>
    </dsp:sp>
    <dsp:sp modelId="{2B861FB2-4C03-3248-939C-B82ABC0425D3}">
      <dsp:nvSpPr>
        <dsp:cNvPr id="0" name=""/>
        <dsp:cNvSpPr/>
      </dsp:nvSpPr>
      <dsp:spPr>
        <a:xfrm rot="2505066">
          <a:off x="2142450" y="1090387"/>
          <a:ext cx="491651" cy="43507"/>
        </a:xfrm>
        <a:custGeom>
          <a:avLst/>
          <a:gdLst/>
          <a:ahLst/>
          <a:cxnLst/>
          <a:rect l="0" t="0" r="0" b="0"/>
          <a:pathLst>
            <a:path>
              <a:moveTo>
                <a:pt x="0" y="21753"/>
              </a:moveTo>
              <a:lnTo>
                <a:pt x="491651" y="217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75984" y="1099850"/>
        <a:ext cx="24582" cy="24582"/>
      </dsp:txXfrm>
    </dsp:sp>
    <dsp:sp modelId="{EC1D0A2A-BDA0-9741-B9AB-A1FD0801BD35}">
      <dsp:nvSpPr>
        <dsp:cNvPr id="0" name=""/>
        <dsp:cNvSpPr/>
      </dsp:nvSpPr>
      <dsp:spPr>
        <a:xfrm>
          <a:off x="2571673" y="926962"/>
          <a:ext cx="916985" cy="697747"/>
        </a:xfrm>
        <a:prstGeom prst="roundRect">
          <a:avLst>
            <a:gd name="adj" fmla="val 10000"/>
          </a:avLst>
        </a:prstGeom>
        <a:solidFill>
          <a:schemeClr val="bg2">
            <a:lumMod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Belief that data breach occured</a:t>
          </a:r>
        </a:p>
      </dsp:txBody>
      <dsp:txXfrm>
        <a:off x="2592109" y="947398"/>
        <a:ext cx="876113" cy="656875"/>
      </dsp:txXfrm>
    </dsp:sp>
    <dsp:sp modelId="{978E157F-5E31-1C40-9792-A939B6F9A9F8}">
      <dsp:nvSpPr>
        <dsp:cNvPr id="0" name=""/>
        <dsp:cNvSpPr/>
      </dsp:nvSpPr>
      <dsp:spPr>
        <a:xfrm>
          <a:off x="3488658" y="1254082"/>
          <a:ext cx="366794" cy="43507"/>
        </a:xfrm>
        <a:custGeom>
          <a:avLst/>
          <a:gdLst/>
          <a:ahLst/>
          <a:cxnLst/>
          <a:rect l="0" t="0" r="0" b="0"/>
          <a:pathLst>
            <a:path>
              <a:moveTo>
                <a:pt x="0" y="21753"/>
              </a:moveTo>
              <a:lnTo>
                <a:pt x="366794" y="217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62885" y="1266666"/>
        <a:ext cx="18339" cy="18339"/>
      </dsp:txXfrm>
    </dsp:sp>
    <dsp:sp modelId="{BBAB8C65-A2A9-9340-910F-0E4F87D66D73}">
      <dsp:nvSpPr>
        <dsp:cNvPr id="0" name=""/>
        <dsp:cNvSpPr/>
      </dsp:nvSpPr>
      <dsp:spPr>
        <a:xfrm>
          <a:off x="3855452" y="982833"/>
          <a:ext cx="916985" cy="586004"/>
        </a:xfrm>
        <a:prstGeom prst="roundRect">
          <a:avLst>
            <a:gd name="adj" fmla="val 10000"/>
          </a:avLst>
        </a:prstGeom>
        <a:solidFill>
          <a:schemeClr val="bg2">
            <a:lumMod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Notify Commissioner</a:t>
          </a:r>
        </a:p>
      </dsp:txBody>
      <dsp:txXfrm>
        <a:off x="3872615" y="999996"/>
        <a:ext cx="882659" cy="551678"/>
      </dsp:txXfrm>
    </dsp:sp>
    <dsp:sp modelId="{158DFB88-AFA9-8846-9762-065F92E00F55}">
      <dsp:nvSpPr>
        <dsp:cNvPr id="0" name=""/>
        <dsp:cNvSpPr/>
      </dsp:nvSpPr>
      <dsp:spPr>
        <a:xfrm>
          <a:off x="4772438" y="1254082"/>
          <a:ext cx="366794" cy="43507"/>
        </a:xfrm>
        <a:custGeom>
          <a:avLst/>
          <a:gdLst/>
          <a:ahLst/>
          <a:cxnLst/>
          <a:rect l="0" t="0" r="0" b="0"/>
          <a:pathLst>
            <a:path>
              <a:moveTo>
                <a:pt x="0" y="21753"/>
              </a:moveTo>
              <a:lnTo>
                <a:pt x="366794" y="217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46665" y="1266666"/>
        <a:ext cx="18339" cy="18339"/>
      </dsp:txXfrm>
    </dsp:sp>
    <dsp:sp modelId="{8451C620-4C46-D341-B613-888B545790D6}">
      <dsp:nvSpPr>
        <dsp:cNvPr id="0" name=""/>
        <dsp:cNvSpPr/>
      </dsp:nvSpPr>
      <dsp:spPr>
        <a:xfrm>
          <a:off x="5139232" y="982833"/>
          <a:ext cx="916985" cy="586004"/>
        </a:xfrm>
        <a:prstGeom prst="roundRect">
          <a:avLst>
            <a:gd name="adj" fmla="val 10000"/>
          </a:avLst>
        </a:prstGeom>
        <a:solidFill>
          <a:schemeClr val="bg2">
            <a:lumMod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Notify individuals</a:t>
          </a:r>
        </a:p>
      </dsp:txBody>
      <dsp:txXfrm>
        <a:off x="5156395" y="999996"/>
        <a:ext cx="882659" cy="5516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268b07-6a93-4430-b1e4-2f0a09f56242">
      <Terms xmlns="http://schemas.microsoft.com/office/infopath/2007/PartnerControls"/>
    </lcf76f155ced4ddcb4097134ff3c332f>
    <TaxCatchAll xmlns="2d221494-178b-4357-bea6-3a87c5967eb4" xsi:nil="true"/>
    <SharedWithUsers xmlns="5511c14c-b25b-4611-ba41-15810fe933dd">
      <UserInfo>
        <DisplayName>Kira White</DisplayName>
        <AccountId>15</AccountId>
        <AccountType/>
      </UserInfo>
      <UserInfo>
        <DisplayName>Christina Hudson</DisplayName>
        <AccountId>49</AccountId>
        <AccountType/>
      </UserInfo>
      <UserInfo>
        <DisplayName>David Beniuk</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3F83366492D4EAA320CC60EACD949" ma:contentTypeVersion="15" ma:contentTypeDescription="Create a new document." ma:contentTypeScope="" ma:versionID="667e2dc0da1ab7e948bb4ffcd2c5c1aa">
  <xsd:schema xmlns:xsd="http://www.w3.org/2001/XMLSchema" xmlns:xs="http://www.w3.org/2001/XMLSchema" xmlns:p="http://schemas.microsoft.com/office/2006/metadata/properties" xmlns:ns2="ff268b07-6a93-4430-b1e4-2f0a09f56242" xmlns:ns3="5511c14c-b25b-4611-ba41-15810fe933dd" xmlns:ns4="2d221494-178b-4357-bea6-3a87c5967eb4" targetNamespace="http://schemas.microsoft.com/office/2006/metadata/properties" ma:root="true" ma:fieldsID="645c7258782ed80a4c07c256d1b084bb" ns2:_="" ns3:_="" ns4:_="">
    <xsd:import namespace="ff268b07-6a93-4430-b1e4-2f0a09f56242"/>
    <xsd:import namespace="5511c14c-b25b-4611-ba41-15810fe933dd"/>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68b07-6a93-4430-b1e4-2f0a09f5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1c14c-b25b-4611-ba41-15810fe933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9c5877-d6ca-4318-b358-a8dc4fab1eb2}" ma:internalName="TaxCatchAll" ma:showField="CatchAllData" ma:web="5511c14c-b25b-4611-ba41-15810fe9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D310-1BB7-41F4-8FC6-6BA7E01B0B53}">
  <ds:schemaRefs>
    <ds:schemaRef ds:uri="http://schemas.microsoft.com/sharepoint/v3/contenttype/forms"/>
  </ds:schemaRefs>
</ds:datastoreItem>
</file>

<file path=customXml/itemProps2.xml><?xml version="1.0" encoding="utf-8"?>
<ds:datastoreItem xmlns:ds="http://schemas.openxmlformats.org/officeDocument/2006/customXml" ds:itemID="{DDB01D1A-2193-40D9-A052-90E520E9F727}">
  <ds:schemaRefs>
    <ds:schemaRef ds:uri="http://schemas.microsoft.com/office/2006/metadata/properties"/>
    <ds:schemaRef ds:uri="http://schemas.microsoft.com/office/infopath/2007/PartnerControls"/>
    <ds:schemaRef ds:uri="ff268b07-6a93-4430-b1e4-2f0a09f56242"/>
    <ds:schemaRef ds:uri="2d221494-178b-4357-bea6-3a87c5967eb4"/>
    <ds:schemaRef ds:uri="5511c14c-b25b-4611-ba41-15810fe933dd"/>
  </ds:schemaRefs>
</ds:datastoreItem>
</file>

<file path=customXml/itemProps3.xml><?xml version="1.0" encoding="utf-8"?>
<ds:datastoreItem xmlns:ds="http://schemas.openxmlformats.org/officeDocument/2006/customXml" ds:itemID="{AE8C6650-372A-43ED-B3F7-7E53E1D8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68b07-6a93-4430-b1e4-2f0a09f56242"/>
    <ds:schemaRef ds:uri="5511c14c-b25b-4611-ba41-15810fe933dd"/>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5971E-4712-4033-8C8B-E10A4295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29303</Words>
  <Characters>191355</Characters>
  <Application>Microsoft Office Word</Application>
  <DocSecurity>8</DocSecurity>
  <Lines>3610</Lines>
  <Paragraphs>2347</Paragraphs>
  <ScaleCrop>false</ScaleCrop>
  <Company/>
  <LinksUpToDate>false</LinksUpToDate>
  <CharactersWithSpaces>218311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Stewart</dc:creator>
  <cp:keywords/>
  <dc:description/>
  <cp:lastModifiedBy>Simone Lush</cp:lastModifiedBy>
  <cp:revision>2</cp:revision>
  <cp:lastPrinted>2023-05-02T06:55:00Z</cp:lastPrinted>
  <dcterms:created xsi:type="dcterms:W3CDTF">2023-05-02T22:11:00Z</dcterms:created>
  <dcterms:modified xsi:type="dcterms:W3CDTF">2023-05-02T22:11:00Z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0x0101001CC3F83366492D4EAA320CC60EACD949</vt:lpwstr>
  </property>
  <property fmtid="{D5CDD505-2E9C-101B-9397-08002B2CF9AE}" pid="3" name="MediaServiceImageTags">
    <vt:lpwstr/>
  </property>
</Properties>
</file>